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54587E" w14:textId="77777777" w:rsidR="009844C8" w:rsidRDefault="009844C8" w:rsidP="00871214">
      <w:pPr>
        <w:rPr>
          <w:b/>
          <w:bCs/>
        </w:rPr>
      </w:pPr>
    </w:p>
    <w:p w14:paraId="01684CC9" w14:textId="70AB5E7A" w:rsidR="00871214" w:rsidRPr="00871214" w:rsidRDefault="00871214" w:rsidP="00871214">
      <w:pPr>
        <w:rPr>
          <w:b/>
          <w:bCs/>
        </w:rPr>
      </w:pPr>
      <w:r w:rsidRPr="00871214">
        <w:rPr>
          <w:b/>
          <w:bCs/>
        </w:rPr>
        <w:t>Introduction</w:t>
      </w:r>
    </w:p>
    <w:p w14:paraId="19565C97" w14:textId="77777777" w:rsidR="00871214" w:rsidRPr="00871214" w:rsidRDefault="00871214" w:rsidP="00871214">
      <w:r w:rsidRPr="00871214">
        <w:t xml:space="preserve">La </w:t>
      </w:r>
      <w:r w:rsidRPr="00871214">
        <w:rPr>
          <w:b/>
          <w:bCs/>
        </w:rPr>
        <w:t>leucémie myéloïde aiguë (LMA)</w:t>
      </w:r>
      <w:r w:rsidRPr="00871214">
        <w:t xml:space="preserve"> est une hémopathie maligne caractérisée par la </w:t>
      </w:r>
      <w:r w:rsidRPr="00871214">
        <w:rPr>
          <w:b/>
          <w:bCs/>
        </w:rPr>
        <w:t>prolifération clonale de cellules blastiques immatures</w:t>
      </w:r>
      <w:r w:rsidRPr="00871214">
        <w:t xml:space="preserve"> issues de la lignée myéloïde. Ces cellules anormales envahissent la </w:t>
      </w:r>
      <w:r w:rsidRPr="00871214">
        <w:rPr>
          <w:b/>
          <w:bCs/>
        </w:rPr>
        <w:t>moelle osseuse</w:t>
      </w:r>
      <w:r w:rsidRPr="00871214">
        <w:t xml:space="preserve"> et la </w:t>
      </w:r>
      <w:r w:rsidRPr="00871214">
        <w:rPr>
          <w:b/>
          <w:bCs/>
        </w:rPr>
        <w:t>circulation sanguine</w:t>
      </w:r>
      <w:r w:rsidRPr="00871214">
        <w:t xml:space="preserve">, perturbant l’hématopoïèse normale et provoquant une </w:t>
      </w:r>
      <w:r w:rsidRPr="00871214">
        <w:rPr>
          <w:b/>
          <w:bCs/>
        </w:rPr>
        <w:t>insuffisance médullaire</w:t>
      </w:r>
      <w:r w:rsidRPr="00871214">
        <w:t xml:space="preserve">. Cliniquement, la maladie se manifeste par une </w:t>
      </w:r>
      <w:r w:rsidRPr="00871214">
        <w:rPr>
          <w:b/>
          <w:bCs/>
        </w:rPr>
        <w:t>anémie</w:t>
      </w:r>
      <w:r w:rsidRPr="00871214">
        <w:t xml:space="preserve">, une </w:t>
      </w:r>
      <w:r w:rsidRPr="00871214">
        <w:rPr>
          <w:b/>
          <w:bCs/>
        </w:rPr>
        <w:t>thrombopénie</w:t>
      </w:r>
      <w:r w:rsidRPr="00871214">
        <w:t xml:space="preserve"> responsable de saignements, et une </w:t>
      </w:r>
      <w:r w:rsidRPr="00871214">
        <w:rPr>
          <w:b/>
          <w:bCs/>
        </w:rPr>
        <w:t>neutropénie</w:t>
      </w:r>
      <w:r w:rsidRPr="00871214">
        <w:t xml:space="preserve"> à l’origine d’infections récurrentes. La LMA représente environ </w:t>
      </w:r>
      <w:r w:rsidRPr="00871214">
        <w:rPr>
          <w:b/>
          <w:bCs/>
        </w:rPr>
        <w:t>80 % des leucémies aiguës de l’adulte</w:t>
      </w:r>
      <w:r w:rsidRPr="00871214">
        <w:t xml:space="preserve"> et se distingue par une </w:t>
      </w:r>
      <w:r w:rsidRPr="00871214">
        <w:rPr>
          <w:b/>
          <w:bCs/>
        </w:rPr>
        <w:t>grande hétérogénéité</w:t>
      </w:r>
      <w:r w:rsidRPr="00871214">
        <w:t xml:space="preserve"> morphologique et moléculaire.</w:t>
      </w:r>
    </w:p>
    <w:p w14:paraId="212ACEB9" w14:textId="3D8443D9" w:rsidR="00871214" w:rsidRPr="00871214" w:rsidRDefault="00871214" w:rsidP="00871214">
      <w:r w:rsidRPr="00871214">
        <w:t xml:space="preserve">Sur le plan </w:t>
      </w:r>
      <w:r w:rsidRPr="00871214">
        <w:rPr>
          <w:b/>
          <w:bCs/>
        </w:rPr>
        <w:t>étiologique</w:t>
      </w:r>
      <w:r w:rsidRPr="00871214">
        <w:t>, la LMA résulte d’</w:t>
      </w:r>
      <w:r w:rsidRPr="00871214">
        <w:rPr>
          <w:b/>
          <w:bCs/>
        </w:rPr>
        <w:t>altérations génétiques acquises</w:t>
      </w:r>
      <w:r w:rsidRPr="00871214">
        <w:t xml:space="preserve"> touchant des gènes impliqués dans la prolifération, la différenciation et la survie cellulaire. Ces anomalies peuvent être </w:t>
      </w:r>
      <w:r w:rsidRPr="00871214">
        <w:rPr>
          <w:b/>
          <w:bCs/>
        </w:rPr>
        <w:t>chromosomiques</w:t>
      </w:r>
      <w:r w:rsidRPr="00871214">
        <w:t xml:space="preserve"> (aberrations visibles au caryotype) ou </w:t>
      </w:r>
      <w:r w:rsidRPr="00871214">
        <w:rPr>
          <w:b/>
          <w:bCs/>
        </w:rPr>
        <w:t>moléculaires</w:t>
      </w:r>
      <w:r w:rsidRPr="00871214">
        <w:t xml:space="preserve"> (mutations ponctuelles, insertions, duplications, etc.), contribuant à la diversité biologique et clinique de la maladie.</w:t>
      </w:r>
      <w:r w:rsidR="00726B6F">
        <w:t> </w:t>
      </w:r>
    </w:p>
    <w:p w14:paraId="0249413A" w14:textId="77777777" w:rsidR="00871214" w:rsidRPr="00871214" w:rsidRDefault="00871214" w:rsidP="00871214">
      <w:r w:rsidRPr="00871214">
        <w:t xml:space="preserve">Le </w:t>
      </w:r>
      <w:r w:rsidRPr="00871214">
        <w:rPr>
          <w:b/>
          <w:bCs/>
        </w:rPr>
        <w:t>profil cytogénétique</w:t>
      </w:r>
      <w:r w:rsidRPr="00871214">
        <w:t xml:space="preserve"> constitue la première étape du diagnostic et du </w:t>
      </w:r>
      <w:r w:rsidRPr="00871214">
        <w:rPr>
          <w:b/>
          <w:bCs/>
        </w:rPr>
        <w:t>classement pronostique</w:t>
      </w:r>
      <w:r w:rsidRPr="00871214">
        <w:t xml:space="preserve"> des patients. Environ </w:t>
      </w:r>
      <w:r w:rsidRPr="00871214">
        <w:rPr>
          <w:b/>
          <w:bCs/>
        </w:rPr>
        <w:t>50 à 60 %</w:t>
      </w:r>
      <w:r w:rsidRPr="00871214">
        <w:t xml:space="preserve"> des LMA présentent des anomalies chromosomiques récurrentes. Toutefois, près de la moitié des patients présentent un </w:t>
      </w:r>
      <w:r w:rsidRPr="00871214">
        <w:rPr>
          <w:b/>
          <w:bCs/>
        </w:rPr>
        <w:t>caryotype normal</w:t>
      </w:r>
      <w:r w:rsidRPr="00871214">
        <w:t xml:space="preserve"> (LMA-CN), classés dans le </w:t>
      </w:r>
      <w:r w:rsidRPr="00871214">
        <w:rPr>
          <w:b/>
          <w:bCs/>
        </w:rPr>
        <w:t>groupe à risque intermédiaire</w:t>
      </w:r>
      <w:r w:rsidRPr="00871214">
        <w:t xml:space="preserve"> selon l’OMS. Malgré l’absence d’anomalies visibles, ces patients montrent des </w:t>
      </w:r>
      <w:r w:rsidRPr="00871214">
        <w:rPr>
          <w:b/>
          <w:bCs/>
        </w:rPr>
        <w:t>réponses thérapeutiques très variables</w:t>
      </w:r>
      <w:r w:rsidRPr="00871214">
        <w:t xml:space="preserve">, suggérant l’implication de </w:t>
      </w:r>
      <w:r w:rsidRPr="00871214">
        <w:rPr>
          <w:b/>
          <w:bCs/>
        </w:rPr>
        <w:t>mutations moléculaires</w:t>
      </w:r>
      <w:r w:rsidRPr="00871214">
        <w:t xml:space="preserve"> sous-jacentes.</w:t>
      </w:r>
      <w:r w:rsidRPr="00871214">
        <w:br/>
        <w:t xml:space="preserve">Les avancées du </w:t>
      </w:r>
      <w:r w:rsidRPr="00871214">
        <w:rPr>
          <w:b/>
          <w:bCs/>
        </w:rPr>
        <w:t>séquençage à haut débit</w:t>
      </w:r>
      <w:r w:rsidRPr="00871214">
        <w:t xml:space="preserve"> ont permis d’identifier plusieurs gènes fréquemment mutés, notamment </w:t>
      </w:r>
      <w:r w:rsidRPr="00871214">
        <w:rPr>
          <w:b/>
          <w:bCs/>
        </w:rPr>
        <w:t>FLT3, NPM1, CEBPA, WT1, DNMT3A, TET2, IDH1/2 et MLL</w:t>
      </w:r>
      <w:r w:rsidRPr="00871214">
        <w:t>, jouant un rôle majeur dans la pathogenèse et la stratification pronostique de la LMA.</w:t>
      </w:r>
    </w:p>
    <w:p w14:paraId="4F57F7C4" w14:textId="77777777" w:rsidR="00871214" w:rsidRPr="00871214" w:rsidRDefault="00871214" w:rsidP="00871214">
      <w:r w:rsidRPr="00871214">
        <w:t xml:space="preserve">Parmi ces gènes, trois présentent un intérêt particulier dans la </w:t>
      </w:r>
      <w:r w:rsidRPr="00871214">
        <w:rPr>
          <w:b/>
          <w:bCs/>
        </w:rPr>
        <w:t>LMA à caryotype normal</w:t>
      </w:r>
      <w:r w:rsidRPr="00871214">
        <w:t xml:space="preserve"> :</w:t>
      </w:r>
    </w:p>
    <w:p w14:paraId="7CC90A68" w14:textId="77777777" w:rsidR="00871214" w:rsidRPr="00871214" w:rsidRDefault="00871214" w:rsidP="00871214">
      <w:pPr>
        <w:numPr>
          <w:ilvl w:val="0"/>
          <w:numId w:val="7"/>
        </w:numPr>
      </w:pPr>
      <w:r w:rsidRPr="00871214">
        <w:rPr>
          <w:b/>
          <w:bCs/>
        </w:rPr>
        <w:t>FLT3 (FMS-like Tyrosine Kinase 3)</w:t>
      </w:r>
      <w:r w:rsidRPr="00871214">
        <w:t xml:space="preserve">, localisé sur le chromosome 13q12, code un récepteur tyrosine kinase impliqué dans la prolifération et la survie des cellules hématopoïétiques. Sa mutation la plus fréquente, </w:t>
      </w:r>
      <w:r w:rsidRPr="00871214">
        <w:rPr>
          <w:b/>
          <w:bCs/>
        </w:rPr>
        <w:t>FLT3-ITD (</w:t>
      </w:r>
      <w:proofErr w:type="spellStart"/>
      <w:r w:rsidRPr="00871214">
        <w:rPr>
          <w:b/>
          <w:bCs/>
        </w:rPr>
        <w:t>Internal</w:t>
      </w:r>
      <w:proofErr w:type="spellEnd"/>
      <w:r w:rsidRPr="00871214">
        <w:rPr>
          <w:b/>
          <w:bCs/>
        </w:rPr>
        <w:t xml:space="preserve"> Tandem Duplication)</w:t>
      </w:r>
      <w:r w:rsidRPr="00871214">
        <w:t xml:space="preserve">, retrouvée chez 25 à 30 % des patients, induit une activation constitutive du récepteur, entraînant une prolifération incontrôlée et un </w:t>
      </w:r>
      <w:r w:rsidRPr="00871214">
        <w:rPr>
          <w:b/>
          <w:bCs/>
        </w:rPr>
        <w:t>pronostic défavorable</w:t>
      </w:r>
      <w:r w:rsidRPr="00871214">
        <w:t>.</w:t>
      </w:r>
    </w:p>
    <w:p w14:paraId="47A13C08" w14:textId="77777777" w:rsidR="00871214" w:rsidRPr="00871214" w:rsidRDefault="00871214" w:rsidP="00871214">
      <w:pPr>
        <w:numPr>
          <w:ilvl w:val="0"/>
          <w:numId w:val="7"/>
        </w:numPr>
      </w:pPr>
      <w:r w:rsidRPr="00871214">
        <w:rPr>
          <w:b/>
          <w:bCs/>
        </w:rPr>
        <w:t>NPM1 (</w:t>
      </w:r>
      <w:proofErr w:type="spellStart"/>
      <w:r w:rsidRPr="00871214">
        <w:rPr>
          <w:b/>
          <w:bCs/>
        </w:rPr>
        <w:t>Nucleophosmin</w:t>
      </w:r>
      <w:proofErr w:type="spellEnd"/>
      <w:r w:rsidRPr="00871214">
        <w:rPr>
          <w:b/>
          <w:bCs/>
        </w:rPr>
        <w:t xml:space="preserve"> 1)</w:t>
      </w:r>
      <w:r w:rsidRPr="00871214">
        <w:t xml:space="preserve">, situé sur le chromosome 5q35.1, code une protéine nucléolaire essentielle à la stabilité du génome et au transport des ribosomes. Les mutations de l’exon 12, provoquant une </w:t>
      </w:r>
      <w:r w:rsidRPr="00871214">
        <w:rPr>
          <w:b/>
          <w:bCs/>
        </w:rPr>
        <w:t>relocalisation cytoplasmique anormale</w:t>
      </w:r>
      <w:r w:rsidRPr="00871214">
        <w:t xml:space="preserve"> de la protéine, sont généralement associées à un </w:t>
      </w:r>
      <w:r w:rsidRPr="00871214">
        <w:rPr>
          <w:b/>
          <w:bCs/>
        </w:rPr>
        <w:t>meilleur pronostic</w:t>
      </w:r>
      <w:r w:rsidRPr="00871214">
        <w:t>, notamment en l’absence de mutation FLT3-ITD.</w:t>
      </w:r>
    </w:p>
    <w:p w14:paraId="0F88C950" w14:textId="77777777" w:rsidR="00871214" w:rsidRPr="00871214" w:rsidRDefault="00871214" w:rsidP="00871214">
      <w:pPr>
        <w:numPr>
          <w:ilvl w:val="0"/>
          <w:numId w:val="7"/>
        </w:numPr>
      </w:pPr>
      <w:r w:rsidRPr="00871214">
        <w:rPr>
          <w:b/>
          <w:bCs/>
        </w:rPr>
        <w:t xml:space="preserve">WT1 (Wilms </w:t>
      </w:r>
      <w:proofErr w:type="spellStart"/>
      <w:r w:rsidRPr="00871214">
        <w:rPr>
          <w:b/>
          <w:bCs/>
        </w:rPr>
        <w:t>Tumor</w:t>
      </w:r>
      <w:proofErr w:type="spellEnd"/>
      <w:r w:rsidRPr="00871214">
        <w:rPr>
          <w:b/>
          <w:bCs/>
        </w:rPr>
        <w:t xml:space="preserve"> 1)</w:t>
      </w:r>
      <w:r w:rsidRPr="00871214">
        <w:t xml:space="preserve">, localisé sur le chromosome 11p13, code un </w:t>
      </w:r>
      <w:r w:rsidRPr="00871214">
        <w:rPr>
          <w:b/>
          <w:bCs/>
        </w:rPr>
        <w:t>facteur de transcription</w:t>
      </w:r>
      <w:r w:rsidRPr="00871214">
        <w:t xml:space="preserve"> jouant un rôle clé dans la différenciation et la prolifération cellulaires. Les mutations de ce gène, observées chez 10 à 13 % des patients atteints de LMA, sont souvent associées à un </w:t>
      </w:r>
      <w:r w:rsidRPr="00871214">
        <w:rPr>
          <w:b/>
          <w:bCs/>
        </w:rPr>
        <w:t>mauvais pronostic</w:t>
      </w:r>
      <w:r w:rsidRPr="00871214">
        <w:t>, en particulier lorsqu’elles coexistent avec la mutation FLT3-ITD.</w:t>
      </w:r>
    </w:p>
    <w:p w14:paraId="0D9FC3B4" w14:textId="77777777" w:rsidR="00871214" w:rsidRPr="00871214" w:rsidRDefault="00871214" w:rsidP="00871214">
      <w:r w:rsidRPr="00871214">
        <w:t xml:space="preserve">Ainsi, la combinaison des mutations </w:t>
      </w:r>
      <w:r w:rsidRPr="00871214">
        <w:rPr>
          <w:b/>
          <w:bCs/>
        </w:rPr>
        <w:t>WT1, FLT3-ITD et NPM1</w:t>
      </w:r>
      <w:r w:rsidRPr="00871214">
        <w:t xml:space="preserve"> apparaît comme un </w:t>
      </w:r>
      <w:r w:rsidRPr="00871214">
        <w:rPr>
          <w:b/>
          <w:bCs/>
        </w:rPr>
        <w:t>axe essentiel de recherche</w:t>
      </w:r>
      <w:r w:rsidRPr="00871214">
        <w:t xml:space="preserve"> pour affiner la </w:t>
      </w:r>
      <w:r w:rsidRPr="00871214">
        <w:rPr>
          <w:b/>
          <w:bCs/>
        </w:rPr>
        <w:t>stratification pronostique</w:t>
      </w:r>
      <w:r w:rsidRPr="00871214">
        <w:t xml:space="preserve"> des LMA à caryotype normal et mieux comprendre leur </w:t>
      </w:r>
      <w:r w:rsidRPr="00871214">
        <w:rPr>
          <w:b/>
          <w:bCs/>
        </w:rPr>
        <w:t>hétérogénéité biologique et clinique</w:t>
      </w:r>
      <w:r w:rsidRPr="00871214">
        <w:t>.</w:t>
      </w:r>
    </w:p>
    <w:p w14:paraId="0DEC86AF" w14:textId="77777777" w:rsidR="00871214" w:rsidRPr="00871214" w:rsidRDefault="00871214" w:rsidP="00871214">
      <w:pPr>
        <w:rPr>
          <w:b/>
          <w:bCs/>
        </w:rPr>
      </w:pPr>
      <w:r>
        <w:t xml:space="preserve"> </w:t>
      </w:r>
      <w:r w:rsidRPr="00871214">
        <w:rPr>
          <w:b/>
          <w:bCs/>
        </w:rPr>
        <w:t>But du travail :</w:t>
      </w:r>
      <w:r w:rsidRPr="00871214">
        <w:br/>
        <w:t xml:space="preserve">Ce travail a pour but d’étudier la </w:t>
      </w:r>
      <w:r w:rsidRPr="00871214">
        <w:rPr>
          <w:b/>
          <w:bCs/>
        </w:rPr>
        <w:t>prévalence</w:t>
      </w:r>
      <w:r w:rsidRPr="00871214">
        <w:t xml:space="preserve"> et l’</w:t>
      </w:r>
      <w:r w:rsidRPr="00871214">
        <w:rPr>
          <w:b/>
          <w:bCs/>
        </w:rPr>
        <w:t>impact pronostique</w:t>
      </w:r>
      <w:r w:rsidRPr="00871214">
        <w:t xml:space="preserve"> du </w:t>
      </w:r>
      <w:r w:rsidRPr="00871214">
        <w:rPr>
          <w:b/>
          <w:bCs/>
        </w:rPr>
        <w:t xml:space="preserve">statut mutationnel de l’exon </w:t>
      </w:r>
      <w:r w:rsidRPr="00871214">
        <w:rPr>
          <w:b/>
          <w:bCs/>
        </w:rPr>
        <w:lastRenderedPageBreak/>
        <w:t>7 du gène WT1</w:t>
      </w:r>
      <w:r w:rsidRPr="00871214">
        <w:t xml:space="preserve">, seul ou en association avec les mutations </w:t>
      </w:r>
      <w:r w:rsidRPr="00871214">
        <w:rPr>
          <w:b/>
          <w:bCs/>
        </w:rPr>
        <w:t>FLT3-ITD</w:t>
      </w:r>
      <w:r w:rsidRPr="00871214">
        <w:t xml:space="preserve"> et </w:t>
      </w:r>
      <w:r w:rsidRPr="00871214">
        <w:rPr>
          <w:b/>
          <w:bCs/>
        </w:rPr>
        <w:t>NPM1</w:t>
      </w:r>
      <w:r w:rsidRPr="00871214">
        <w:t xml:space="preserve">, chez les patients atteints de </w:t>
      </w:r>
      <w:r w:rsidRPr="00871214">
        <w:rPr>
          <w:b/>
          <w:bCs/>
        </w:rPr>
        <w:t>leucémie myéloïde aiguë à caryotype normal (LMA-CN)</w:t>
      </w:r>
      <w:r w:rsidRPr="00871214">
        <w:t>.</w:t>
      </w:r>
      <w:r w:rsidRPr="00871214">
        <w:br/>
        <w:t xml:space="preserve">L’objectif est d’évaluer la </w:t>
      </w:r>
      <w:r w:rsidRPr="00871214">
        <w:rPr>
          <w:b/>
          <w:bCs/>
        </w:rPr>
        <w:t>valeur de ces altérations génétiques en tant que biomarqueurs moléculaires potentiels</w:t>
      </w:r>
      <w:r w:rsidRPr="00871214">
        <w:t xml:space="preserve"> permettant une </w:t>
      </w:r>
      <w:r w:rsidRPr="00871214">
        <w:rPr>
          <w:b/>
          <w:bCs/>
        </w:rPr>
        <w:t>meilleure stratification pronostique</w:t>
      </w:r>
      <w:r w:rsidRPr="00871214">
        <w:t xml:space="preserve"> des patients.</w:t>
      </w:r>
      <w:r>
        <w:t xml:space="preserve"> </w:t>
      </w:r>
      <w:r w:rsidRPr="00871214">
        <w:rPr>
          <w:b/>
          <w:bCs/>
        </w:rPr>
        <w:t>Matériels et Méthodes</w:t>
      </w:r>
    </w:p>
    <w:p w14:paraId="45F79FB2" w14:textId="77777777" w:rsidR="00871214" w:rsidRPr="00871214" w:rsidRDefault="00871214" w:rsidP="00871214">
      <w:pPr>
        <w:rPr>
          <w:b/>
          <w:bCs/>
        </w:rPr>
      </w:pPr>
      <w:r w:rsidRPr="00871214">
        <w:rPr>
          <w:rFonts w:ascii="Segoe UI Emoji" w:hAnsi="Segoe UI Emoji" w:cs="Segoe UI Emoji"/>
          <w:b/>
          <w:bCs/>
        </w:rPr>
        <w:t>🔹</w:t>
      </w:r>
      <w:r w:rsidRPr="00871214">
        <w:rPr>
          <w:b/>
          <w:bCs/>
        </w:rPr>
        <w:t xml:space="preserve"> 1. Population étudiée</w:t>
      </w:r>
    </w:p>
    <w:p w14:paraId="47B64B60" w14:textId="77777777" w:rsidR="00871214" w:rsidRPr="00871214" w:rsidRDefault="00871214" w:rsidP="00871214">
      <w:r w:rsidRPr="00871214">
        <w:t xml:space="preserve">Il s’agit d’une </w:t>
      </w:r>
      <w:r w:rsidRPr="00871214">
        <w:rPr>
          <w:b/>
          <w:bCs/>
        </w:rPr>
        <w:t>étude rétrospective</w:t>
      </w:r>
      <w:r w:rsidRPr="00871214">
        <w:t xml:space="preserve"> menée au </w:t>
      </w:r>
      <w:r w:rsidRPr="00871214">
        <w:rPr>
          <w:b/>
          <w:bCs/>
        </w:rPr>
        <w:t>Centre Régional de Cancérologie de Thiruvananthapuram (Inde)</w:t>
      </w:r>
      <w:r w:rsidRPr="00871214">
        <w:t xml:space="preserve"> entre </w:t>
      </w:r>
      <w:r w:rsidRPr="00871214">
        <w:rPr>
          <w:b/>
          <w:bCs/>
        </w:rPr>
        <w:t>février 2018 et mars 2020</w:t>
      </w:r>
      <w:r w:rsidRPr="00871214">
        <w:t xml:space="preserve">, portant sur </w:t>
      </w:r>
      <w:r w:rsidRPr="00871214">
        <w:rPr>
          <w:b/>
          <w:bCs/>
        </w:rPr>
        <w:t>312 patients adultes atteints de LMA</w:t>
      </w:r>
      <w:r w:rsidRPr="00871214">
        <w:t>.</w:t>
      </w:r>
      <w:r w:rsidRPr="00871214">
        <w:br/>
        <w:t xml:space="preserve">Parmi eux, </w:t>
      </w:r>
      <w:r w:rsidRPr="00871214">
        <w:rPr>
          <w:b/>
          <w:bCs/>
        </w:rPr>
        <w:t>150 cas de LMA à caryotype normal (LMA-CN)</w:t>
      </w:r>
      <w:r w:rsidRPr="00871214">
        <w:t xml:space="preserve"> ont été retenus.</w:t>
      </w:r>
      <w:r w:rsidRPr="00871214">
        <w:br/>
        <w:t xml:space="preserve">Ont été exclus : les </w:t>
      </w:r>
      <w:r w:rsidRPr="00871214">
        <w:rPr>
          <w:b/>
          <w:bCs/>
        </w:rPr>
        <w:t>LPA</w:t>
      </w:r>
      <w:r w:rsidRPr="00871214">
        <w:t xml:space="preserve">, </w:t>
      </w:r>
      <w:r w:rsidRPr="00871214">
        <w:rPr>
          <w:b/>
          <w:bCs/>
        </w:rPr>
        <w:t>LMA secondaires</w:t>
      </w:r>
      <w:r w:rsidRPr="00871214">
        <w:t xml:space="preserve">, </w:t>
      </w:r>
      <w:r w:rsidRPr="00871214">
        <w:rPr>
          <w:b/>
          <w:bCs/>
        </w:rPr>
        <w:t>patients &lt;18 ou &gt;75 ans</w:t>
      </w:r>
      <w:r w:rsidRPr="00871214">
        <w:t xml:space="preserve">, et </w:t>
      </w:r>
      <w:r w:rsidRPr="00871214">
        <w:rPr>
          <w:b/>
          <w:bCs/>
        </w:rPr>
        <w:t>comorbidités sévères</w:t>
      </w:r>
      <w:r w:rsidRPr="00871214">
        <w:t>.</w:t>
      </w:r>
      <w:r w:rsidRPr="00871214">
        <w:br/>
        <w:t xml:space="preserve">Tous les participants ont donné un </w:t>
      </w:r>
      <w:r w:rsidRPr="00871214">
        <w:rPr>
          <w:b/>
          <w:bCs/>
        </w:rPr>
        <w:t>consentement éclairé</w:t>
      </w:r>
      <w:r w:rsidRPr="00871214">
        <w:t xml:space="preserve"> selon la </w:t>
      </w:r>
      <w:r w:rsidRPr="00871214">
        <w:rPr>
          <w:b/>
          <w:bCs/>
        </w:rPr>
        <w:t>Déclaration d’Helsinki</w:t>
      </w:r>
      <w:r w:rsidRPr="00871214">
        <w:t>.</w:t>
      </w:r>
      <w:r w:rsidRPr="00871214">
        <w:br/>
        <w:t xml:space="preserve">Les </w:t>
      </w:r>
      <w:r w:rsidRPr="00871214">
        <w:rPr>
          <w:b/>
          <w:bCs/>
        </w:rPr>
        <w:t>données cliniques et biologiques</w:t>
      </w:r>
      <w:r w:rsidRPr="00871214">
        <w:t xml:space="preserve"> (âge, sexe, sous-type FAB, </w:t>
      </w:r>
      <w:proofErr w:type="spellStart"/>
      <w:r w:rsidRPr="00871214">
        <w:t>Hb</w:t>
      </w:r>
      <w:proofErr w:type="spellEnd"/>
      <w:r w:rsidRPr="00871214">
        <w:t xml:space="preserve">, WBC, plaquettes, LDH, % blastes) ont été </w:t>
      </w:r>
      <w:r w:rsidRPr="00871214">
        <w:rPr>
          <w:b/>
          <w:bCs/>
        </w:rPr>
        <w:t>corrélées aux profils mutationnels</w:t>
      </w:r>
      <w:r w:rsidRPr="00871214">
        <w:t>.</w:t>
      </w:r>
    </w:p>
    <w:p w14:paraId="3776884E" w14:textId="77777777" w:rsidR="00871214" w:rsidRPr="00871214" w:rsidRDefault="003720C1" w:rsidP="00871214">
      <w:r>
        <w:pict w14:anchorId="544A8C1C">
          <v:rect id="_x0000_i1025" style="width:0;height:1.5pt" o:hralign="center" o:hrstd="t" o:hr="t" fillcolor="#a0a0a0" stroked="f"/>
        </w:pict>
      </w:r>
    </w:p>
    <w:p w14:paraId="5957D76D" w14:textId="77777777" w:rsidR="00871214" w:rsidRPr="00871214" w:rsidRDefault="00871214" w:rsidP="00871214">
      <w:pPr>
        <w:rPr>
          <w:b/>
          <w:bCs/>
        </w:rPr>
      </w:pPr>
      <w:r w:rsidRPr="00871214">
        <w:rPr>
          <w:rFonts w:ascii="Segoe UI Emoji" w:hAnsi="Segoe UI Emoji" w:cs="Segoe UI Emoji"/>
          <w:b/>
          <w:bCs/>
        </w:rPr>
        <w:t>🔹</w:t>
      </w:r>
      <w:r w:rsidRPr="00871214">
        <w:rPr>
          <w:b/>
          <w:bCs/>
        </w:rPr>
        <w:t xml:space="preserve"> 2. Analyses cytogénétiques</w:t>
      </w:r>
    </w:p>
    <w:p w14:paraId="19F04831" w14:textId="77777777" w:rsidR="00871214" w:rsidRPr="00871214" w:rsidRDefault="00871214" w:rsidP="00871214">
      <w:r w:rsidRPr="00871214">
        <w:t xml:space="preserve">Le </w:t>
      </w:r>
      <w:r w:rsidRPr="00871214">
        <w:rPr>
          <w:b/>
          <w:bCs/>
        </w:rPr>
        <w:t>caryotype</w:t>
      </w:r>
      <w:r w:rsidRPr="00871214">
        <w:t xml:space="preserve"> a été réalisé par </w:t>
      </w:r>
      <w:r w:rsidRPr="00871214">
        <w:rPr>
          <w:b/>
          <w:bCs/>
        </w:rPr>
        <w:t>bandes G (GTG)</w:t>
      </w:r>
      <w:r w:rsidRPr="00871214">
        <w:t xml:space="preserve"> selon les normes </w:t>
      </w:r>
      <w:r w:rsidRPr="00871214">
        <w:rPr>
          <w:b/>
          <w:bCs/>
        </w:rPr>
        <w:t>ISCN 2020</w:t>
      </w:r>
      <w:r w:rsidRPr="00871214">
        <w:t xml:space="preserve">, avec au moins </w:t>
      </w:r>
      <w:r w:rsidRPr="00871214">
        <w:rPr>
          <w:b/>
          <w:bCs/>
        </w:rPr>
        <w:t>20 métaphases analysées</w:t>
      </w:r>
      <w:r w:rsidRPr="00871214">
        <w:t>.</w:t>
      </w:r>
      <w:r w:rsidRPr="00871214">
        <w:br/>
        <w:t xml:space="preserve">Une </w:t>
      </w:r>
      <w:r w:rsidRPr="00871214">
        <w:rPr>
          <w:b/>
          <w:bCs/>
        </w:rPr>
        <w:t>FISH</w:t>
      </w:r>
      <w:r w:rsidRPr="00871214">
        <w:t xml:space="preserve"> a ensuite été effectuée pour exclure les anomalies récurrentes (</w:t>
      </w:r>
      <w:r w:rsidRPr="00871214">
        <w:rPr>
          <w:b/>
          <w:bCs/>
        </w:rPr>
        <w:t>AML1-ETO</w:t>
      </w:r>
      <w:r w:rsidRPr="00871214">
        <w:t xml:space="preserve">, </w:t>
      </w:r>
      <w:r w:rsidRPr="00871214">
        <w:rPr>
          <w:b/>
          <w:bCs/>
        </w:rPr>
        <w:t>PML-RARA</w:t>
      </w:r>
      <w:r w:rsidRPr="00871214">
        <w:t xml:space="preserve">, </w:t>
      </w:r>
      <w:r w:rsidRPr="00871214">
        <w:rPr>
          <w:b/>
          <w:bCs/>
        </w:rPr>
        <w:t>CBFβ-MYH11</w:t>
      </w:r>
      <w:r w:rsidRPr="00871214">
        <w:t xml:space="preserve">) afin de </w:t>
      </w:r>
      <w:r w:rsidRPr="00871214">
        <w:rPr>
          <w:b/>
          <w:bCs/>
        </w:rPr>
        <w:t>confirmer le caryotype normal</w:t>
      </w:r>
      <w:r w:rsidRPr="00871214">
        <w:t>.</w:t>
      </w:r>
    </w:p>
    <w:p w14:paraId="320E403E" w14:textId="77777777" w:rsidR="00871214" w:rsidRPr="00871214" w:rsidRDefault="003720C1" w:rsidP="00871214">
      <w:r>
        <w:pict w14:anchorId="4AEDE397">
          <v:rect id="_x0000_i1026" style="width:0;height:1.5pt" o:hralign="center" o:hrstd="t" o:hr="t" fillcolor="#a0a0a0" stroked="f"/>
        </w:pict>
      </w:r>
    </w:p>
    <w:p w14:paraId="67C34617" w14:textId="77777777" w:rsidR="00871214" w:rsidRPr="00871214" w:rsidRDefault="00871214" w:rsidP="00871214">
      <w:pPr>
        <w:rPr>
          <w:b/>
          <w:bCs/>
        </w:rPr>
      </w:pPr>
      <w:r w:rsidRPr="00871214">
        <w:rPr>
          <w:rFonts w:ascii="Segoe UI Emoji" w:hAnsi="Segoe UI Emoji" w:cs="Segoe UI Emoji"/>
          <w:b/>
          <w:bCs/>
        </w:rPr>
        <w:t>🔹</w:t>
      </w:r>
      <w:r w:rsidRPr="00871214">
        <w:rPr>
          <w:b/>
          <w:bCs/>
        </w:rPr>
        <w:t xml:space="preserve"> 3. Analyses moléculaires</w:t>
      </w:r>
    </w:p>
    <w:p w14:paraId="4964C9B4" w14:textId="77777777" w:rsidR="00871214" w:rsidRPr="00871214" w:rsidRDefault="00871214" w:rsidP="00871214">
      <w:r w:rsidRPr="00871214">
        <w:t>L’</w:t>
      </w:r>
      <w:r w:rsidRPr="00871214">
        <w:rPr>
          <w:b/>
          <w:bCs/>
        </w:rPr>
        <w:t>ADN génomique</w:t>
      </w:r>
      <w:r w:rsidRPr="00871214">
        <w:t xml:space="preserve"> a été extrait à partir de </w:t>
      </w:r>
      <w:r w:rsidRPr="00871214">
        <w:rPr>
          <w:b/>
          <w:bCs/>
        </w:rPr>
        <w:t>moelle osseuse</w:t>
      </w:r>
      <w:r w:rsidRPr="00871214">
        <w:t xml:space="preserve"> ou de </w:t>
      </w:r>
      <w:r w:rsidRPr="00871214">
        <w:rPr>
          <w:b/>
          <w:bCs/>
        </w:rPr>
        <w:t>sang périphérique</w:t>
      </w:r>
      <w:r w:rsidRPr="00871214">
        <w:t>.</w:t>
      </w:r>
      <w:r w:rsidRPr="00871214">
        <w:br/>
        <w:t xml:space="preserve">Les mutations </w:t>
      </w:r>
      <w:r w:rsidRPr="00871214">
        <w:rPr>
          <w:b/>
          <w:bCs/>
        </w:rPr>
        <w:t>WT1 (exon 7)</w:t>
      </w:r>
      <w:r w:rsidRPr="00871214">
        <w:t xml:space="preserve">, </w:t>
      </w:r>
      <w:r w:rsidRPr="00871214">
        <w:rPr>
          <w:b/>
          <w:bCs/>
        </w:rPr>
        <w:t>FLT3-ITD</w:t>
      </w:r>
      <w:r w:rsidRPr="00871214">
        <w:t xml:space="preserve"> et </w:t>
      </w:r>
      <w:r w:rsidRPr="00871214">
        <w:rPr>
          <w:b/>
          <w:bCs/>
        </w:rPr>
        <w:t>NPM1</w:t>
      </w:r>
      <w:r w:rsidRPr="00871214">
        <w:t xml:space="preserve"> ont été détectées par </w:t>
      </w:r>
      <w:r w:rsidRPr="00871214">
        <w:rPr>
          <w:b/>
          <w:bCs/>
        </w:rPr>
        <w:t>PCR</w:t>
      </w:r>
      <w:r w:rsidRPr="00871214">
        <w:t xml:space="preserve">, suivie d’un </w:t>
      </w:r>
      <w:r w:rsidRPr="00871214">
        <w:rPr>
          <w:b/>
          <w:bCs/>
        </w:rPr>
        <w:t>séquençage Sanger</w:t>
      </w:r>
      <w:r w:rsidRPr="00871214">
        <w:t xml:space="preserve">, avec des </w:t>
      </w:r>
      <w:r w:rsidRPr="00871214">
        <w:rPr>
          <w:b/>
          <w:bCs/>
        </w:rPr>
        <w:t>amorces spécifiques</w:t>
      </w:r>
      <w:r w:rsidRPr="00871214">
        <w:t xml:space="preserve"> pour chaque gène.</w:t>
      </w:r>
      <w:r w:rsidRPr="00871214">
        <w:br/>
      </w:r>
      <w:r w:rsidRPr="00871214">
        <w:rPr>
          <w:rFonts w:ascii="Segoe UI Emoji" w:hAnsi="Segoe UI Emoji" w:cs="Segoe UI Emoji"/>
        </w:rPr>
        <w:t>➡️</w:t>
      </w:r>
      <w:r w:rsidRPr="00871214">
        <w:t xml:space="preserve"> Objectif : déterminer le </w:t>
      </w:r>
      <w:r w:rsidRPr="00871214">
        <w:rPr>
          <w:b/>
          <w:bCs/>
        </w:rPr>
        <w:t>profil mutationnel</w:t>
      </w:r>
      <w:r w:rsidRPr="00871214">
        <w:t xml:space="preserve"> de chaque patient.</w:t>
      </w:r>
    </w:p>
    <w:p w14:paraId="3A9AE711" w14:textId="77777777" w:rsidR="00871214" w:rsidRPr="00871214" w:rsidRDefault="003720C1" w:rsidP="00871214">
      <w:r>
        <w:pict w14:anchorId="2340F465">
          <v:rect id="_x0000_i1027" style="width:0;height:1.5pt" o:hralign="center" o:hrstd="t" o:hr="t" fillcolor="#a0a0a0" stroked="f"/>
        </w:pict>
      </w:r>
    </w:p>
    <w:p w14:paraId="639F477F" w14:textId="77777777" w:rsidR="00871214" w:rsidRPr="00871214" w:rsidRDefault="00871214" w:rsidP="00871214">
      <w:pPr>
        <w:rPr>
          <w:b/>
          <w:bCs/>
        </w:rPr>
      </w:pPr>
      <w:r w:rsidRPr="00871214">
        <w:rPr>
          <w:rFonts w:ascii="Segoe UI Emoji" w:hAnsi="Segoe UI Emoji" w:cs="Segoe UI Emoji"/>
          <w:b/>
          <w:bCs/>
        </w:rPr>
        <w:t>🔹</w:t>
      </w:r>
      <w:r w:rsidRPr="00871214">
        <w:rPr>
          <w:b/>
          <w:bCs/>
        </w:rPr>
        <w:t xml:space="preserve"> 4. Analyse statistique</w:t>
      </w:r>
    </w:p>
    <w:p w14:paraId="7086C88C" w14:textId="77777777" w:rsidR="00871214" w:rsidRPr="00871214" w:rsidRDefault="00871214" w:rsidP="00871214">
      <w:r w:rsidRPr="00871214">
        <w:t xml:space="preserve">Les données ont été traitées avec </w:t>
      </w:r>
      <w:r w:rsidRPr="00871214">
        <w:rPr>
          <w:b/>
          <w:bCs/>
        </w:rPr>
        <w:t>SPSS v28</w:t>
      </w:r>
      <w:r w:rsidRPr="00871214">
        <w:t>.</w:t>
      </w:r>
    </w:p>
    <w:p w14:paraId="7DC894E6" w14:textId="77777777" w:rsidR="00871214" w:rsidRPr="00871214" w:rsidRDefault="00871214" w:rsidP="00871214">
      <w:pPr>
        <w:numPr>
          <w:ilvl w:val="0"/>
          <w:numId w:val="8"/>
        </w:numPr>
      </w:pPr>
      <w:r w:rsidRPr="00871214">
        <w:rPr>
          <w:b/>
          <w:bCs/>
        </w:rPr>
        <w:t xml:space="preserve">Test de </w:t>
      </w:r>
      <w:proofErr w:type="spellStart"/>
      <w:r w:rsidRPr="00871214">
        <w:rPr>
          <w:b/>
          <w:bCs/>
        </w:rPr>
        <w:t>Student</w:t>
      </w:r>
      <w:proofErr w:type="spellEnd"/>
      <w:r w:rsidRPr="00871214">
        <w:t xml:space="preserve"> pour les variables normales (</w:t>
      </w:r>
      <w:proofErr w:type="spellStart"/>
      <w:r w:rsidRPr="00871214">
        <w:t>Hb</w:t>
      </w:r>
      <w:proofErr w:type="spellEnd"/>
      <w:r w:rsidRPr="00871214">
        <w:t>)</w:t>
      </w:r>
    </w:p>
    <w:p w14:paraId="13052714" w14:textId="77777777" w:rsidR="00871214" w:rsidRPr="00871214" w:rsidRDefault="00871214" w:rsidP="00871214">
      <w:pPr>
        <w:numPr>
          <w:ilvl w:val="0"/>
          <w:numId w:val="8"/>
        </w:numPr>
      </w:pPr>
      <w:r w:rsidRPr="00871214">
        <w:rPr>
          <w:b/>
          <w:bCs/>
        </w:rPr>
        <w:t>Test de Mann-Whitney</w:t>
      </w:r>
      <w:r w:rsidRPr="00871214">
        <w:t xml:space="preserve"> pour les variables non normales (WBC, plaquettes, LDH).</w:t>
      </w:r>
      <w:r w:rsidRPr="00871214">
        <w:br/>
        <w:t xml:space="preserve">Les </w:t>
      </w:r>
      <w:r w:rsidRPr="00871214">
        <w:rPr>
          <w:b/>
          <w:bCs/>
        </w:rPr>
        <w:t>survies globale (SG)</w:t>
      </w:r>
      <w:r w:rsidRPr="00871214">
        <w:t xml:space="preserve"> et </w:t>
      </w:r>
      <w:r w:rsidRPr="00871214">
        <w:rPr>
          <w:b/>
          <w:bCs/>
        </w:rPr>
        <w:t>sans récidive (SSR)</w:t>
      </w:r>
      <w:r w:rsidRPr="00871214">
        <w:t xml:space="preserve"> ont été évaluées selon </w:t>
      </w:r>
      <w:r w:rsidRPr="00871214">
        <w:rPr>
          <w:b/>
          <w:bCs/>
        </w:rPr>
        <w:t>Kaplan-Meier</w:t>
      </w:r>
      <w:r w:rsidRPr="00871214">
        <w:t>.</w:t>
      </w:r>
    </w:p>
    <w:p w14:paraId="683B889A" w14:textId="47B8F6EB" w:rsidR="00871214" w:rsidRDefault="00871214" w:rsidP="00871214"/>
    <w:p w14:paraId="39B75CC7" w14:textId="77777777" w:rsidR="00A52611" w:rsidRDefault="00A52611" w:rsidP="00871214"/>
    <w:p w14:paraId="2411959C" w14:textId="77777777" w:rsidR="00A52611" w:rsidRDefault="00A52611" w:rsidP="00871214"/>
    <w:p w14:paraId="4DD757BB" w14:textId="77777777" w:rsidR="00A52611" w:rsidRDefault="00A52611" w:rsidP="00871214"/>
    <w:p w14:paraId="0B635B81" w14:textId="77777777" w:rsidR="00A52611" w:rsidRDefault="00A52611" w:rsidP="0087121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2054"/>
        <w:gridCol w:w="1951"/>
        <w:gridCol w:w="3834"/>
      </w:tblGrid>
      <w:tr w:rsidR="00A52611" w:rsidRPr="00A52611" w14:paraId="0F929A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A9FB4" w14:textId="77777777" w:rsidR="00A52611" w:rsidRPr="00A52611" w:rsidRDefault="00A52611" w:rsidP="00A52611">
            <w:pPr>
              <w:rPr>
                <w:b/>
                <w:bCs/>
              </w:rPr>
            </w:pPr>
            <w:r w:rsidRPr="00A52611">
              <w:rPr>
                <w:b/>
                <w:bCs/>
              </w:rPr>
              <w:lastRenderedPageBreak/>
              <w:t>Type d’analyse</w:t>
            </w:r>
          </w:p>
        </w:tc>
        <w:tc>
          <w:tcPr>
            <w:tcW w:w="0" w:type="auto"/>
            <w:vAlign w:val="center"/>
            <w:hideMark/>
          </w:tcPr>
          <w:p w14:paraId="24FD8FCA" w14:textId="77777777" w:rsidR="00A52611" w:rsidRPr="00A52611" w:rsidRDefault="00A52611" w:rsidP="00A52611">
            <w:pPr>
              <w:rPr>
                <w:b/>
                <w:bCs/>
              </w:rPr>
            </w:pPr>
            <w:r w:rsidRPr="00A52611">
              <w:rPr>
                <w:b/>
                <w:bCs/>
              </w:rPr>
              <w:t>Ce qu’ils ont étudié</w:t>
            </w:r>
          </w:p>
        </w:tc>
        <w:tc>
          <w:tcPr>
            <w:tcW w:w="0" w:type="auto"/>
            <w:vAlign w:val="center"/>
            <w:hideMark/>
          </w:tcPr>
          <w:p w14:paraId="2E81FDB1" w14:textId="77777777" w:rsidR="00A52611" w:rsidRPr="00A52611" w:rsidRDefault="00A52611" w:rsidP="00A52611">
            <w:pPr>
              <w:rPr>
                <w:b/>
                <w:bCs/>
              </w:rPr>
            </w:pPr>
            <w:r w:rsidRPr="00A52611">
              <w:rPr>
                <w:b/>
                <w:bCs/>
              </w:rPr>
              <w:t>Pourquoi (objectif)</w:t>
            </w:r>
          </w:p>
        </w:tc>
        <w:tc>
          <w:tcPr>
            <w:tcW w:w="0" w:type="auto"/>
            <w:vAlign w:val="center"/>
            <w:hideMark/>
          </w:tcPr>
          <w:p w14:paraId="4BEE49D0" w14:textId="77777777" w:rsidR="00A52611" w:rsidRPr="00A52611" w:rsidRDefault="00A52611" w:rsidP="00A52611">
            <w:pPr>
              <w:rPr>
                <w:b/>
                <w:bCs/>
              </w:rPr>
            </w:pPr>
            <w:r w:rsidRPr="00A52611">
              <w:rPr>
                <w:b/>
                <w:bCs/>
              </w:rPr>
              <w:t>Résultats observés</w:t>
            </w:r>
          </w:p>
        </w:tc>
      </w:tr>
      <w:tr w:rsidR="00A52611" w:rsidRPr="00A52611" w14:paraId="34F42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14729" w14:textId="77777777" w:rsidR="00A52611" w:rsidRPr="00A52611" w:rsidRDefault="00A52611" w:rsidP="00A52611">
            <w:r w:rsidRPr="00A52611">
              <w:rPr>
                <w:b/>
                <w:bCs/>
              </w:rPr>
              <w:t>WT1 seul</w:t>
            </w:r>
          </w:p>
        </w:tc>
        <w:tc>
          <w:tcPr>
            <w:tcW w:w="0" w:type="auto"/>
            <w:vAlign w:val="center"/>
            <w:hideMark/>
          </w:tcPr>
          <w:p w14:paraId="11539B22" w14:textId="77777777" w:rsidR="00A52611" w:rsidRPr="00A52611" w:rsidRDefault="00A52611" w:rsidP="00A52611">
            <w:r w:rsidRPr="00A52611">
              <w:t>Fréquence + effet sur la survie</w:t>
            </w:r>
          </w:p>
        </w:tc>
        <w:tc>
          <w:tcPr>
            <w:tcW w:w="0" w:type="auto"/>
            <w:vAlign w:val="center"/>
            <w:hideMark/>
          </w:tcPr>
          <w:p w14:paraId="4F731369" w14:textId="77777777" w:rsidR="00A52611" w:rsidRPr="00A52611" w:rsidRDefault="00A52611" w:rsidP="00A52611">
            <w:r w:rsidRPr="00A52611">
              <w:t>Voir si WT1 influence la gravité ou la survie</w:t>
            </w:r>
          </w:p>
        </w:tc>
        <w:tc>
          <w:tcPr>
            <w:tcW w:w="0" w:type="auto"/>
            <w:vAlign w:val="center"/>
            <w:hideMark/>
          </w:tcPr>
          <w:p w14:paraId="0CBC757F" w14:textId="77777777" w:rsidR="00A52611" w:rsidRPr="00A52611" w:rsidRDefault="00A52611" w:rsidP="00A52611">
            <w:r w:rsidRPr="00A52611">
              <w:t xml:space="preserve">Présent chez </w:t>
            </w:r>
            <w:r w:rsidRPr="00A52611">
              <w:rPr>
                <w:b/>
                <w:bCs/>
              </w:rPr>
              <w:t>12,6 %</w:t>
            </w:r>
            <w:r w:rsidRPr="00A52611">
              <w:t xml:space="preserve"> des patients (plus que d’autres études). </w:t>
            </w:r>
            <w:r w:rsidRPr="00A52611">
              <w:rPr>
                <w:rFonts w:ascii="Segoe UI Emoji" w:hAnsi="Segoe UI Emoji" w:cs="Segoe UI Emoji"/>
              </w:rPr>
              <w:t>🔹</w:t>
            </w:r>
            <w:r w:rsidRPr="00A52611">
              <w:t xml:space="preserve">Pas de lien significatif avec la survie (p = 0,744). </w:t>
            </w:r>
            <w:r w:rsidRPr="00A52611">
              <w:rPr>
                <w:rFonts w:ascii="Segoe UI Emoji" w:hAnsi="Segoe UI Emoji" w:cs="Segoe UI Emoji"/>
              </w:rPr>
              <w:t>🔹</w:t>
            </w:r>
            <w:r w:rsidRPr="00A52611">
              <w:t xml:space="preserve">Mutation WT1 surtout retrouvée dans le sous-type </w:t>
            </w:r>
            <w:r w:rsidRPr="00A52611">
              <w:rPr>
                <w:b/>
                <w:bCs/>
              </w:rPr>
              <w:t>M4 (42,1 %)</w:t>
            </w:r>
            <w:r w:rsidRPr="00A52611">
              <w:t>.</w:t>
            </w:r>
          </w:p>
        </w:tc>
      </w:tr>
      <w:tr w:rsidR="00A52611" w:rsidRPr="00A52611" w14:paraId="3A98E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5DAB" w14:textId="77777777" w:rsidR="00A52611" w:rsidRPr="00A52611" w:rsidRDefault="00A52611" w:rsidP="00A52611">
            <w:r w:rsidRPr="00A52611">
              <w:rPr>
                <w:b/>
                <w:bCs/>
              </w:rPr>
              <w:t>FLT3-ITD seul</w:t>
            </w:r>
          </w:p>
        </w:tc>
        <w:tc>
          <w:tcPr>
            <w:tcW w:w="0" w:type="auto"/>
            <w:vAlign w:val="center"/>
            <w:hideMark/>
          </w:tcPr>
          <w:p w14:paraId="6165383E" w14:textId="77777777" w:rsidR="00A52611" w:rsidRPr="00A52611" w:rsidRDefault="00A52611" w:rsidP="00A52611">
            <w:r w:rsidRPr="00A52611">
              <w:t>Fréquence + effet sur LDH/survie</w:t>
            </w:r>
          </w:p>
        </w:tc>
        <w:tc>
          <w:tcPr>
            <w:tcW w:w="0" w:type="auto"/>
            <w:vAlign w:val="center"/>
            <w:hideMark/>
          </w:tcPr>
          <w:p w14:paraId="032B9B89" w14:textId="77777777" w:rsidR="00A52611" w:rsidRPr="00A52611" w:rsidRDefault="00A52611" w:rsidP="00A52611">
            <w:r w:rsidRPr="00A52611">
              <w:t>Connue pour être une mutation “agressive” → voir si même effet ici</w:t>
            </w:r>
          </w:p>
        </w:tc>
        <w:tc>
          <w:tcPr>
            <w:tcW w:w="0" w:type="auto"/>
            <w:vAlign w:val="center"/>
            <w:hideMark/>
          </w:tcPr>
          <w:p w14:paraId="3AFA97A8" w14:textId="77777777" w:rsidR="00A52611" w:rsidRPr="00A52611" w:rsidRDefault="00A52611" w:rsidP="00A52611">
            <w:r w:rsidRPr="00A52611">
              <w:t xml:space="preserve">Présente chez </w:t>
            </w:r>
            <w:r w:rsidRPr="00A52611">
              <w:rPr>
                <w:b/>
                <w:bCs/>
              </w:rPr>
              <w:t>23,3 %</w:t>
            </w:r>
            <w:r w:rsidRPr="00A52611">
              <w:t xml:space="preserve"> des patients. </w:t>
            </w:r>
            <w:r w:rsidRPr="00A52611">
              <w:rPr>
                <w:rFonts w:ascii="Segoe UI Emoji" w:hAnsi="Segoe UI Emoji" w:cs="Segoe UI Emoji"/>
              </w:rPr>
              <w:t>🔹</w:t>
            </w:r>
            <w:r w:rsidRPr="00A52611">
              <w:t xml:space="preserve">Les cas FLT3-ITD mutants avaient un </w:t>
            </w:r>
            <w:r w:rsidRPr="00A52611">
              <w:rPr>
                <w:b/>
                <w:bCs/>
              </w:rPr>
              <w:t>taux de LDH plus élevé (1281 u/L vs 756 u/L)</w:t>
            </w:r>
            <w:r w:rsidRPr="00A52611">
              <w:t xml:space="preserve"> → maladie plus active. </w:t>
            </w:r>
            <w:r w:rsidRPr="00A52611">
              <w:rPr>
                <w:rFonts w:ascii="Segoe UI Emoji" w:hAnsi="Segoe UI Emoji" w:cs="Segoe UI Emoji"/>
              </w:rPr>
              <w:t>🔹</w:t>
            </w:r>
            <w:r w:rsidRPr="00A52611">
              <w:t xml:space="preserve">Mais </w:t>
            </w:r>
            <w:r w:rsidRPr="00A52611">
              <w:rPr>
                <w:b/>
                <w:bCs/>
              </w:rPr>
              <w:t>aucune différence significative sur la survie</w:t>
            </w:r>
            <w:r w:rsidRPr="00A52611">
              <w:t xml:space="preserve"> (p = 0,58).</w:t>
            </w:r>
          </w:p>
        </w:tc>
      </w:tr>
      <w:tr w:rsidR="00A52611" w:rsidRPr="00A52611" w14:paraId="07C03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8BCC6" w14:textId="77777777" w:rsidR="00A52611" w:rsidRPr="00A52611" w:rsidRDefault="00A52611" w:rsidP="00A52611">
            <w:r w:rsidRPr="00A52611">
              <w:rPr>
                <w:b/>
                <w:bCs/>
              </w:rPr>
              <w:t>NPM1 seul</w:t>
            </w:r>
          </w:p>
        </w:tc>
        <w:tc>
          <w:tcPr>
            <w:tcW w:w="0" w:type="auto"/>
            <w:vAlign w:val="center"/>
            <w:hideMark/>
          </w:tcPr>
          <w:p w14:paraId="70CEB36C" w14:textId="77777777" w:rsidR="00A52611" w:rsidRPr="00A52611" w:rsidRDefault="00A52611" w:rsidP="00A52611">
            <w:r w:rsidRPr="00A52611">
              <w:t xml:space="preserve">Fréquence + effet sur </w:t>
            </w:r>
            <w:proofErr w:type="spellStart"/>
            <w:r w:rsidRPr="00A52611">
              <w:t>Hb</w:t>
            </w:r>
            <w:proofErr w:type="spellEnd"/>
            <w:r w:rsidRPr="00A52611">
              <w:t>/survie</w:t>
            </w:r>
          </w:p>
        </w:tc>
        <w:tc>
          <w:tcPr>
            <w:tcW w:w="0" w:type="auto"/>
            <w:vAlign w:val="center"/>
            <w:hideMark/>
          </w:tcPr>
          <w:p w14:paraId="44C6189E" w14:textId="77777777" w:rsidR="00A52611" w:rsidRPr="00A52611" w:rsidRDefault="00A52611" w:rsidP="00A52611">
            <w:r w:rsidRPr="00A52611">
              <w:t>Connue parfois comme mutation de bon pronostic</w:t>
            </w:r>
          </w:p>
        </w:tc>
        <w:tc>
          <w:tcPr>
            <w:tcW w:w="0" w:type="auto"/>
            <w:vAlign w:val="center"/>
            <w:hideMark/>
          </w:tcPr>
          <w:p w14:paraId="7EAB2BE7" w14:textId="77777777" w:rsidR="00A52611" w:rsidRPr="00A52611" w:rsidRDefault="00A52611" w:rsidP="00A52611">
            <w:r w:rsidRPr="00A52611">
              <w:t xml:space="preserve">Présente chez </w:t>
            </w:r>
            <w:r w:rsidRPr="00A52611">
              <w:rPr>
                <w:b/>
                <w:bCs/>
              </w:rPr>
              <w:t>25,3 %</w:t>
            </w:r>
            <w:r w:rsidRPr="00A52611">
              <w:t xml:space="preserve"> des patients. </w:t>
            </w:r>
            <w:r w:rsidRPr="00A52611">
              <w:rPr>
                <w:rFonts w:ascii="Segoe UI Emoji" w:hAnsi="Segoe UI Emoji" w:cs="Segoe UI Emoji"/>
              </w:rPr>
              <w:t>🔹</w:t>
            </w:r>
            <w:proofErr w:type="spellStart"/>
            <w:r w:rsidRPr="00A52611">
              <w:t>Hb</w:t>
            </w:r>
            <w:proofErr w:type="spellEnd"/>
            <w:r w:rsidRPr="00A52611">
              <w:t xml:space="preserve"> plus basse chez les mutants (7,9 g/L vs 8,6 g/L). </w:t>
            </w:r>
            <w:r w:rsidRPr="00A52611">
              <w:rPr>
                <w:rFonts w:ascii="Segoe UI Emoji" w:hAnsi="Segoe UI Emoji" w:cs="Segoe UI Emoji"/>
              </w:rPr>
              <w:t>🔹</w:t>
            </w:r>
            <w:r w:rsidRPr="00A52611">
              <w:t xml:space="preserve">Tendance à une </w:t>
            </w:r>
            <w:r w:rsidRPr="00A52611">
              <w:rPr>
                <w:b/>
                <w:bCs/>
              </w:rPr>
              <w:t>meilleure survie</w:t>
            </w:r>
            <w:r w:rsidRPr="00A52611">
              <w:t xml:space="preserve"> (55,7 % vs 37 %, p ≈ 0,057), mais non significative.</w:t>
            </w:r>
          </w:p>
        </w:tc>
      </w:tr>
      <w:tr w:rsidR="00A52611" w:rsidRPr="00A52611" w14:paraId="7641F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584F9" w14:textId="77777777" w:rsidR="00A52611" w:rsidRPr="00A52611" w:rsidRDefault="00A52611" w:rsidP="00A52611">
            <w:r w:rsidRPr="00A52611">
              <w:rPr>
                <w:b/>
                <w:bCs/>
              </w:rPr>
              <w:t>WT1 + FLT3-ITD</w:t>
            </w:r>
          </w:p>
        </w:tc>
        <w:tc>
          <w:tcPr>
            <w:tcW w:w="0" w:type="auto"/>
            <w:vAlign w:val="center"/>
            <w:hideMark/>
          </w:tcPr>
          <w:p w14:paraId="414B4B7A" w14:textId="77777777" w:rsidR="00A52611" w:rsidRPr="00A52611" w:rsidRDefault="00A52611" w:rsidP="00A52611">
            <w:r w:rsidRPr="00A52611">
              <w:t>Interaction possible entre mutation “agressive” (FLT3) et “mauvais pronostic” (WT1)</w:t>
            </w:r>
          </w:p>
        </w:tc>
        <w:tc>
          <w:tcPr>
            <w:tcW w:w="0" w:type="auto"/>
            <w:vAlign w:val="center"/>
            <w:hideMark/>
          </w:tcPr>
          <w:p w14:paraId="009B6D74" w14:textId="77777777" w:rsidR="00A52611" w:rsidRPr="00A52611" w:rsidRDefault="00A52611" w:rsidP="00A52611">
            <w:r w:rsidRPr="00A52611">
              <w:t>Voir si combinaison aggrave la maladie</w:t>
            </w:r>
          </w:p>
        </w:tc>
        <w:tc>
          <w:tcPr>
            <w:tcW w:w="0" w:type="auto"/>
            <w:vAlign w:val="center"/>
            <w:hideMark/>
          </w:tcPr>
          <w:p w14:paraId="65C29E5B" w14:textId="77777777" w:rsidR="00A52611" w:rsidRPr="00A52611" w:rsidRDefault="00A52611" w:rsidP="00A52611">
            <w:r w:rsidRPr="00A52611">
              <w:t xml:space="preserve">Environ </w:t>
            </w:r>
            <w:r w:rsidRPr="00A52611">
              <w:rPr>
                <w:b/>
                <w:bCs/>
              </w:rPr>
              <w:t>22,9 %</w:t>
            </w:r>
            <w:r w:rsidRPr="00A52611">
              <w:t xml:space="preserve"> des FLT3-ITD+ avaient aussi WT1. </w:t>
            </w:r>
            <w:r w:rsidRPr="00A52611">
              <w:rPr>
                <w:rFonts w:ascii="Segoe UI Emoji" w:hAnsi="Segoe UI Emoji" w:cs="Segoe UI Emoji"/>
              </w:rPr>
              <w:t>🔹</w:t>
            </w:r>
            <w:r w:rsidRPr="00A52611">
              <w:t>Pas assez de cas pour conclusion solide.</w:t>
            </w:r>
          </w:p>
        </w:tc>
      </w:tr>
      <w:tr w:rsidR="00A52611" w:rsidRPr="00A52611" w14:paraId="0EA29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C961E" w14:textId="77777777" w:rsidR="00A52611" w:rsidRPr="00A52611" w:rsidRDefault="00A52611" w:rsidP="00A52611">
            <w:r w:rsidRPr="00A52611">
              <w:rPr>
                <w:b/>
                <w:bCs/>
              </w:rPr>
              <w:t>WT1 + NPM1</w:t>
            </w:r>
          </w:p>
        </w:tc>
        <w:tc>
          <w:tcPr>
            <w:tcW w:w="0" w:type="auto"/>
            <w:vAlign w:val="center"/>
            <w:hideMark/>
          </w:tcPr>
          <w:p w14:paraId="75A7E4F9" w14:textId="77777777" w:rsidR="00A52611" w:rsidRPr="00A52611" w:rsidRDefault="00A52611" w:rsidP="00A52611">
            <w:r w:rsidRPr="00A52611">
              <w:t>Interaction entre WT1 (souvent mauvais) et NPM1 (souvent bon)</w:t>
            </w:r>
          </w:p>
        </w:tc>
        <w:tc>
          <w:tcPr>
            <w:tcW w:w="0" w:type="auto"/>
            <w:vAlign w:val="center"/>
            <w:hideMark/>
          </w:tcPr>
          <w:p w14:paraId="450809C3" w14:textId="77777777" w:rsidR="00A52611" w:rsidRPr="00A52611" w:rsidRDefault="00A52611" w:rsidP="00A52611">
            <w:r w:rsidRPr="00A52611">
              <w:t>Voir si effets se compensent ou s’aggravent</w:t>
            </w:r>
          </w:p>
        </w:tc>
        <w:tc>
          <w:tcPr>
            <w:tcW w:w="0" w:type="auto"/>
            <w:vAlign w:val="center"/>
            <w:hideMark/>
          </w:tcPr>
          <w:p w14:paraId="606B477E" w14:textId="77777777" w:rsidR="00A52611" w:rsidRPr="00A52611" w:rsidRDefault="00A52611" w:rsidP="00A52611">
            <w:r w:rsidRPr="00A52611">
              <w:t xml:space="preserve">21,1 % des NPM1mut avaient aussi WT1. </w:t>
            </w:r>
            <w:r w:rsidRPr="00A52611">
              <w:rPr>
                <w:rFonts w:ascii="Segoe UI Emoji" w:hAnsi="Segoe UI Emoji" w:cs="Segoe UI Emoji"/>
              </w:rPr>
              <w:t>🔹</w:t>
            </w:r>
            <w:r w:rsidRPr="00A52611">
              <w:t>Pas de résultat significatif.</w:t>
            </w:r>
          </w:p>
        </w:tc>
      </w:tr>
      <w:tr w:rsidR="00A52611" w:rsidRPr="00A52611" w14:paraId="296FD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821C" w14:textId="77777777" w:rsidR="00A52611" w:rsidRPr="00A52611" w:rsidRDefault="00A52611" w:rsidP="00A52611">
            <w:pPr>
              <w:rPr>
                <w:lang w:val="en-US"/>
              </w:rPr>
            </w:pPr>
            <w:r w:rsidRPr="00A52611">
              <w:rPr>
                <w:b/>
                <w:bCs/>
                <w:lang w:val="en-US"/>
              </w:rPr>
              <w:t>WT1 + FLT3-ITD + NPM1 (triple)</w:t>
            </w:r>
          </w:p>
        </w:tc>
        <w:tc>
          <w:tcPr>
            <w:tcW w:w="0" w:type="auto"/>
            <w:vAlign w:val="center"/>
            <w:hideMark/>
          </w:tcPr>
          <w:p w14:paraId="38CC3634" w14:textId="77777777" w:rsidR="00A52611" w:rsidRPr="00A52611" w:rsidRDefault="00A52611" w:rsidP="00A52611">
            <w:r w:rsidRPr="00A52611">
              <w:t>Voir effet combiné des 3 mutations</w:t>
            </w:r>
          </w:p>
        </w:tc>
        <w:tc>
          <w:tcPr>
            <w:tcW w:w="0" w:type="auto"/>
            <w:vAlign w:val="center"/>
            <w:hideMark/>
          </w:tcPr>
          <w:p w14:paraId="0D482E0E" w14:textId="77777777" w:rsidR="00A52611" w:rsidRPr="00A52611" w:rsidRDefault="00A52611" w:rsidP="00A52611">
            <w:r w:rsidRPr="00A52611">
              <w:t>Hypothèse : triple mutation = plus mauvais pronostic</w:t>
            </w:r>
          </w:p>
        </w:tc>
        <w:tc>
          <w:tcPr>
            <w:tcW w:w="0" w:type="auto"/>
            <w:vAlign w:val="center"/>
            <w:hideMark/>
          </w:tcPr>
          <w:p w14:paraId="251B754D" w14:textId="77777777" w:rsidR="00A52611" w:rsidRPr="00A52611" w:rsidRDefault="00A52611" w:rsidP="00A52611">
            <w:r w:rsidRPr="00A52611">
              <w:t xml:space="preserve">Seulement </w:t>
            </w:r>
            <w:r w:rsidRPr="00A52611">
              <w:rPr>
                <w:b/>
                <w:bCs/>
              </w:rPr>
              <w:t>3 patients</w:t>
            </w:r>
            <w:r w:rsidRPr="00A52611">
              <w:t xml:space="preserve"> → trop peu → </w:t>
            </w:r>
            <w:r w:rsidRPr="00A52611">
              <w:rPr>
                <w:b/>
                <w:bCs/>
              </w:rPr>
              <w:t>pas d’analyse statistique possible.</w:t>
            </w:r>
          </w:p>
        </w:tc>
      </w:tr>
      <w:tr w:rsidR="00A52611" w:rsidRPr="00A52611" w14:paraId="210EE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3294A" w14:textId="77777777" w:rsidR="00A52611" w:rsidRPr="00A52611" w:rsidRDefault="00A52611" w:rsidP="00A52611">
            <w:r w:rsidRPr="00A52611">
              <w:rPr>
                <w:b/>
                <w:bCs/>
              </w:rPr>
              <w:t xml:space="preserve">LDH, </w:t>
            </w:r>
            <w:proofErr w:type="spellStart"/>
            <w:r w:rsidRPr="00A52611">
              <w:rPr>
                <w:b/>
                <w:bCs/>
              </w:rPr>
              <w:t>Hb</w:t>
            </w:r>
            <w:proofErr w:type="spellEnd"/>
            <w:r w:rsidRPr="00A52611">
              <w:rPr>
                <w:b/>
                <w:bCs/>
              </w:rPr>
              <w:t>, etc.</w:t>
            </w:r>
          </w:p>
        </w:tc>
        <w:tc>
          <w:tcPr>
            <w:tcW w:w="0" w:type="auto"/>
            <w:vAlign w:val="center"/>
            <w:hideMark/>
          </w:tcPr>
          <w:p w14:paraId="22A3D486" w14:textId="77777777" w:rsidR="00A52611" w:rsidRPr="00A52611" w:rsidRDefault="00A52611" w:rsidP="00A52611">
            <w:r w:rsidRPr="00A52611">
              <w:t>Corrélation avec les mutations</w:t>
            </w:r>
          </w:p>
        </w:tc>
        <w:tc>
          <w:tcPr>
            <w:tcW w:w="0" w:type="auto"/>
            <w:vAlign w:val="center"/>
            <w:hideMark/>
          </w:tcPr>
          <w:p w14:paraId="021CEDF4" w14:textId="77777777" w:rsidR="00A52611" w:rsidRPr="00A52611" w:rsidRDefault="00A52611" w:rsidP="00A52611">
            <w:r w:rsidRPr="00A52611">
              <w:t>Voir si les mutations modifient les paramètres biologiques</w:t>
            </w:r>
          </w:p>
        </w:tc>
        <w:tc>
          <w:tcPr>
            <w:tcW w:w="0" w:type="auto"/>
            <w:vAlign w:val="center"/>
            <w:hideMark/>
          </w:tcPr>
          <w:p w14:paraId="2AE151E1" w14:textId="77777777" w:rsidR="00A52611" w:rsidRPr="00A52611" w:rsidRDefault="00A52611" w:rsidP="00A52611">
            <w:r w:rsidRPr="00A52611">
              <w:rPr>
                <w:rFonts w:ascii="Segoe UI Emoji" w:hAnsi="Segoe UI Emoji" w:cs="Segoe UI Emoji"/>
              </w:rPr>
              <w:t>🔹</w:t>
            </w:r>
            <w:r w:rsidRPr="00A52611">
              <w:t xml:space="preserve">FLT3-ITD → LDH ↑ (p = 0,003) </w:t>
            </w:r>
            <w:r w:rsidRPr="00A52611">
              <w:rPr>
                <w:rFonts w:ascii="Segoe UI Emoji" w:hAnsi="Segoe UI Emoji" w:cs="Segoe UI Emoji"/>
              </w:rPr>
              <w:t>🔹</w:t>
            </w:r>
            <w:r w:rsidRPr="00A52611">
              <w:t xml:space="preserve">NPM1 → </w:t>
            </w:r>
            <w:proofErr w:type="spellStart"/>
            <w:r w:rsidRPr="00A52611">
              <w:t>Hb</w:t>
            </w:r>
            <w:proofErr w:type="spellEnd"/>
            <w:r w:rsidRPr="00A52611">
              <w:t xml:space="preserve"> ↓ (p = 0,04) </w:t>
            </w:r>
            <w:r w:rsidRPr="00A52611">
              <w:rPr>
                <w:rFonts w:ascii="Segoe UI Emoji" w:hAnsi="Segoe UI Emoji" w:cs="Segoe UI Emoji"/>
              </w:rPr>
              <w:t>🔹</w:t>
            </w:r>
            <w:r w:rsidRPr="00A52611">
              <w:t>WT1 → associée au type M4 (p = 0,0036).</w:t>
            </w:r>
          </w:p>
        </w:tc>
      </w:tr>
    </w:tbl>
    <w:p w14:paraId="71C1F31C" w14:textId="77777777" w:rsidR="00A52611" w:rsidRPr="00A52611" w:rsidRDefault="00A52611" w:rsidP="00A52611">
      <w:pPr>
        <w:rPr>
          <w:b/>
          <w:bCs/>
        </w:rPr>
      </w:pPr>
      <w:r w:rsidRPr="00A52611">
        <w:rPr>
          <w:b/>
          <w:bCs/>
        </w:rPr>
        <w:t>Résultats – Version exposé</w:t>
      </w:r>
    </w:p>
    <w:p w14:paraId="3898752E" w14:textId="77777777" w:rsidR="00A52611" w:rsidRPr="00A52611" w:rsidRDefault="00A52611" w:rsidP="00A52611">
      <w:pPr>
        <w:rPr>
          <w:b/>
          <w:bCs/>
        </w:rPr>
      </w:pPr>
      <w:r w:rsidRPr="00A52611">
        <w:rPr>
          <w:rFonts w:ascii="Segoe UI Emoji" w:hAnsi="Segoe UI Emoji" w:cs="Segoe UI Emoji"/>
          <w:b/>
          <w:bCs/>
        </w:rPr>
        <w:t>🔹</w:t>
      </w:r>
      <w:r w:rsidRPr="00A52611">
        <w:rPr>
          <w:b/>
          <w:bCs/>
        </w:rPr>
        <w:t xml:space="preserve"> 1. Fréquence des mutations</w:t>
      </w:r>
    </w:p>
    <w:p w14:paraId="4BD447CB" w14:textId="77777777" w:rsidR="00A52611" w:rsidRPr="00A52611" w:rsidRDefault="00A52611" w:rsidP="00A52611">
      <w:pPr>
        <w:numPr>
          <w:ilvl w:val="0"/>
          <w:numId w:val="9"/>
        </w:numPr>
      </w:pPr>
      <w:r w:rsidRPr="00A52611">
        <w:rPr>
          <w:b/>
          <w:bCs/>
        </w:rPr>
        <w:t>Au moins une mutation</w:t>
      </w:r>
      <w:r w:rsidRPr="00A52611">
        <w:t xml:space="preserve"> (WT1, FLT3-ITD ou NPM1) a été identifiée chez </w:t>
      </w:r>
      <w:r w:rsidRPr="00A52611">
        <w:rPr>
          <w:b/>
          <w:bCs/>
        </w:rPr>
        <w:t>61,3 %</w:t>
      </w:r>
      <w:r w:rsidRPr="00A52611">
        <w:t xml:space="preserve"> des 150 patients atteints de </w:t>
      </w:r>
      <w:r w:rsidRPr="00A52611">
        <w:rPr>
          <w:b/>
          <w:bCs/>
        </w:rPr>
        <w:t>LMA à caryotype normal (LMA-CN)</w:t>
      </w:r>
      <w:r w:rsidRPr="00A52611">
        <w:t>.</w:t>
      </w:r>
    </w:p>
    <w:p w14:paraId="29D307AC" w14:textId="77777777" w:rsidR="00A52611" w:rsidRPr="00A52611" w:rsidRDefault="00A52611" w:rsidP="00A52611">
      <w:pPr>
        <w:numPr>
          <w:ilvl w:val="0"/>
          <w:numId w:val="9"/>
        </w:numPr>
      </w:pPr>
      <w:r w:rsidRPr="00A52611">
        <w:rPr>
          <w:b/>
          <w:bCs/>
        </w:rPr>
        <w:t>Répartition :</w:t>
      </w:r>
    </w:p>
    <w:p w14:paraId="1FDA0B8E" w14:textId="77777777" w:rsidR="00A52611" w:rsidRPr="00A52611" w:rsidRDefault="00A52611" w:rsidP="00A52611">
      <w:pPr>
        <w:numPr>
          <w:ilvl w:val="1"/>
          <w:numId w:val="9"/>
        </w:numPr>
      </w:pPr>
      <w:r w:rsidRPr="00A52611">
        <w:rPr>
          <w:b/>
          <w:bCs/>
        </w:rPr>
        <w:t>NPM1 :</w:t>
      </w:r>
      <w:r w:rsidRPr="00A52611">
        <w:t xml:space="preserve"> 25,3 %</w:t>
      </w:r>
    </w:p>
    <w:p w14:paraId="0AFA17A9" w14:textId="77777777" w:rsidR="00A52611" w:rsidRPr="00A52611" w:rsidRDefault="00A52611" w:rsidP="00A52611">
      <w:pPr>
        <w:numPr>
          <w:ilvl w:val="1"/>
          <w:numId w:val="9"/>
        </w:numPr>
      </w:pPr>
      <w:r w:rsidRPr="00A52611">
        <w:rPr>
          <w:b/>
          <w:bCs/>
        </w:rPr>
        <w:lastRenderedPageBreak/>
        <w:t>FLT3-ITD :</w:t>
      </w:r>
      <w:r w:rsidRPr="00A52611">
        <w:t xml:space="preserve"> 23,3 %</w:t>
      </w:r>
    </w:p>
    <w:p w14:paraId="376A7667" w14:textId="77777777" w:rsidR="00A52611" w:rsidRPr="00A52611" w:rsidRDefault="00A52611" w:rsidP="00A52611">
      <w:pPr>
        <w:numPr>
          <w:ilvl w:val="1"/>
          <w:numId w:val="9"/>
        </w:numPr>
      </w:pPr>
      <w:r w:rsidRPr="00A52611">
        <w:rPr>
          <w:b/>
          <w:bCs/>
        </w:rPr>
        <w:t>WT1 (exon 7) :</w:t>
      </w:r>
      <w:r w:rsidRPr="00A52611">
        <w:t xml:space="preserve"> 12,6 %</w:t>
      </w:r>
    </w:p>
    <w:p w14:paraId="0A4D1640" w14:textId="77777777" w:rsidR="00A52611" w:rsidRPr="00A52611" w:rsidRDefault="00A52611" w:rsidP="00A52611">
      <w:pPr>
        <w:numPr>
          <w:ilvl w:val="0"/>
          <w:numId w:val="9"/>
        </w:numPr>
      </w:pPr>
      <w:r w:rsidRPr="00A52611">
        <w:rPr>
          <w:b/>
          <w:bCs/>
        </w:rPr>
        <w:t>Combinaisons de mutations :</w:t>
      </w:r>
    </w:p>
    <w:p w14:paraId="4A5B5E01" w14:textId="77777777" w:rsidR="00A52611" w:rsidRPr="00A52611" w:rsidRDefault="00A52611" w:rsidP="00A52611">
      <w:pPr>
        <w:numPr>
          <w:ilvl w:val="1"/>
          <w:numId w:val="9"/>
        </w:numPr>
      </w:pPr>
      <w:r w:rsidRPr="00A52611">
        <w:t>NPM1 + WT1 → 5,3 %</w:t>
      </w:r>
    </w:p>
    <w:p w14:paraId="2E323484" w14:textId="77777777" w:rsidR="00A52611" w:rsidRPr="00A52611" w:rsidRDefault="00A52611" w:rsidP="00A52611">
      <w:pPr>
        <w:numPr>
          <w:ilvl w:val="1"/>
          <w:numId w:val="9"/>
        </w:numPr>
      </w:pPr>
      <w:r w:rsidRPr="00A52611">
        <w:t>NPM1 + FLT3-ITD → 8,7 %</w:t>
      </w:r>
    </w:p>
    <w:p w14:paraId="571571DC" w14:textId="77777777" w:rsidR="00A52611" w:rsidRPr="00A52611" w:rsidRDefault="00A52611" w:rsidP="00A52611">
      <w:pPr>
        <w:numPr>
          <w:ilvl w:val="1"/>
          <w:numId w:val="9"/>
        </w:numPr>
      </w:pPr>
      <w:r w:rsidRPr="00A52611">
        <w:t>FLT3-ITD + WT1 → 5,3 %</w:t>
      </w:r>
    </w:p>
    <w:p w14:paraId="6CBDF0D1" w14:textId="77777777" w:rsidR="00A52611" w:rsidRPr="00A52611" w:rsidRDefault="00A52611" w:rsidP="00A52611">
      <w:pPr>
        <w:numPr>
          <w:ilvl w:val="1"/>
          <w:numId w:val="9"/>
        </w:numPr>
        <w:rPr>
          <w:lang w:val="en-US"/>
        </w:rPr>
      </w:pPr>
      <w:r w:rsidRPr="00A52611">
        <w:rPr>
          <w:lang w:val="en-US"/>
        </w:rPr>
        <w:t>Triple mutation (WT1 + FLT3-ITD + NPM1) → 2 %</w:t>
      </w:r>
    </w:p>
    <w:p w14:paraId="4DCC7158" w14:textId="77777777" w:rsidR="00A52611" w:rsidRPr="00A52611" w:rsidRDefault="003720C1" w:rsidP="00A52611">
      <w:r>
        <w:pict w14:anchorId="2E2E8168">
          <v:rect id="_x0000_i1028" style="width:0;height:1.5pt" o:hralign="center" o:hrstd="t" o:hr="t" fillcolor="#a0a0a0" stroked="f"/>
        </w:pict>
      </w:r>
    </w:p>
    <w:p w14:paraId="37251AB4" w14:textId="77777777" w:rsidR="00A52611" w:rsidRPr="00A52611" w:rsidRDefault="00A52611" w:rsidP="00A52611">
      <w:pPr>
        <w:rPr>
          <w:b/>
          <w:bCs/>
        </w:rPr>
      </w:pPr>
      <w:r w:rsidRPr="00A52611">
        <w:rPr>
          <w:rFonts w:ascii="Segoe UI Emoji" w:hAnsi="Segoe UI Emoji" w:cs="Segoe UI Emoji"/>
          <w:b/>
          <w:bCs/>
        </w:rPr>
        <w:t>🔹</w:t>
      </w:r>
      <w:r w:rsidRPr="00A52611">
        <w:rPr>
          <w:b/>
          <w:bCs/>
        </w:rPr>
        <w:t xml:space="preserve"> 2. Corrélations cliniques et biologiques</w:t>
      </w:r>
    </w:p>
    <w:p w14:paraId="257E4E26" w14:textId="77777777" w:rsidR="00A52611" w:rsidRPr="00A52611" w:rsidRDefault="00A52611" w:rsidP="00A52611">
      <w:pPr>
        <w:numPr>
          <w:ilvl w:val="0"/>
          <w:numId w:val="10"/>
        </w:numPr>
      </w:pPr>
      <w:r w:rsidRPr="00A52611">
        <w:rPr>
          <w:b/>
          <w:bCs/>
        </w:rPr>
        <w:t>Âge :</w:t>
      </w:r>
      <w:r w:rsidRPr="00A52611">
        <w:t xml:space="preserve"> aucune corrélation significative avec les mutations.</w:t>
      </w:r>
    </w:p>
    <w:p w14:paraId="7988CAB6" w14:textId="77777777" w:rsidR="00A52611" w:rsidRPr="00A52611" w:rsidRDefault="00A52611" w:rsidP="00A52611">
      <w:pPr>
        <w:numPr>
          <w:ilvl w:val="0"/>
          <w:numId w:val="10"/>
        </w:numPr>
      </w:pPr>
      <w:r w:rsidRPr="00A52611">
        <w:rPr>
          <w:b/>
          <w:bCs/>
        </w:rPr>
        <w:t>LDH</w:t>
      </w:r>
      <w:r w:rsidRPr="00A52611">
        <w:t xml:space="preserve"> significativement plus élevé dans les cas </w:t>
      </w:r>
      <w:r w:rsidRPr="00A52611">
        <w:rPr>
          <w:b/>
          <w:bCs/>
        </w:rPr>
        <w:t>FLT3-ITD+</w:t>
      </w:r>
      <w:r w:rsidRPr="00A52611">
        <w:t xml:space="preserve"> (p = 0,003).</w:t>
      </w:r>
    </w:p>
    <w:p w14:paraId="0FD5B031" w14:textId="77777777" w:rsidR="00A52611" w:rsidRPr="00A52611" w:rsidRDefault="00A52611" w:rsidP="00A52611">
      <w:pPr>
        <w:numPr>
          <w:ilvl w:val="0"/>
          <w:numId w:val="10"/>
        </w:numPr>
      </w:pPr>
      <w:r w:rsidRPr="00A52611">
        <w:rPr>
          <w:b/>
          <w:bCs/>
        </w:rPr>
        <w:t>Hémoglobine (</w:t>
      </w:r>
      <w:proofErr w:type="spellStart"/>
      <w:r w:rsidRPr="00A52611">
        <w:rPr>
          <w:b/>
          <w:bCs/>
        </w:rPr>
        <w:t>Hb</w:t>
      </w:r>
      <w:proofErr w:type="spellEnd"/>
      <w:r w:rsidRPr="00A52611">
        <w:rPr>
          <w:b/>
          <w:bCs/>
        </w:rPr>
        <w:t>)</w:t>
      </w:r>
      <w:r w:rsidRPr="00A52611">
        <w:t xml:space="preserve"> plus basse chez les </w:t>
      </w:r>
      <w:r w:rsidRPr="00A52611">
        <w:rPr>
          <w:b/>
          <w:bCs/>
        </w:rPr>
        <w:t>NPM1 mutants</w:t>
      </w:r>
      <w:r w:rsidRPr="00A52611">
        <w:t xml:space="preserve"> (p = 0,04).</w:t>
      </w:r>
    </w:p>
    <w:p w14:paraId="13D4F5E2" w14:textId="77777777" w:rsidR="00A52611" w:rsidRPr="00A52611" w:rsidRDefault="00A52611" w:rsidP="00A52611">
      <w:pPr>
        <w:numPr>
          <w:ilvl w:val="0"/>
          <w:numId w:val="10"/>
        </w:numPr>
      </w:pPr>
      <w:r w:rsidRPr="00A52611">
        <w:rPr>
          <w:b/>
          <w:bCs/>
        </w:rPr>
        <w:t>Sous-type FAB M4</w:t>
      </w:r>
      <w:r w:rsidRPr="00A52611">
        <w:t xml:space="preserve"> associé à la mutation </w:t>
      </w:r>
      <w:r w:rsidRPr="00A52611">
        <w:rPr>
          <w:b/>
          <w:bCs/>
        </w:rPr>
        <w:t>WT1</w:t>
      </w:r>
      <w:r w:rsidRPr="00A52611">
        <w:t xml:space="preserve"> (p = 0,0036).</w:t>
      </w:r>
      <w:r w:rsidRPr="00A52611">
        <w:br/>
        <w:t xml:space="preserve">→ Ces paramètres montrent une </w:t>
      </w:r>
      <w:r w:rsidRPr="00A52611">
        <w:rPr>
          <w:b/>
          <w:bCs/>
        </w:rPr>
        <w:t>influence variable selon le profil mutationnel</w:t>
      </w:r>
      <w:r w:rsidRPr="00A52611">
        <w:t>.</w:t>
      </w:r>
    </w:p>
    <w:p w14:paraId="6BE9ADC6" w14:textId="77777777" w:rsidR="00A52611" w:rsidRPr="00A52611" w:rsidRDefault="003720C1" w:rsidP="00A52611">
      <w:r>
        <w:pict w14:anchorId="4927438E">
          <v:rect id="_x0000_i1029" style="width:0;height:1.5pt" o:hralign="center" o:hrstd="t" o:hr="t" fillcolor="#a0a0a0" stroked="f"/>
        </w:pict>
      </w:r>
    </w:p>
    <w:p w14:paraId="7EBC7A7D" w14:textId="77777777" w:rsidR="00A52611" w:rsidRPr="00A52611" w:rsidRDefault="00A52611" w:rsidP="00A52611">
      <w:pPr>
        <w:rPr>
          <w:b/>
          <w:bCs/>
        </w:rPr>
      </w:pPr>
      <w:r w:rsidRPr="00A52611">
        <w:rPr>
          <w:rFonts w:ascii="Segoe UI Emoji" w:hAnsi="Segoe UI Emoji" w:cs="Segoe UI Emoji"/>
          <w:b/>
          <w:bCs/>
        </w:rPr>
        <w:t>🔹</w:t>
      </w:r>
      <w:r w:rsidRPr="00A52611">
        <w:rPr>
          <w:b/>
          <w:bCs/>
        </w:rPr>
        <w:t xml:space="preserve"> 3. Survie globale (OS) et sans récidive (RFS)</w:t>
      </w:r>
    </w:p>
    <w:p w14:paraId="1FB40D77" w14:textId="77777777" w:rsidR="00A52611" w:rsidRPr="00A52611" w:rsidRDefault="00A52611" w:rsidP="00A52611">
      <w:pPr>
        <w:numPr>
          <w:ilvl w:val="0"/>
          <w:numId w:val="11"/>
        </w:numPr>
      </w:pPr>
      <w:r w:rsidRPr="00A52611">
        <w:t xml:space="preserve">Suivi sur </w:t>
      </w:r>
      <w:r w:rsidRPr="00A52611">
        <w:rPr>
          <w:b/>
          <w:bCs/>
        </w:rPr>
        <w:t>24 mois</w:t>
      </w:r>
      <w:r w:rsidRPr="00A52611">
        <w:t>.</w:t>
      </w:r>
    </w:p>
    <w:p w14:paraId="5975520A" w14:textId="77777777" w:rsidR="00A52611" w:rsidRPr="00A52611" w:rsidRDefault="00A52611" w:rsidP="00A52611">
      <w:pPr>
        <w:numPr>
          <w:ilvl w:val="0"/>
          <w:numId w:val="11"/>
        </w:numPr>
      </w:pPr>
      <w:r w:rsidRPr="00A52611">
        <w:rPr>
          <w:b/>
          <w:bCs/>
        </w:rPr>
        <w:t>FLT3-ITD :</w:t>
      </w:r>
      <w:r w:rsidRPr="00A52611">
        <w:t xml:space="preserve"> survie plus faible chez les mutants (33,8 % vs 44 %, p = 0,58).</w:t>
      </w:r>
    </w:p>
    <w:p w14:paraId="04D9323D" w14:textId="77777777" w:rsidR="00A52611" w:rsidRPr="00A52611" w:rsidRDefault="00A52611" w:rsidP="00A52611">
      <w:pPr>
        <w:numPr>
          <w:ilvl w:val="0"/>
          <w:numId w:val="11"/>
        </w:numPr>
      </w:pPr>
      <w:r w:rsidRPr="00A52611">
        <w:rPr>
          <w:b/>
          <w:bCs/>
        </w:rPr>
        <w:t>NPM1 :</w:t>
      </w:r>
      <w:r w:rsidRPr="00A52611">
        <w:t xml:space="preserve"> meilleure survie chez les mutants (55,7 % vs 37 %, p = 0,057).</w:t>
      </w:r>
    </w:p>
    <w:p w14:paraId="1B68F127" w14:textId="77777777" w:rsidR="00A52611" w:rsidRPr="00A52611" w:rsidRDefault="00A52611" w:rsidP="00A52611">
      <w:pPr>
        <w:numPr>
          <w:ilvl w:val="0"/>
          <w:numId w:val="11"/>
        </w:numPr>
      </w:pPr>
      <w:r w:rsidRPr="00A52611">
        <w:rPr>
          <w:b/>
          <w:bCs/>
        </w:rPr>
        <w:t>WT1 :</w:t>
      </w:r>
      <w:r w:rsidRPr="00A52611">
        <w:t xml:space="preserve"> survie similaire entre mutants et sauvages (≈ 47 % vs 41 %, p = 0,74).</w:t>
      </w:r>
    </w:p>
    <w:p w14:paraId="23F83857" w14:textId="77777777" w:rsidR="00A52611" w:rsidRPr="00A52611" w:rsidRDefault="00A52611" w:rsidP="00A52611">
      <w:pPr>
        <w:numPr>
          <w:ilvl w:val="0"/>
          <w:numId w:val="11"/>
        </w:numPr>
      </w:pPr>
      <w:r w:rsidRPr="00A52611">
        <w:t xml:space="preserve">En </w:t>
      </w:r>
      <w:r w:rsidRPr="00A52611">
        <w:rPr>
          <w:b/>
          <w:bCs/>
        </w:rPr>
        <w:t>analyse combinée</w:t>
      </w:r>
      <w:r w:rsidRPr="00A52611">
        <w:t xml:space="preserve">, les mutations WT1 associées à </w:t>
      </w:r>
      <w:r w:rsidRPr="00A52611">
        <w:rPr>
          <w:b/>
          <w:bCs/>
        </w:rPr>
        <w:t>FLT3-ITD+/NPM1mut</w:t>
      </w:r>
      <w:r w:rsidRPr="00A52611">
        <w:t xml:space="preserve"> présentent la </w:t>
      </w:r>
      <w:r w:rsidRPr="00A52611">
        <w:rPr>
          <w:b/>
          <w:bCs/>
        </w:rPr>
        <w:t>meilleure survie moyenne (≈19 mois)</w:t>
      </w:r>
      <w:r w:rsidRPr="00A52611">
        <w:t>.</w:t>
      </w:r>
    </w:p>
    <w:p w14:paraId="04962CEA" w14:textId="77777777" w:rsidR="00A52611" w:rsidRPr="00A52611" w:rsidRDefault="003720C1" w:rsidP="00A52611">
      <w:r>
        <w:pict w14:anchorId="02577F79">
          <v:rect id="_x0000_i1030" style="width:0;height:1.5pt" o:hralign="center" o:hrstd="t" o:hr="t" fillcolor="#a0a0a0" stroked="f"/>
        </w:pict>
      </w:r>
    </w:p>
    <w:p w14:paraId="1045AF2E" w14:textId="77777777" w:rsidR="00A52611" w:rsidRPr="00A52611" w:rsidRDefault="00A52611" w:rsidP="00A52611">
      <w:pPr>
        <w:rPr>
          <w:b/>
          <w:bCs/>
        </w:rPr>
      </w:pPr>
      <w:r w:rsidRPr="00A52611">
        <w:rPr>
          <w:rFonts w:ascii="Segoe UI Emoji" w:hAnsi="Segoe UI Emoji" w:cs="Segoe UI Emoji"/>
          <w:b/>
          <w:bCs/>
        </w:rPr>
        <w:t>🔹</w:t>
      </w:r>
      <w:r w:rsidRPr="00A52611">
        <w:rPr>
          <w:b/>
          <w:bCs/>
        </w:rPr>
        <w:t xml:space="preserve"> 4. Réponse thérapeutique</w:t>
      </w:r>
    </w:p>
    <w:p w14:paraId="5C5E2497" w14:textId="77777777" w:rsidR="00A52611" w:rsidRPr="00A52611" w:rsidRDefault="00A52611" w:rsidP="00A52611">
      <w:pPr>
        <w:numPr>
          <w:ilvl w:val="0"/>
          <w:numId w:val="12"/>
        </w:numPr>
      </w:pPr>
      <w:r w:rsidRPr="00A52611">
        <w:rPr>
          <w:b/>
          <w:bCs/>
        </w:rPr>
        <w:t>Rémission complète (RC) :</w:t>
      </w:r>
      <w:r w:rsidRPr="00A52611">
        <w:t xml:space="preserve"> 21,3 %</w:t>
      </w:r>
    </w:p>
    <w:p w14:paraId="22AEAD7E" w14:textId="77777777" w:rsidR="00A52611" w:rsidRPr="00A52611" w:rsidRDefault="00A52611" w:rsidP="00A52611">
      <w:pPr>
        <w:numPr>
          <w:ilvl w:val="0"/>
          <w:numId w:val="12"/>
        </w:numPr>
      </w:pPr>
      <w:r w:rsidRPr="00A52611">
        <w:rPr>
          <w:b/>
          <w:bCs/>
        </w:rPr>
        <w:t>Rechute :</w:t>
      </w:r>
      <w:r w:rsidRPr="00A52611">
        <w:t xml:space="preserve"> 47,3 %</w:t>
      </w:r>
    </w:p>
    <w:p w14:paraId="22427F2F" w14:textId="77777777" w:rsidR="00A52611" w:rsidRPr="00A52611" w:rsidRDefault="00A52611" w:rsidP="00A52611">
      <w:pPr>
        <w:numPr>
          <w:ilvl w:val="0"/>
          <w:numId w:val="12"/>
        </w:numPr>
      </w:pPr>
      <w:r w:rsidRPr="00A52611">
        <w:rPr>
          <w:b/>
          <w:bCs/>
        </w:rPr>
        <w:t>Maladie persistante :</w:t>
      </w:r>
      <w:r w:rsidRPr="00A52611">
        <w:t xml:space="preserve"> 20 %</w:t>
      </w:r>
    </w:p>
    <w:p w14:paraId="6C1601B1" w14:textId="6195CBFA" w:rsidR="00A52611" w:rsidRDefault="00A52611" w:rsidP="00A52611">
      <w:pPr>
        <w:numPr>
          <w:ilvl w:val="0"/>
          <w:numId w:val="12"/>
        </w:numPr>
      </w:pPr>
      <w:r w:rsidRPr="00A52611">
        <w:rPr>
          <w:b/>
          <w:bCs/>
        </w:rPr>
        <w:t>Décès pendant induction :</w:t>
      </w:r>
      <w:r w:rsidRPr="00A52611">
        <w:t xml:space="preserve"> 3,3 %</w:t>
      </w:r>
      <w:r w:rsidRPr="00A52611">
        <w:br/>
        <w:t xml:space="preserve">→ Ces résultats confirment une </w:t>
      </w:r>
      <w:r w:rsidRPr="00A52611">
        <w:rPr>
          <w:b/>
          <w:bCs/>
        </w:rPr>
        <w:t>grande hétérogénéité pronostique</w:t>
      </w:r>
      <w:r w:rsidRPr="00A52611">
        <w:t xml:space="preserve"> selon le profil génétique.</w:t>
      </w:r>
      <w:r>
        <w:t xml:space="preserve"> </w:t>
      </w:r>
    </w:p>
    <w:p w14:paraId="6D0AEDF6" w14:textId="77777777" w:rsidR="00A52611" w:rsidRDefault="00A52611" w:rsidP="00A52611"/>
    <w:p w14:paraId="605F619D" w14:textId="77777777" w:rsidR="00A52611" w:rsidRDefault="00A52611" w:rsidP="00A52611"/>
    <w:p w14:paraId="4D3E5E30" w14:textId="77777777" w:rsidR="00A52611" w:rsidRDefault="00A52611" w:rsidP="00A52611">
      <w:pPr>
        <w:rPr>
          <w:b/>
          <w:bCs/>
          <w:sz w:val="28"/>
          <w:szCs w:val="28"/>
        </w:rPr>
      </w:pPr>
    </w:p>
    <w:p w14:paraId="0211B3D9" w14:textId="1BBD6E54" w:rsidR="00A52611" w:rsidRDefault="00A52611" w:rsidP="00A52611">
      <w:proofErr w:type="spellStart"/>
      <w:r w:rsidRPr="00A52611">
        <w:rPr>
          <w:b/>
          <w:bCs/>
          <w:sz w:val="28"/>
          <w:szCs w:val="28"/>
        </w:rPr>
        <w:lastRenderedPageBreak/>
        <w:t>Discussin</w:t>
      </w:r>
      <w:proofErr w:type="spellEnd"/>
      <w:r>
        <w:t> ;</w:t>
      </w:r>
    </w:p>
    <w:p w14:paraId="7F498894" w14:textId="4F08076D" w:rsidR="00A52611" w:rsidRPr="00A52611" w:rsidRDefault="00A52611" w:rsidP="00A52611">
      <w:r w:rsidRPr="00A52611">
        <w:t xml:space="preserve">Dans notre étude, les fréquences observées des mutations étaient de </w:t>
      </w:r>
      <w:r w:rsidRPr="00A52611">
        <w:rPr>
          <w:b/>
          <w:bCs/>
        </w:rPr>
        <w:t>23,3 % pour FLT3-ITD</w:t>
      </w:r>
      <w:r w:rsidRPr="00A52611">
        <w:t xml:space="preserve">, </w:t>
      </w:r>
      <w:r w:rsidRPr="00A52611">
        <w:rPr>
          <w:b/>
          <w:bCs/>
        </w:rPr>
        <w:t>25,3 % pour NPM1</w:t>
      </w:r>
      <w:r w:rsidRPr="00A52611">
        <w:t xml:space="preserve"> et </w:t>
      </w:r>
      <w:r w:rsidRPr="00A52611">
        <w:rPr>
          <w:b/>
          <w:bCs/>
        </w:rPr>
        <w:t>12,6 % pour WT1</w:t>
      </w:r>
      <w:r w:rsidRPr="00A52611">
        <w:t>.</w:t>
      </w:r>
      <w:r w:rsidRPr="00A52611">
        <w:br/>
        <w:t xml:space="preserve">Ces valeurs sont </w:t>
      </w:r>
      <w:r w:rsidRPr="00A52611">
        <w:rPr>
          <w:b/>
          <w:bCs/>
        </w:rPr>
        <w:t>globalement conformes à celles rapportées dans la littérature</w:t>
      </w:r>
      <w:r w:rsidRPr="00A52611">
        <w:t xml:space="preserve">, bien qu’une </w:t>
      </w:r>
      <w:r w:rsidRPr="00A52611">
        <w:rPr>
          <w:b/>
          <w:bCs/>
        </w:rPr>
        <w:t>légère augmentation du taux de mutation WT1</w:t>
      </w:r>
      <w:r w:rsidRPr="00A52611">
        <w:t xml:space="preserve"> ait été notée dans notre série.</w:t>
      </w:r>
    </w:p>
    <w:p w14:paraId="4309882E" w14:textId="77777777" w:rsidR="00A52611" w:rsidRPr="00A52611" w:rsidRDefault="00A52611" w:rsidP="00A52611">
      <w:r w:rsidRPr="00A52611">
        <w:t>Sur le plan pronostique, les résultats confirment les tendances connues :</w:t>
      </w:r>
    </w:p>
    <w:p w14:paraId="5FBA34A3" w14:textId="77777777" w:rsidR="00A52611" w:rsidRPr="00A52611" w:rsidRDefault="00A52611" w:rsidP="00A52611">
      <w:pPr>
        <w:numPr>
          <w:ilvl w:val="0"/>
          <w:numId w:val="13"/>
        </w:numPr>
      </w:pPr>
      <w:r w:rsidRPr="00A52611">
        <w:t xml:space="preserve">La </w:t>
      </w:r>
      <w:r w:rsidRPr="00A52611">
        <w:rPr>
          <w:b/>
          <w:bCs/>
        </w:rPr>
        <w:t>mutation NPM1</w:t>
      </w:r>
      <w:r w:rsidRPr="00A52611">
        <w:t xml:space="preserve"> est associée à une </w:t>
      </w:r>
      <w:r w:rsidRPr="00A52611">
        <w:rPr>
          <w:b/>
          <w:bCs/>
        </w:rPr>
        <w:t>meilleure survie globale</w:t>
      </w:r>
      <w:r w:rsidRPr="00A52611">
        <w:t>, traduisant un pronostic favorable.</w:t>
      </w:r>
    </w:p>
    <w:p w14:paraId="05822896" w14:textId="77777777" w:rsidR="00A52611" w:rsidRPr="00A52611" w:rsidRDefault="00A52611" w:rsidP="00A52611">
      <w:pPr>
        <w:numPr>
          <w:ilvl w:val="0"/>
          <w:numId w:val="13"/>
        </w:numPr>
      </w:pPr>
      <w:r w:rsidRPr="00A52611">
        <w:t xml:space="preserve">À l’inverse, la </w:t>
      </w:r>
      <w:r w:rsidRPr="00A52611">
        <w:rPr>
          <w:b/>
          <w:bCs/>
        </w:rPr>
        <w:t>mutation FLT3-ITD</w:t>
      </w:r>
      <w:r w:rsidRPr="00A52611">
        <w:t xml:space="preserve"> confère un </w:t>
      </w:r>
      <w:r w:rsidRPr="00A52611">
        <w:rPr>
          <w:b/>
          <w:bCs/>
        </w:rPr>
        <w:t>pronostic défavorable</w:t>
      </w:r>
      <w:r w:rsidRPr="00A52611">
        <w:t xml:space="preserve">, souvent accompagnée d’un </w:t>
      </w:r>
      <w:r w:rsidRPr="00A52611">
        <w:rPr>
          <w:b/>
          <w:bCs/>
        </w:rPr>
        <w:t>taux de LDH élevé</w:t>
      </w:r>
      <w:r w:rsidRPr="00A52611">
        <w:t xml:space="preserve"> et d’un risque accru de rechute.</w:t>
      </w:r>
    </w:p>
    <w:p w14:paraId="6D5BAE06" w14:textId="77777777" w:rsidR="00A52611" w:rsidRPr="00A52611" w:rsidRDefault="00A52611" w:rsidP="00A52611">
      <w:pPr>
        <w:numPr>
          <w:ilvl w:val="0"/>
          <w:numId w:val="13"/>
        </w:numPr>
      </w:pPr>
      <w:r w:rsidRPr="00A52611">
        <w:t xml:space="preserve">En revanche, la </w:t>
      </w:r>
      <w:r w:rsidRPr="00A52611">
        <w:rPr>
          <w:b/>
          <w:bCs/>
        </w:rPr>
        <w:t>mutation WT1</w:t>
      </w:r>
      <w:r w:rsidRPr="00A52611">
        <w:t xml:space="preserve"> n’a pas montré </w:t>
      </w:r>
      <w:r w:rsidRPr="00A52611">
        <w:rPr>
          <w:b/>
          <w:bCs/>
        </w:rPr>
        <w:t>d’effet pronostique significatif</w:t>
      </w:r>
      <w:r w:rsidRPr="00A52611">
        <w:t xml:space="preserve"> dans cette cohorte.</w:t>
      </w:r>
    </w:p>
    <w:p w14:paraId="71300A79" w14:textId="77777777" w:rsidR="00A52611" w:rsidRPr="00A52611" w:rsidRDefault="00A52611" w:rsidP="00A52611">
      <w:r w:rsidRPr="00A52611">
        <w:t xml:space="preserve">L’analyse combinée des statuts </w:t>
      </w:r>
      <w:r w:rsidRPr="00A52611">
        <w:rPr>
          <w:b/>
          <w:bCs/>
        </w:rPr>
        <w:t>FLT3-ITD, NPM1 et WT1</w:t>
      </w:r>
      <w:r w:rsidRPr="00A52611">
        <w:t xml:space="preserve"> n’a pas mis en évidence de </w:t>
      </w:r>
      <w:r w:rsidRPr="00A52611">
        <w:rPr>
          <w:b/>
          <w:bCs/>
        </w:rPr>
        <w:t>corrélation notable avec la survie</w:t>
      </w:r>
      <w:r w:rsidRPr="00A52611">
        <w:t>, suggérant que leur interaction pourrait dépendre d’autres facteurs génétiques ou cliniques.</w:t>
      </w:r>
    </w:p>
    <w:p w14:paraId="5B0EAC2E" w14:textId="77777777" w:rsidR="00A52611" w:rsidRPr="00A52611" w:rsidRDefault="00A52611" w:rsidP="00A52611">
      <w:r w:rsidRPr="00A52611">
        <w:t xml:space="preserve">Enfin, l’émergence des </w:t>
      </w:r>
      <w:r w:rsidRPr="00A52611">
        <w:rPr>
          <w:b/>
          <w:bCs/>
        </w:rPr>
        <w:t>inhibiteurs de FLT3</w:t>
      </w:r>
      <w:r w:rsidRPr="00A52611">
        <w:t xml:space="preserve"> représente une </w:t>
      </w:r>
      <w:r w:rsidRPr="00A52611">
        <w:rPr>
          <w:b/>
          <w:bCs/>
        </w:rPr>
        <w:t>avancée thérapeutique majeure</w:t>
      </w:r>
      <w:r w:rsidRPr="00A52611">
        <w:t xml:space="preserve">, ouvrant la voie à une </w:t>
      </w:r>
      <w:r w:rsidRPr="00A52611">
        <w:rPr>
          <w:b/>
          <w:bCs/>
        </w:rPr>
        <w:t>prise en charge plus ciblée et personnalisée</w:t>
      </w:r>
      <w:r w:rsidRPr="00A52611">
        <w:t xml:space="preserve"> des patients atteints de LMA à caryotype normal.</w:t>
      </w:r>
    </w:p>
    <w:p w14:paraId="5707D3CA" w14:textId="1DA21CC7" w:rsidR="00A52611" w:rsidRPr="00A52611" w:rsidRDefault="00A52611" w:rsidP="00A52611">
      <w:pPr>
        <w:rPr>
          <w:b/>
          <w:bCs/>
          <w:sz w:val="24"/>
          <w:szCs w:val="24"/>
        </w:rPr>
      </w:pPr>
      <w:r w:rsidRPr="00A52611">
        <w:rPr>
          <w:b/>
          <w:bCs/>
          <w:sz w:val="24"/>
          <w:szCs w:val="24"/>
        </w:rPr>
        <w:t>Données de la littérature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3900"/>
        <w:gridCol w:w="3097"/>
      </w:tblGrid>
      <w:tr w:rsidR="00A52611" w:rsidRPr="00A52611" w14:paraId="163B0F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D9839" w14:textId="77777777" w:rsidR="00A52611" w:rsidRPr="00A52611" w:rsidRDefault="00A52611" w:rsidP="00A52611">
            <w:pPr>
              <w:rPr>
                <w:b/>
                <w:bCs/>
              </w:rPr>
            </w:pPr>
            <w:r w:rsidRPr="00A52611">
              <w:rPr>
                <w:b/>
                <w:bCs/>
              </w:rPr>
              <w:t>Étude (année, revue)</w:t>
            </w:r>
          </w:p>
        </w:tc>
        <w:tc>
          <w:tcPr>
            <w:tcW w:w="0" w:type="auto"/>
            <w:vAlign w:val="center"/>
            <w:hideMark/>
          </w:tcPr>
          <w:p w14:paraId="3775B486" w14:textId="77777777" w:rsidR="00A52611" w:rsidRPr="00A52611" w:rsidRDefault="00A52611" w:rsidP="00A52611">
            <w:pPr>
              <w:rPr>
                <w:b/>
                <w:bCs/>
              </w:rPr>
            </w:pPr>
            <w:r w:rsidRPr="00A52611">
              <w:rPr>
                <w:b/>
                <w:bCs/>
              </w:rPr>
              <w:t>Effet observé</w:t>
            </w:r>
          </w:p>
        </w:tc>
        <w:tc>
          <w:tcPr>
            <w:tcW w:w="0" w:type="auto"/>
            <w:vAlign w:val="center"/>
            <w:hideMark/>
          </w:tcPr>
          <w:p w14:paraId="399B4F39" w14:textId="77777777" w:rsidR="00A52611" w:rsidRPr="00A52611" w:rsidRDefault="00A52611" w:rsidP="00A52611">
            <w:pPr>
              <w:rPr>
                <w:b/>
                <w:bCs/>
              </w:rPr>
            </w:pPr>
            <w:r w:rsidRPr="00A52611">
              <w:rPr>
                <w:b/>
                <w:bCs/>
              </w:rPr>
              <w:t>Interprétation / Conclusion</w:t>
            </w:r>
          </w:p>
        </w:tc>
      </w:tr>
      <w:tr w:rsidR="00A52611" w:rsidRPr="00A52611" w14:paraId="2C938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5551C" w14:textId="77777777" w:rsidR="00A52611" w:rsidRPr="00A52611" w:rsidRDefault="00A52611" w:rsidP="00A52611">
            <w:r w:rsidRPr="00A52611">
              <w:rPr>
                <w:b/>
                <w:bCs/>
              </w:rPr>
              <w:t xml:space="preserve">Liu et al., 2010 – </w:t>
            </w:r>
            <w:r w:rsidRPr="00A52611">
              <w:rPr>
                <w:b/>
                <w:bCs/>
                <w:i/>
                <w:iCs/>
              </w:rPr>
              <w:t>Blood Journal</w:t>
            </w:r>
          </w:p>
        </w:tc>
        <w:tc>
          <w:tcPr>
            <w:tcW w:w="0" w:type="auto"/>
            <w:vAlign w:val="center"/>
            <w:hideMark/>
          </w:tcPr>
          <w:p w14:paraId="7D2EF746" w14:textId="77777777" w:rsidR="00A52611" w:rsidRPr="00A52611" w:rsidRDefault="00A52611" w:rsidP="00A52611">
            <w:r w:rsidRPr="00A52611">
              <w:t xml:space="preserve">Les patients porteurs d’une mutation </w:t>
            </w:r>
            <w:r w:rsidRPr="00A52611">
              <w:rPr>
                <w:b/>
                <w:bCs/>
              </w:rPr>
              <w:t>WT1</w:t>
            </w:r>
            <w:r w:rsidRPr="00A52611">
              <w:t xml:space="preserve"> présentent une </w:t>
            </w:r>
            <w:r w:rsidRPr="00A52611">
              <w:rPr>
                <w:b/>
                <w:bCs/>
              </w:rPr>
              <w:t>survie globale réduite</w:t>
            </w:r>
            <w:r w:rsidRPr="00A52611">
              <w:t xml:space="preserve"> (35 % vs 66 % sans mutation).</w:t>
            </w:r>
          </w:p>
        </w:tc>
        <w:tc>
          <w:tcPr>
            <w:tcW w:w="0" w:type="auto"/>
            <w:vAlign w:val="center"/>
            <w:hideMark/>
          </w:tcPr>
          <w:p w14:paraId="0DD12C0C" w14:textId="77777777" w:rsidR="00A52611" w:rsidRPr="00A52611" w:rsidRDefault="00A52611" w:rsidP="00A52611">
            <w:r w:rsidRPr="00A52611">
              <w:t xml:space="preserve">La mutation </w:t>
            </w:r>
            <w:r w:rsidRPr="00A52611">
              <w:rPr>
                <w:b/>
                <w:bCs/>
              </w:rPr>
              <w:t>WT1</w:t>
            </w:r>
            <w:r w:rsidRPr="00A52611">
              <w:t xml:space="preserve"> est associée à une </w:t>
            </w:r>
            <w:r w:rsidRPr="00A52611">
              <w:rPr>
                <w:b/>
                <w:bCs/>
              </w:rPr>
              <w:t>forme plus agressive</w:t>
            </w:r>
            <w:r w:rsidRPr="00A52611">
              <w:t xml:space="preserve"> et à une </w:t>
            </w:r>
            <w:r w:rsidRPr="00A52611">
              <w:rPr>
                <w:b/>
                <w:bCs/>
              </w:rPr>
              <w:t>rechute précoce</w:t>
            </w:r>
            <w:r w:rsidRPr="00A52611">
              <w:t>.</w:t>
            </w:r>
          </w:p>
        </w:tc>
      </w:tr>
      <w:tr w:rsidR="00A52611" w:rsidRPr="00A52611" w14:paraId="71454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5004F" w14:textId="77777777" w:rsidR="00A52611" w:rsidRPr="00A52611" w:rsidRDefault="00A52611" w:rsidP="00A52611">
            <w:r w:rsidRPr="00A52611">
              <w:rPr>
                <w:b/>
                <w:bCs/>
              </w:rPr>
              <w:t xml:space="preserve">Hou et al., 2017 – </w:t>
            </w:r>
            <w:proofErr w:type="spellStart"/>
            <w:r w:rsidRPr="00A52611">
              <w:rPr>
                <w:b/>
                <w:bCs/>
                <w:i/>
                <w:iCs/>
              </w:rPr>
              <w:t>Haematologica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9AE98" w14:textId="77777777" w:rsidR="00A52611" w:rsidRPr="00A52611" w:rsidRDefault="00A52611" w:rsidP="00A52611">
            <w:r w:rsidRPr="00A52611">
              <w:t xml:space="preserve">La mutation </w:t>
            </w:r>
            <w:r w:rsidRPr="00A52611">
              <w:rPr>
                <w:b/>
                <w:bCs/>
              </w:rPr>
              <w:t>WT1</w:t>
            </w:r>
            <w:r w:rsidRPr="00A52611">
              <w:t xml:space="preserve"> augmente le </w:t>
            </w:r>
            <w:r w:rsidRPr="00A52611">
              <w:rPr>
                <w:b/>
                <w:bCs/>
              </w:rPr>
              <w:t>risque de rechute</w:t>
            </w:r>
            <w:r w:rsidRPr="00A52611">
              <w:t xml:space="preserve"> et la </w:t>
            </w:r>
            <w:r w:rsidRPr="00A52611">
              <w:rPr>
                <w:b/>
                <w:bCs/>
              </w:rPr>
              <w:t>résistance à la chimiothérapie</w:t>
            </w:r>
            <w:r w:rsidRPr="00A52611">
              <w:t>.</w:t>
            </w:r>
          </w:p>
        </w:tc>
        <w:tc>
          <w:tcPr>
            <w:tcW w:w="0" w:type="auto"/>
            <w:vAlign w:val="center"/>
            <w:hideMark/>
          </w:tcPr>
          <w:p w14:paraId="54EBB32B" w14:textId="77777777" w:rsidR="00A52611" w:rsidRPr="00A52611" w:rsidRDefault="00A52611" w:rsidP="00A52611">
            <w:r w:rsidRPr="00A52611">
              <w:rPr>
                <w:b/>
                <w:bCs/>
              </w:rPr>
              <w:t>WT1</w:t>
            </w:r>
            <w:r w:rsidRPr="00A52611">
              <w:t xml:space="preserve"> favoriserait une </w:t>
            </w:r>
            <w:r w:rsidRPr="00A52611">
              <w:rPr>
                <w:b/>
                <w:bCs/>
              </w:rPr>
              <w:t>résistance thérapeutique</w:t>
            </w:r>
            <w:r w:rsidRPr="00A52611">
              <w:t>.</w:t>
            </w:r>
          </w:p>
        </w:tc>
      </w:tr>
      <w:tr w:rsidR="00A52611" w:rsidRPr="00A52611" w14:paraId="0E08B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75907" w14:textId="77777777" w:rsidR="00A52611" w:rsidRPr="00A52611" w:rsidRDefault="00A52611" w:rsidP="00A52611">
            <w:r w:rsidRPr="00A52611">
              <w:rPr>
                <w:b/>
                <w:bCs/>
              </w:rPr>
              <w:t xml:space="preserve">Oki et al., 2013 – </w:t>
            </w:r>
            <w:proofErr w:type="spellStart"/>
            <w:r w:rsidRPr="00A52611">
              <w:rPr>
                <w:b/>
                <w:bCs/>
                <w:i/>
                <w:iCs/>
              </w:rPr>
              <w:t>Leukemia</w:t>
            </w:r>
            <w:proofErr w:type="spellEnd"/>
            <w:r w:rsidRPr="00A5261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52611">
              <w:rPr>
                <w:b/>
                <w:bCs/>
                <w:i/>
                <w:iCs/>
              </w:rPr>
              <w:t>Research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F15EC" w14:textId="77777777" w:rsidR="00A52611" w:rsidRPr="00A52611" w:rsidRDefault="00A52611" w:rsidP="00A52611">
            <w:r w:rsidRPr="00A52611">
              <w:t xml:space="preserve">Forte association entre </w:t>
            </w:r>
            <w:r w:rsidRPr="00A52611">
              <w:rPr>
                <w:b/>
                <w:bCs/>
              </w:rPr>
              <w:t>WT1 muté</w:t>
            </w:r>
            <w:r w:rsidRPr="00A52611">
              <w:t xml:space="preserve"> et </w:t>
            </w:r>
            <w:r w:rsidRPr="00A52611">
              <w:rPr>
                <w:b/>
                <w:bCs/>
              </w:rPr>
              <w:t>FLT3-ITD</w:t>
            </w:r>
            <w:r w:rsidRPr="00A52611">
              <w:t xml:space="preserve"> ; les patients double-mutés ont une </w:t>
            </w:r>
            <w:r w:rsidRPr="00A52611">
              <w:rPr>
                <w:b/>
                <w:bCs/>
              </w:rPr>
              <w:t>survie très faible (~20 %)</w:t>
            </w:r>
            <w:r w:rsidRPr="00A52611">
              <w:t>.</w:t>
            </w:r>
          </w:p>
        </w:tc>
        <w:tc>
          <w:tcPr>
            <w:tcW w:w="0" w:type="auto"/>
            <w:vAlign w:val="center"/>
            <w:hideMark/>
          </w:tcPr>
          <w:p w14:paraId="42D8B0F0" w14:textId="77777777" w:rsidR="00A52611" w:rsidRPr="00A52611" w:rsidRDefault="00A52611" w:rsidP="00A52611">
            <w:r w:rsidRPr="00A52611">
              <w:t xml:space="preserve">La co-présence </w:t>
            </w:r>
            <w:r w:rsidRPr="00A52611">
              <w:rPr>
                <w:b/>
                <w:bCs/>
              </w:rPr>
              <w:t>WT1 + FLT3-ITD</w:t>
            </w:r>
            <w:r w:rsidRPr="00A52611">
              <w:t xml:space="preserve"> a un </w:t>
            </w:r>
            <w:r w:rsidRPr="00A52611">
              <w:rPr>
                <w:b/>
                <w:bCs/>
              </w:rPr>
              <w:t>effet pronostique très défavorable</w:t>
            </w:r>
            <w:r w:rsidRPr="00A52611">
              <w:t>.</w:t>
            </w:r>
          </w:p>
        </w:tc>
      </w:tr>
      <w:tr w:rsidR="00A52611" w:rsidRPr="00A52611" w14:paraId="6AC50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4F21" w14:textId="77777777" w:rsidR="00A52611" w:rsidRPr="00A52611" w:rsidRDefault="00A52611" w:rsidP="00A52611">
            <w:r w:rsidRPr="00A52611">
              <w:rPr>
                <w:b/>
                <w:bCs/>
              </w:rPr>
              <w:t xml:space="preserve">Garg et al., 2021 – </w:t>
            </w:r>
            <w:proofErr w:type="spellStart"/>
            <w:r w:rsidRPr="00A52611">
              <w:rPr>
                <w:b/>
                <w:bCs/>
                <w:i/>
                <w:iCs/>
              </w:rPr>
              <w:t>Frontiers</w:t>
            </w:r>
            <w:proofErr w:type="spellEnd"/>
            <w:r w:rsidRPr="00A52611">
              <w:rPr>
                <w:b/>
                <w:bCs/>
                <w:i/>
                <w:iCs/>
              </w:rPr>
              <w:t xml:space="preserve"> in </w:t>
            </w:r>
            <w:proofErr w:type="spellStart"/>
            <w:r w:rsidRPr="00A52611">
              <w:rPr>
                <w:b/>
                <w:bCs/>
                <w:i/>
                <w:iCs/>
              </w:rPr>
              <w:t>Oncology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39336" w14:textId="77777777" w:rsidR="00A52611" w:rsidRPr="00A52611" w:rsidRDefault="00A52611" w:rsidP="00A52611">
            <w:r w:rsidRPr="00A52611">
              <w:t xml:space="preserve">La mutation </w:t>
            </w:r>
            <w:r w:rsidRPr="00A52611">
              <w:rPr>
                <w:b/>
                <w:bCs/>
              </w:rPr>
              <w:t>WT1</w:t>
            </w:r>
            <w:r w:rsidRPr="00A52611">
              <w:t xml:space="preserve"> reste un </w:t>
            </w:r>
            <w:r w:rsidRPr="00A52611">
              <w:rPr>
                <w:b/>
                <w:bCs/>
              </w:rPr>
              <w:t>facteur pronostique indépendant défavorable</w:t>
            </w:r>
            <w:r w:rsidRPr="00A52611">
              <w:t xml:space="preserve">, même après ajustement sur </w:t>
            </w:r>
            <w:r w:rsidRPr="00A52611">
              <w:rPr>
                <w:b/>
                <w:bCs/>
              </w:rPr>
              <w:t>FLT3/NPM1</w:t>
            </w:r>
            <w:r w:rsidRPr="00A52611">
              <w:t>.</w:t>
            </w:r>
          </w:p>
        </w:tc>
        <w:tc>
          <w:tcPr>
            <w:tcW w:w="0" w:type="auto"/>
            <w:vAlign w:val="center"/>
            <w:hideMark/>
          </w:tcPr>
          <w:p w14:paraId="13EA7DF6" w14:textId="77777777" w:rsidR="00A52611" w:rsidRDefault="00A52611" w:rsidP="00A52611">
            <w:r w:rsidRPr="00A52611">
              <w:rPr>
                <w:b/>
                <w:bCs/>
              </w:rPr>
              <w:t>WT1</w:t>
            </w:r>
            <w:r w:rsidRPr="00A52611">
              <w:t xml:space="preserve"> est un </w:t>
            </w:r>
            <w:r w:rsidRPr="00A52611">
              <w:rPr>
                <w:b/>
                <w:bCs/>
              </w:rPr>
              <w:t>marqueur de mauvais pronostic</w:t>
            </w:r>
            <w:r w:rsidRPr="00A52611">
              <w:t xml:space="preserve"> à lui seul.</w:t>
            </w:r>
          </w:p>
          <w:p w14:paraId="64033995" w14:textId="77777777" w:rsidR="002A7CF7" w:rsidRPr="00A52611" w:rsidRDefault="002A7CF7" w:rsidP="00A52611"/>
        </w:tc>
      </w:tr>
    </w:tbl>
    <w:p w14:paraId="1196CEA6" w14:textId="77777777" w:rsidR="00871214" w:rsidRDefault="00871214"/>
    <w:p w14:paraId="626BD779" w14:textId="77777777" w:rsidR="00871214" w:rsidRDefault="00871214"/>
    <w:p w14:paraId="606DCFBB" w14:textId="630C41B2" w:rsidR="00871214" w:rsidRPr="002A7CF7" w:rsidRDefault="002A7CF7" w:rsidP="002A7CF7">
      <w:pPr>
        <w:rPr>
          <w:b/>
          <w:bCs/>
        </w:rPr>
      </w:pPr>
      <w:r w:rsidRPr="002A7CF7">
        <w:rPr>
          <w:b/>
          <w:bCs/>
        </w:rPr>
        <w:t>Conclusion ;</w:t>
      </w:r>
      <w:r w:rsidRPr="002A7CF7">
        <w:t xml:space="preserve"> En conclusion, cette étude met en évidence la valeur diagnostique et pronostique des mutations FLT3-ITD, NPM1 et WT1 dans les LMA à caryotype normal.</w:t>
      </w:r>
      <w:r w:rsidRPr="002A7CF7">
        <w:br/>
        <w:t xml:space="preserve">Les mutations FLT3-ITD et NPM1 constituent des biomarqueurs fiables pour la classification </w:t>
      </w:r>
      <w:bookmarkStart w:id="0" w:name="_GoBack"/>
      <w:r w:rsidRPr="002A7CF7">
        <w:lastRenderedPageBreak/>
        <w:t>pronostique, tandis que WT1 pourrait représenter un facteur de gravité supplémentaire, notamment lorsqu’elle coexiste avec FLT3-ITD.</w:t>
      </w:r>
      <w:r w:rsidRPr="002A7CF7">
        <w:br/>
        <w:t>Ces résultats renforcent la nécessité d’un profilage moléculaire systématique pour une médecine de précision dans la LMA.</w:t>
      </w:r>
      <w:bookmarkEnd w:id="0"/>
    </w:p>
    <w:p w14:paraId="458C4C0E" w14:textId="77777777" w:rsidR="00871214" w:rsidRDefault="00871214"/>
    <w:p w14:paraId="0B6EE488" w14:textId="77777777" w:rsidR="00871214" w:rsidRDefault="00871214"/>
    <w:p w14:paraId="5367B995" w14:textId="77777777" w:rsidR="00871214" w:rsidRDefault="00871214"/>
    <w:p w14:paraId="4980F52D" w14:textId="77777777" w:rsidR="00871214" w:rsidRDefault="00871214"/>
    <w:p w14:paraId="0F6ADD8B" w14:textId="77777777" w:rsidR="00871214" w:rsidRDefault="00871214"/>
    <w:p w14:paraId="565A9105" w14:textId="77777777" w:rsidR="00871214" w:rsidRDefault="00871214"/>
    <w:p w14:paraId="4FC40C5F" w14:textId="77777777" w:rsidR="00871214" w:rsidRDefault="00871214"/>
    <w:p w14:paraId="4BC22F93" w14:textId="77777777" w:rsidR="00871214" w:rsidRDefault="00871214"/>
    <w:p w14:paraId="0B801526" w14:textId="77777777" w:rsidR="00871214" w:rsidRDefault="00871214"/>
    <w:p w14:paraId="7014AFF6" w14:textId="77777777" w:rsidR="00871214" w:rsidRDefault="00871214"/>
    <w:p w14:paraId="36A443A3" w14:textId="77777777" w:rsidR="00871214" w:rsidRDefault="00871214"/>
    <w:p w14:paraId="267154D7" w14:textId="77777777" w:rsidR="00871214" w:rsidRDefault="00871214"/>
    <w:p w14:paraId="30D8D94E" w14:textId="77777777" w:rsidR="00871214" w:rsidRDefault="00871214"/>
    <w:p w14:paraId="6C98A511" w14:textId="77777777" w:rsidR="00871214" w:rsidRDefault="00871214"/>
    <w:p w14:paraId="4CAD0128" w14:textId="77777777" w:rsidR="00871214" w:rsidRDefault="00871214"/>
    <w:p w14:paraId="6C95CCA7" w14:textId="77777777" w:rsidR="00871214" w:rsidRDefault="00871214"/>
    <w:p w14:paraId="261F2499" w14:textId="77777777" w:rsidR="00871214" w:rsidRDefault="00871214"/>
    <w:p w14:paraId="09A2E9FA" w14:textId="77777777" w:rsidR="00871214" w:rsidRDefault="00871214"/>
    <w:p w14:paraId="1DC039AB" w14:textId="77777777" w:rsidR="00871214" w:rsidRDefault="00871214"/>
    <w:p w14:paraId="7A460EFE" w14:textId="77777777" w:rsidR="00871214" w:rsidRDefault="00871214"/>
    <w:p w14:paraId="3DE416BD" w14:textId="77777777" w:rsidR="00871214" w:rsidRDefault="00871214"/>
    <w:p w14:paraId="7AA890E9" w14:textId="77777777" w:rsidR="00871214" w:rsidRDefault="00871214"/>
    <w:p w14:paraId="4A53590F" w14:textId="77777777" w:rsidR="00871214" w:rsidRDefault="00871214"/>
    <w:p w14:paraId="7A0AEC0F" w14:textId="77777777" w:rsidR="00871214" w:rsidRDefault="00871214"/>
    <w:sectPr w:rsidR="008712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61BE9"/>
    <w:multiLevelType w:val="multilevel"/>
    <w:tmpl w:val="C1D6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D4A8E"/>
    <w:multiLevelType w:val="multilevel"/>
    <w:tmpl w:val="CE9CE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10B9E"/>
    <w:multiLevelType w:val="multilevel"/>
    <w:tmpl w:val="C77A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05570"/>
    <w:multiLevelType w:val="multilevel"/>
    <w:tmpl w:val="0580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B5EA6"/>
    <w:multiLevelType w:val="multilevel"/>
    <w:tmpl w:val="9A042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DF41A6"/>
    <w:multiLevelType w:val="multilevel"/>
    <w:tmpl w:val="968CF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671F62"/>
    <w:multiLevelType w:val="multilevel"/>
    <w:tmpl w:val="55C8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A49BC"/>
    <w:multiLevelType w:val="multilevel"/>
    <w:tmpl w:val="C6A40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51032A"/>
    <w:multiLevelType w:val="multilevel"/>
    <w:tmpl w:val="06728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D80F8A"/>
    <w:multiLevelType w:val="multilevel"/>
    <w:tmpl w:val="C2EA2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0E16D6"/>
    <w:multiLevelType w:val="multilevel"/>
    <w:tmpl w:val="A404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D7C8C"/>
    <w:multiLevelType w:val="multilevel"/>
    <w:tmpl w:val="D094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16F02"/>
    <w:multiLevelType w:val="multilevel"/>
    <w:tmpl w:val="FD28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9"/>
  </w:num>
  <w:num w:numId="5">
    <w:abstractNumId w:val="8"/>
  </w:num>
  <w:num w:numId="6">
    <w:abstractNumId w:val="5"/>
  </w:num>
  <w:num w:numId="7">
    <w:abstractNumId w:val="11"/>
  </w:num>
  <w:num w:numId="8">
    <w:abstractNumId w:val="3"/>
  </w:num>
  <w:num w:numId="9">
    <w:abstractNumId w:val="0"/>
  </w:num>
  <w:num w:numId="10">
    <w:abstractNumId w:val="10"/>
  </w:num>
  <w:num w:numId="11">
    <w:abstractNumId w:val="2"/>
  </w:num>
  <w:num w:numId="12">
    <w:abstractNumId w:val="6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CCF"/>
    <w:rsid w:val="001631BA"/>
    <w:rsid w:val="00292CCF"/>
    <w:rsid w:val="002A7CF7"/>
    <w:rsid w:val="003720C1"/>
    <w:rsid w:val="00421794"/>
    <w:rsid w:val="00562018"/>
    <w:rsid w:val="00726B6F"/>
    <w:rsid w:val="00865592"/>
    <w:rsid w:val="00871214"/>
    <w:rsid w:val="009844C8"/>
    <w:rsid w:val="00A52611"/>
    <w:rsid w:val="00B36A5F"/>
    <w:rsid w:val="00C73DD4"/>
    <w:rsid w:val="00D6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D5C5F"/>
  <w15:chartTrackingRefBased/>
  <w15:docId w15:val="{7825B519-34A5-484F-A580-A8B1DEF93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2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2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2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2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2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2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2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2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2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2C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92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2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2CC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2CC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2C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2C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2C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2C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2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2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2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2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2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2C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2CCF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292CC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2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2CC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2C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1682</Words>
  <Characters>9253</Characters>
  <Application>Microsoft Office Word</Application>
  <DocSecurity>0</DocSecurity>
  <Lines>77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radiabelhadef88@gmail.com</dc:creator>
  <cp:keywords/>
  <dc:description/>
  <cp:lastModifiedBy>2024</cp:lastModifiedBy>
  <cp:revision>7</cp:revision>
  <dcterms:created xsi:type="dcterms:W3CDTF">2025-10-07T21:08:00Z</dcterms:created>
  <dcterms:modified xsi:type="dcterms:W3CDTF">2025-11-02T22:27:00Z</dcterms:modified>
</cp:coreProperties>
</file>