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LocalMind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Detailed System Design &amp; Feasibility Review</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 · Conditional feasibility</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LocalMind project (owner TBD)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October 18,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LocalMind project team (not supplied)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Reviewer roles and names TBD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design v1.0; Phase 2 ZIP (referenced, not attached)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Target design and feasibility for the LocalMind desktop agent.</w:t>
            </w:r>
            <w:r>
              <w:rPr>
                <w:rtl w:val="0"/>
              </w:rPr>
            </w:r>
          </w:p>
        </w:tc>
      </w:tr>
    </w:tbl>
    <w:p>
      <w:r>
        <w:br w:type="page"/>
      </w:r>
    </w:p>
    <w:p>
      <w:pPr>
        <w:pStyle w:val="Heading1"/>
        <w:pageBreakBefore/>
      </w:pPr>
      <w:r>
        <w:t>1. Abstract</w:t>
      </w:r>
    </w:p>
    <w:p>
      <w:pPr/>
      <w:r>
        <w:t>LocalMind is a proposed single-user desktop assistant that routes a bounded set of natural-language requests to local file and document tools. The target is a modular Python application with a PySide6 desktop UI and retained CLI, a small ONNX embedding model for intent ranking, deterministic typed workflow templates, a policy and approval gate, a bounded task scheduler, platform adapters, and SQLite-backed local state. Model output may rank an allowlisted intent; it must never create executable code or directly authorize a tool.</w:t>
      </w:r>
    </w:p>
    <w:p>
      <w:pPr/>
      <w:r>
        <w:t>The supplied design document reports a Phase 2 CLI with two read-only intents, find_pdf and list_files, a dry-run default, an optional --approve flag, and a quantized Xenova/all-MiniLM-L6-v2 model loaded on demand. It also states that the existing tests mock inference. Those are treated here as reported baseline facts, not newly verified facts: the referenced source ZIP was not present in the workspace for this review.</w:t>
      </w:r>
    </w:p>
    <w:p>
      <w:pPr/>
      <w:r>
        <w:t>Feasibility disposition: conditional go for a read-only, offline-first vertical slice. The core stack is technically plausible and the currently listed quantized ONNX weight file is small relative to the proposed 200 MiB model-only cap. Release readiness is not established. Real inference quality, target hardware latency, total model bundle size, platform packaging, parser containment, path race resistance, and crash recovery need measured evidence before write-capable workflows or broad platform claims.</w:t>
      </w:r>
    </w:p>
    <w:p>
      <w:pPr>
        <w:pStyle w:val="Heading1"/>
      </w:pPr>
      <w: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Deliver a useful local-only MVP</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Arbitrary shell commands, generated scripts, or unrestricted computer control.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Enforce workspace scope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 inference, remote multi-tenant service, or automatic upload of user files.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workflows inspectable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Model-generated plans or writes without a human review and policy decision.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Ship supportable desktop builds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Voice, plugin execution, destructive file operations, and broad OCR are not v1 commitments.</w:t>
            </w:r>
            <w:r>
              <w:rPr>
                <w:rtl w:val="0"/>
              </w:rPr>
            </w:r>
          </w:p>
        </w:tc>
      </w:tr>
    </w:tbl>
    <w:p>
      <w:pPr>
        <w:pStyle w:val="Heading2"/>
      </w:pPr>
      <w:r>
        <w:t>2.1 Priorities and acceptance framing</w:t>
      </w:r>
    </w:p>
    <w:p>
      <w:pPr/>
      <w:r>
        <w:t>P0: preserve the reported CLI search behavior; pin and verify the local model bundle; reject unsupported intents; require an explicit workspace; validate all tool arguments; enforce path scope; keep strict offline mode free of runtime network access.</w:t>
      </w:r>
    </w:p>
    <w:p>
      <w:pPr/>
      <w:r>
        <w:t>P1: add the desktop shell, task history, inspectable plans, cancellation, local document extraction, and retention controls only after the read-only core is stable.</w:t>
      </w:r>
    </w:p>
    <w:p>
      <w:pPr/>
      <w:r>
        <w:t>P2: consider voice, extensible plugins, OCR, and write workflows only through separate threat, privacy, and support reviews.</w:t>
      </w:r>
    </w:p>
    <w:p>
      <w:pPr/>
      <w:r>
        <w:t>The existing 500 ms p95 inference objective and 200 MiB model-asset ceiling are provisional acceptance targets, not measured results. Name reference hardware, define whether the model budget includes tokenizer/config files, and measure signed installer size separately before calling either target feasible.</w:t>
      </w:r>
    </w:p>
    <w:p>
      <w:pPr>
        <w:pStyle w:val="Heading1"/>
      </w:pPr>
      <w:r>
        <w:t>3. Background and Problem Statement</w:t>
      </w:r>
    </w:p>
    <w:p>
      <w:pPr/>
      <w:r>
        <w:t>The design document describes a semantic file-search CLI that handles find_pdf and list_files, defaults to dry-run, and can load a quantized sentence-embedding model on demand. The reported Phase 2 package contains main.py, semantic.py, requirements.txt, README.md, and tests/test_semantic.py. The design itself says those tests use mocks and do not prove real ONNX inference. The target adds a GUI, planner, multi-step workflows, persistence, indexing, and controlled writes; none of these are claimed to exist in the baseline.</w:t>
      </w:r>
    </w:p>
    <w:p>
      <w:pPr/>
      <w:r>
        <w:t>The gap is therefore both product and evidence: a search CLI is not yet a desktop agent, and the current design does not establish model behavior, cross-platform package size, workload latency, document parser limits, storage growth, or safe recovery from interrupted mutations. Keep those as explicit proof points rather than assuming the proposed components already meet them.</w:t>
      </w:r>
    </w:p>
    <w:p>
      <w:pPr/>
      <w:r>
        <w:t>System boundary: the user and selected workspace are the input boundary; the application owns request validation, intent ranking, deterministic planning, authorization, execution, and local history; OS adapters mediate filesystem access; app data and verified model assets stay in per-user application directories. There is no server or remote control plane in v1.</w:t>
      </w:r>
    </w:p>
    <w:p>
      <w:pPr>
        <w:pStyle w:val="Heading2"/>
      </w:pPr>
      <w:r>
        <w:t>3.1 Invariants for implementation and review</w:t>
      </w:r>
    </w:p>
    <w:p>
      <w:pPr>
        <w:ind w:left="317" w:hanging="216"/>
      </w:pPr>
      <w:r>
        <w:t>•  Only registered, versioned tools can execute; model text, document text, filenames, and parsed metadata are untrusted data.</w:t>
      </w:r>
    </w:p>
    <w:p>
      <w:pPr>
        <w:ind w:left="317" w:hanging="216"/>
      </w:pPr>
      <w:r>
        <w:t>•  Every operation carries a workspace scope, validated arguments, bounded resource limits, timeout, and declared side-effect class.</w:t>
      </w:r>
    </w:p>
    <w:p>
      <w:pPr>
        <w:ind w:left="317" w:hanging="216"/>
      </w:pPr>
      <w:r>
        <w:t>•  Ambiguity, missing models, policy errors, database failures, and uncertain filesystem state fail closed and surface a recoverable explanation.</w:t>
      </w:r>
    </w:p>
    <w:p>
      <w:pPr>
        <w:ind w:left="317" w:hanging="216"/>
      </w:pPr>
      <w:r>
        <w:t>•  Strict offline runtime mode performs no implicit downloads, telemetry, update checks, or network-backed parsing.</w:t>
      </w:r>
    </w:p>
    <w:p>
      <w:pPr>
        <w:ind w:left="317" w:hanging="216"/>
      </w:pPr>
      <w:r>
        <w:t>•  The filesystem remains the authority for current file state; SQLite records intent, execution, approvals, and recovery evidence.</w:t>
      </w:r>
    </w:p>
    <w:p>
      <w:pPr>
        <w:pStyle w:val="Heading1"/>
      </w:pPr>
      <w:r>
        <w:t>4. Proposed Architecture</w:t>
      </w:r>
    </w:p>
    <w:p>
      <w:pPr/>
      <w:r>
        <w:t>Figure 1. Local request and control flow. Trust is enforced by typed contracts and policy decisions; the embedding model is not an execution boundary.</w:t>
      </w:r>
    </w:p>
    <w:p>
      <w:pPr>
        <w:spacing w:before="60" w:after="120" w:line="240" w:lineRule="auto"/>
        <w:ind w:left="259"/>
      </w:pPr>
      <w:r>
        <w:rPr>
          <w:rFonts w:ascii="Menlo" w:hAnsi="Menlo" w:eastAsia="Menlo"/>
          <w:color w:val="082A4A"/>
          <w:sz w:val="17"/>
        </w:rPr>
        <w:t>User selects workspace and submits request</w:t>
        <w:br/>
        <w:t xml:space="preserve">                |</w:t>
        <w:br/>
        <w:t xml:space="preserve">       PySide6 UI / CLI boundary</w:t>
        <w:br/>
        <w:t xml:space="preserve">                |</w:t>
        <w:br/>
        <w:t xml:space="preserve"> Request controller + deterministic input parser</w:t>
        <w:br/>
        <w:t xml:space="preserve">                |</w:t>
        <w:br/>
        <w:t xml:space="preserve"> Local ONNX intent ranker -&gt; abstain or allowlisted intent</w:t>
        <w:br/>
        <w:t xml:space="preserve">                |</w:t>
        <w:br/>
        <w:t xml:space="preserve"> Template planner -&gt; DAG validator -&gt; policy / approval gate</w:t>
        <w:br/>
        <w:t xml:space="preserve">                |</w:t>
        <w:br/>
        <w:t xml:space="preserve"> Bounded scheduler -&gt; tool registry -&gt; OS file adapters</w:t>
        <w:br/>
        <w:t xml:space="preserve">                |</w:t>
        <w:br/>
        <w:t xml:space="preserve">     SQLite state / journal / audit / local cache</w:t>
      </w:r>
    </w:p>
    <w:p>
      <w:pPr>
        <w:pStyle w:val="Heading2"/>
      </w:pPr>
      <w:r>
        <w:t>4.1 Core components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and CLI boundary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Capture request, explicit workspace, options, and approval; show plan and 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authority-bearing state.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incomplete scope; never mutate directly.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 and model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Rank only registered intents; return scores, margin, model version, or abstention.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Verified model bundle and prototype manifest.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network fallback; return MODEL_MISSING or INTENT_AMBIGUOUS.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Planner, policy, scheduler, registry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and validate typed DAGs; enforce capabilities; schedule bounded tool calls.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Versioned schemas and policy 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invalid plans; no partial execution before validation.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OS and document adapters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Perform scoped reads and later narrowly approved writes using platform-specific primitives.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Approved workspace and temporary output locations.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Timeout, report access errors, and fail closed on scope uncertainty.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State, journal, recovery, diagnostics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Persist task state, approvals, attempts, migrations, and redacted local events.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SQLite in per-user app data; model cache separate.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Block new mutations if journal or database durability is uncertain.</w:t>
            </w:r>
            <w:r>
              <w:rPr>
                <w:rtl w:val="0"/>
              </w:rPr>
            </w:r>
          </w:p>
        </w:tc>
      </w:tr>
    </w:tbl>
    <w:p>
      <w:pPr>
        <w:pStyle w:val="Heading2"/>
      </w:pPr>
      <w:r>
        <w:t>4.2 Trust boundaries and execution model</w:t>
      </w:r>
    </w:p>
    <w:p>
      <w:pPr/>
      <w:r>
        <w:t>The first release should be a modular monolith with a single UI/application process and no network listener. Keep inference, planning, and UI responsive by running model calls and scans off the Qt event thread. A separate worker process can improve fault containment, but a normal child process under the same user account is not a security sandbox: it generally retains that user's filesystem authority. Do not claim isolation until a platform-specific restricted token, App Sandbox entitlement, Linux sandbox, or equivalent is implemented and tested.</w:t>
      </w:r>
    </w:p>
    <w:p>
      <w:pPr/>
      <w:r>
        <w:t>Use a narrow worker protocol with a short-lived capability describing the workspace, permitted operation, path set, effect, and expiry. Revalidate it at the operation boundary. A capability token helps prevent application-level confused-deputy errors; it does not defend against a hostile process running as the same user.</w:t>
      </w:r>
    </w:p>
    <w:p>
      <w:pPr>
        <w:pStyle w:val="Heading2"/>
      </w:pPr>
      <w:r>
        <w:t>4.3 Model and intent routing</w:t>
      </w:r>
    </w:p>
    <w:p>
      <w:pPr/>
      <w:r>
        <w:t>Use a pinned ONNX encoder and matching tokenizer/configuration. The model card describes all-MiniLM-L6-v2 as producing 384-dimensional sentence vectors and documents attention-mask-aware mean pooling. The router may compare a normalized request vector with approved intent prototypes using cosine similarity. Record the top score, runner-up, margin, model revision, and rejection reason; these scores are ranking signals, not calibrated probabilities. [R2]</w:t>
      </w:r>
    </w:p>
    <w:p>
      <w:pPr/>
      <w:r>
        <w:t>The existing 0.55 similarity and 0.06 margin values are only starting heuristics. Recalibrate on a held-out, labeled set containing paraphrases, negations, unsupported requests, multi-intent requests, path ambiguity, and adversarial wording. Low-confidence or unsupported requests must ask for clarification or reject. A correct top-1 label is not sufficient evidence for safe execution.</w:t>
      </w:r>
    </w:p>
    <w:p>
      <w:pPr/>
      <w:r>
        <w:t>Parameter extraction should be deterministic and schema-driven in v1. Require explicit workspace selection and use simple, visible options for recursion, result limits, destination, and output format. Do not infer a filesystem path from embedding similarity.</w:t>
      </w:r>
    </w:p>
    <w:p>
      <w:pPr>
        <w:pStyle w:val="Heading2"/>
      </w:pPr>
      <w:r>
        <w:t>4.4 Model lifecycle and offline operation</w:t>
      </w:r>
    </w:p>
    <w:p>
      <w:pPr>
        <w:ind w:left="317" w:hanging="216"/>
      </w:pPr>
      <w:r>
        <w:t>•  Provision only after explicit user action, from a versioned release manifest; stage the full bundle and verify per-file hashes, license, and total byte count before activation.</w:t>
      </w:r>
    </w:p>
    <w:p>
      <w:pPr>
        <w:ind w:left="317" w:hanging="216"/>
      </w:pPr>
      <w:r>
        <w:t>•  Atomically activate a complete verified bundle; retain the prior known-good bundle for rollback and record the exact model, tokenizer, and prototype revisions.</w:t>
      </w:r>
    </w:p>
    <w:p>
      <w:pPr>
        <w:ind w:left="317" w:hanging="216"/>
      </w:pPr>
      <w:r>
        <w:t>•  In strict offline mode use local-files-only loading and disable implicit downloads, telemetry, and update checks. Missing assets produce a clear remediation path.</w:t>
      </w:r>
    </w:p>
    <w:p>
      <w:pPr>
        <w:ind w:left="317" w:hanging="216"/>
      </w:pPr>
      <w:r>
        <w:t>•  Run inference with bounded thread count and memory; measure cold-start, warm latency, and peak resident memory on each reference platform.</w:t>
      </w:r>
    </w:p>
    <w:p>
      <w:pPr>
        <w:pStyle w:val="Heading2"/>
      </w:pPr>
      <w:r>
        <w:t>4.5 Planning and tool registry</w:t>
      </w:r>
    </w:p>
    <w:p>
      <w:pPr/>
      <w:r>
        <w:t>The planner is deterministic and template-driven initially. A task record includes task ID, tool ID/version, typed arguments, dependency IDs, side-effect class, workspace scope, timeout, retry rule, idempotency key, and postcondition. The validator rejects cycles, missing dependencies, unknown tools, malformed arguments, path escapes, unsupported effects, oversized fan-out, and plans outside configured time or file-count limits.</w:t>
      </w:r>
    </w:p>
    <w:p>
      <w:pPr/>
      <w:r>
        <w:t>The registry is the only route to execution. Keep initial tools read-only. Later report creation may write to one previewed destination using temporary-file creation, flush, atomic replacement where supported, and checksum/postcondition verification. File moves and deletion require a distinct policy and recovery design.</w:t>
      </w:r>
    </w:p>
    <w:p>
      <w:pPr>
        <w:pStyle w:val="Heading2"/>
      </w:pPr>
      <w:r>
        <w:t>4.6 Desktop experience</w:t>
      </w:r>
    </w:p>
    <w:p>
      <w:pPr/>
      <w:r>
        <w:t>The user journey is: choose a workspace; enter a request; review the interpreted intent or clarify; inspect the task plan and affected paths; approve only a newly requested write scope; observe progress and cancel; then review verified outputs and local activity history. Provide screens for Command Home, Plan Preview, Approval, Live Execution, History, Workspace Permissions, Indexed Documents, Model Manager, and Diagnostics. Model work and scans must not block the UI thread.</w:t>
      </w:r>
    </w:p>
    <w:p>
      <w:pPr>
        <w:pStyle w:val="Heading1"/>
      </w:pPr>
      <w:r>
        <w:t>5. Request Lifecycle</w:t>
      </w:r>
    </w:p>
    <w:p>
      <w:pPr/>
      <w:r>
        <w:t>Capture: accept a bounded request, explicit workspace, selected options, and a request ID. CLI calls without a valid workspace fail before scanning.</w:t>
      </w:r>
    </w:p>
    <w:p>
      <w:pPr/>
      <w:r>
        <w:t>Normalize and scope: normalize text; resolve the workspace; reject unsupported path forms and disallowed symlinks or mount crossings; apply file-count, byte, depth, and time budgets.</w:t>
      </w:r>
    </w:p>
    <w:p>
      <w:pPr/>
      <w:r>
        <w:t>Load local state: read the pinned model manifest, intent prototypes, policy version, and SQLite schema version. Strict offline mode never attempts network recovery.</w:t>
      </w:r>
    </w:p>
    <w:p>
      <w:pPr/>
      <w:r>
        <w:t>Classify and clarify: return an allowlisted intent with rank diagnostics or abstain. Unsupported, conflicting, and ambiguous commands stop before planning.</w:t>
      </w:r>
    </w:p>
    <w:p>
      <w:pPr/>
      <w:r>
        <w:t>Plan and validate: build a typed DAG; validate each node, edge, scope, effect, timeout, retry policy, and resource budget; compute a canonical plan digest.</w:t>
      </w:r>
    </w:p>
    <w:p>
      <w:pPr/>
      <w:r>
        <w:t>Authorize and execute: persist plan and approval state before work. Reads remain inside the selected scope. A write requires plan-scoped consent bound to digest, tool versions, exact paths, effects, expiry, and output collision behavior.</w:t>
      </w:r>
    </w:p>
    <w:p>
      <w:pPr/>
      <w:r>
        <w:t>Verify and report: check each task's postcondition; persist terminal state; show outputs, errors, cancellation, or reconciliation needs. Emit redacted local events with correlation IDs.</w:t>
      </w:r>
    </w:p>
    <w:p>
      <w:pPr>
        <w:pStyle w:val="Heading2"/>
      </w:pPr>
      <w:r>
        <w:t>5.1 Task state machine and recovery</w:t>
      </w:r>
    </w:p>
    <w:p>
      <w:pPr>
        <w:spacing w:before="60" w:after="120" w:line="240" w:lineRule="auto"/>
        <w:ind w:left="259"/>
      </w:pPr>
      <w:r>
        <w:rPr>
          <w:rFonts w:ascii="Menlo" w:hAnsi="Menlo" w:eastAsia="Menlo"/>
          <w:color w:val="082A4A"/>
          <w:sz w:val="17"/>
        </w:rPr>
        <w:t>RECEIVED -&gt; CLASSIFYING -&gt; PLANNED -&gt; VALIDATED -&gt; AWAITING_APPROVAL -&gt; READY -&gt; RUNNING -&gt; VERIFYING -&gt; SUCCEEDED</w:t>
        <w:br/>
        <w:t xml:space="preserve">                         |             |                     |                         |</w:t>
        <w:br/>
        <w:t xml:space="preserve">                      REJECTED      CANCELLED             FAILED              NEEDS_RECONCILIATION</w:t>
        <w:br/>
        <w:t>Other terminal states: PARTIAL, CANCELLED, ROLLED_BACK (only when rollback is verified)</w:t>
      </w:r>
    </w:p>
    <w:p>
      <w:pPr/>
      <w:r>
        <w:t>Persist a RUNNING attempt and unique execution ID before invoking a worker. Independent read-only nodes may run with bounded concurrency; writes to the same canonical path are serialized. Retry only a transient error on an idempotent operation, with a small fixed retry budget and backoff. An interrupted mutation is UNKNOWN until the recovery manager compares journaled before-state, after-state, and content hashes; it is never blindly retried.</w:t>
      </w:r>
    </w:p>
    <w:p>
      <w:pPr>
        <w:pStyle w:val="Heading1"/>
      </w:pPr>
      <w:r>
        <w:t>6. API and Data Contracts</w:t>
      </w:r>
    </w:p>
    <w:p>
      <w:pPr/>
      <w:r>
        <w:t>V1 uses in-process typed service calls rather than an HTTP service. Treat each service boundary like an API so the CLI, GUI, scheduler, and test harness share the same validation.</w:t>
      </w:r>
    </w:p>
    <w:p>
      <w:pPr>
        <w:pStyle w:val="Heading2"/>
      </w:pPr>
      <w:r>
        <w:t>6.1 Primary request and plan contract</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request_id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request identity; generated at the UI/CLI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idempotency_key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Deduplicates a repeated submit; scoped to one user and request.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workspace_ref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opaque ID + canonical root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User-selected scope; canonical root rechecked before file access.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Registered intent or explicit unresolved/rejected state; never a tool name from free text.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plan_version + digest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 + SHA-256</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Canonical immutable plan version and digest; any change invalidates approval.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tasks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array&lt;Task&gt;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DAG nodes with tool version, schema version, args, dependencies, effect, timeout, and postcondition.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approval_ref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 or null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Approval binds exact plan digest, path/effect scope, tool versions, and expiry.</w:t>
            </w:r>
            <w:r>
              <w:rPr>
                <w:rtl w:val="0"/>
              </w:rPr>
            </w:r>
          </w:p>
        </w:tc>
      </w:tr>
    </w:tbl>
    <w:p>
      <w:pPr>
        <w:pStyle w:val="Heading2"/>
      </w:pPr>
      <w:r>
        <w:t>6.2 Contract guarantees</w:t>
      </w:r>
    </w:p>
    <w:p>
      <w:pPr>
        <w:ind w:left="317" w:hanging="216"/>
      </w:pPr>
      <w:r>
        <w:t>•  Validate requests and task arguments at ingress and again at the worker boundary; unknown fields and unknown tool versions are rejected.</w:t>
      </w:r>
    </w:p>
    <w:p>
      <w:pPr>
        <w:ind w:left="317" w:hanging="216"/>
      </w:pPr>
      <w:r>
        <w:t>•  Persist request, immutable plan version, dependency graph, approval decision, attempt number, and state transitions with stable IDs.</w:t>
      </w:r>
    </w:p>
    <w:p>
      <w:pPr>
        <w:ind w:left="317" w:hanging="216"/>
      </w:pPr>
      <w:r>
        <w:t>•  Approval is invalidated by any change to paths, arguments, dependencies, tool version, effect, output policy, or plan digest.</w:t>
      </w:r>
    </w:p>
    <w:p>
      <w:pPr>
        <w:ind w:left="317" w:hanging="216"/>
      </w:pPr>
      <w:r>
        <w:t>•  SQLite records application intent and audit history; it does not make filesystem changes transactional and is not authoritative for current file contents.</w:t>
      </w:r>
    </w:p>
    <w:p>
      <w:pPr/>
      <w:r>
        <w:t>Core internal interfaces: IntentService.classify(text, context) -&gt; IntentResult; Planner.build(request, context) -&gt; Plan; PlanValidator.validate(plan) -&gt; ValidationReport; PolicyEngine.authorize(plan, grants) -&gt; Authorization; Scheduler.execute(plan, authorization) -&gt; RunHandle; ToolRegistry.invoke(tool_id, args, capability) -&gt; ToolResult. Use Pydantic or an equivalent typed validation layer and stable error codes such as MODEL_MISSING, INTENT_AMBIGUOUS, PATH_OUTSIDE_SCOPE, APPROVAL_REQUIRED, TOOL_TIMEOUT, and RECONCILIATION_REQUIRED.</w:t>
      </w:r>
    </w:p>
    <w:p>
      <w:pPr>
        <w:pStyle w:val="Heading2"/>
      </w:pPr>
      <w:r>
        <w:t>6.3 Local persistence model</w:t>
      </w:r>
    </w:p>
    <w:p>
      <w:pPr/>
      <w:r>
        <w:t>SQLite in the OS per-user application-data directory is the local transactional source for sessions, requests, plans, tasks, dependency edges, approvals, execution attempts, operation journal entries, audit events, model versions, document metadata, chunks, embeddings, and user-approved memories. Use foreign keys, schema migrations, explicit retention, and integrity checks. A local exact-vector scan is acceptable only for a measured bounded corpus; add a vector extension only if workload evidence requires it.</w:t>
      </w:r>
    </w:p>
    <w:p>
      <w:pPr/>
      <w:r>
        <w:t>WAL mode allows readers alongside a writer but still permits only one writer and does not work over a network filesystem. Keep the database and its WAL/SHM files on local storage, serialize write transactions, and keep transactions short. [R6]</w:t>
      </w:r>
    </w:p>
    <w:p>
      <w:pPr/>
      <w:r>
        <w:t>Store full document text only when indexing is enabled and the user has opted in. Provide inspect, delete, export, per-directory exclusion, retention, and clear-history controls. SQLite does not provide application-level encryption by itself; decide whether OS account protection is sufficient or whether a separately reviewed encryption design is required.</w:t>
      </w:r>
    </w:p>
    <w:p>
      <w:pPr>
        <w:pStyle w:val="Heading1"/>
      </w:pPr>
      <w:r>
        <w:t>7. Consistency, Idempotency, and Replay</w:t>
      </w:r>
    </w:p>
    <w:p>
      <w:pPr/>
      <w:r>
        <w:t>Request records are durable before task execution. The scheduler uses request idempotency keys, immutable plan versions, unique attempt IDs, bounded retries, and task postconditions. Filesystem and SQLite state cannot share a transaction, so journaling narrows uncertainty but cannot make arbitrary file operations atomic.</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submit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the prior result or attach to the existing run for the same idempotency 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duplicate scans and duplicate outputs.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Dependency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 dependents BLOCKED; retain completed reads; return a structured error.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dependent task must not run on missing or partial inputs.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Timeout or crash during write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 outcome unknown; reconcile paths and hashes before any retry.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timeout does not prove that the filesystem operation did not occur.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Policy or model changes mid-run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the request's recorded policy/model/schema snapshot; require a new plan for new versions.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behavior from changing inside an approved plan.</w:t>
            </w:r>
            <w:r>
              <w:rPr>
                <w:rtl w:val="0"/>
              </w:rPr>
            </w:r>
          </w:p>
        </w:tc>
      </w:tr>
    </w:tbl>
    <w:p>
      <w:pPr/>
      <w:r>
        <w:t>For report generation, write to a unique temporary path inside the approved destination directory, verify content and output checksum, then use an OS-supported atomic replace if collision policy permits. Cross-volume moves, deletes, and rollback are not assumed atomic or reversible. Record whether each operation is idempotent and prohibit automatic retry for any ambiguous mutation.</w:t>
      </w:r>
    </w:p>
    <w:p>
      <w:pPr>
        <w:pStyle w:val="Heading1"/>
      </w:pPr>
      <w:r>
        <w:t>8. Security and Privacy Considerations</w:t>
      </w:r>
    </w:p>
    <w:p>
      <w:pPr>
        <w:pStyle w:val="Heading2"/>
      </w:pPr>
      <w:r>
        <w:t>8.1 Threat model and authorization</w:t>
      </w:r>
    </w:p>
    <w:p>
      <w:pPr/>
      <w:r>
        <w:t>Threats include malicious document text, hostile filenames, symlink/junction changes, path traversal, archive or PDF resource exhaustion, accidental broad commands, compromised dependencies, and tool defects. Treat all retrieved content and model output as data, never instructions. A PDF that says to upload files cannot grant permission or alter policy.</w:t>
      </w:r>
    </w:p>
    <w:p>
      <w:pPr/>
      <w:r>
        <w:t>The permission boundary is the explicitly selected workspace plus a typed operation capability. A general --approve switch is too broad for future writes. CLI and GUI approvals should display the exact plan, paths, effects, collision behavior, and digest; consent expires and is not reusable after a plan change. Privileged system changes, arbitrary subprocesses, and general shell tools are unavailable.</w:t>
      </w:r>
    </w:p>
    <w:p>
      <w:pPr>
        <w:pStyle w:val="Heading2"/>
      </w:pPr>
      <w:r>
        <w:t>8.2 Path safety and mutation controls</w:t>
      </w:r>
    </w:p>
    <w:p>
      <w:pPr>
        <w:ind w:left="317" w:hanging="216"/>
      </w:pPr>
      <w:r>
        <w:t>•  Re-resolve and validate scope immediately before each operation. pathlib checks alone do not close time-of-check/time-of-use races.</w:t>
      </w:r>
    </w:p>
    <w:p>
      <w:pPr>
        <w:ind w:left="317" w:hanging="216"/>
      </w:pPr>
      <w:r>
        <w:t>•  Reject traversal, unexpected UNC/network paths, and symlinks or junctions unless a reviewed platform policy explicitly allows them. Prefer handle-based, race-resistant traversal and test each OS adapter.</w:t>
      </w:r>
    </w:p>
    <w:p>
      <w:pPr>
        <w:ind w:left="317" w:hanging="216"/>
      </w:pPr>
      <w:r>
        <w:t>•  Keep v1 read-only. Add report writes only after approval binding, journal recovery, collision handling, and output verification pass adversarial tests. Deletion and bulk moves remain deferred.</w:t>
      </w:r>
    </w:p>
    <w:p>
      <w:pPr>
        <w:ind w:left="317" w:hanging="216"/>
      </w:pPr>
      <w:r>
        <w:t>•  Run parsers with limits on bytes, pages, nesting, wall time, memory, and extracted output. Disable external references and embedded-file execution; isolate the parser with OS controls if available.</w:t>
      </w:r>
    </w:p>
    <w:p>
      <w:pPr>
        <w:pStyle w:val="Heading2"/>
      </w:pPr>
      <w:r>
        <w:t>8.3 Data minimization and supply chain</w:t>
      </w:r>
    </w:p>
    <w:p>
      <w:pPr/>
      <w:r>
        <w:t>Logs should contain correlation IDs, task/tool versions, timings, error codes, and state transitions, not raw prompts, file contents, or full paths by default. Diagnostics export is explicit and user-reviewed. Keep app database, model cache, and workspace data separate.</w:t>
      </w:r>
    </w:p>
    <w:p>
      <w:pPr/>
      <w:r>
        <w:t>Pin dependency versions and hashes; generate an SBOM; review each dependency and model license; verify signed installers and model manifests; stage upgrades and retain rollback assets. Strict offline runtime must be testable with network access denied. If encryption at rest is a requirement, use a separately reviewed key-storage and backup-recovery design rather than assuming SQLite provides it.</w:t>
      </w:r>
    </w:p>
    <w:p>
      <w:pPr>
        <w:pStyle w:val="Heading1"/>
      </w:pPr>
      <w:r>
        <w:t>9. Operational Readiness</w:t>
      </w:r>
    </w:p>
    <w:p>
      <w:pPr/>
      <w:r>
        <w:t>All owners are TBD. The values below are proposed release gates or initial targets; they must be baselined on named hardware and a frozen support matrix. They are not production SLO evidence.</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 quality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 precision, recall, abstention, and false-accept rate by intent and OS.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ML/application owner TBD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Held-out negative set passes an approved threshold; writes never execute from classification alone.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Inference and UI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Candidate p95 &lt; 500 ms for short commands; UI remains responsive during scans.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Runtime/UI owner TBD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Benchmark cold and warm paths on reference devices; revise target if evidence requires it.</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Workspace containment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reads or writes outside approved roots in traversal, symlink, junction, and race fixtures.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Security owner TBD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 on each supported OS before indexing or writes.</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Recovery integrity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Every injected crash ends verified complete, verified unchanged, or explicitly needs reconciliation.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Storage owner TBD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No silent state loss in crash, disk-full, locked-file, and restart scenarios.</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Offline and model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runtime network request in strict mode; model bundle hashes and byte cap verified.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 owner TBD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Air-gapped install and smoke run pass from clean machine.</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start read-only; enable each write tool only after plan-bound approval, path-scope tests, crash recovery, and platform package gates pass.</w:t>
            </w:r>
            <w:r>
              <w:rPr>
                <w:rtl w:val="0"/>
              </w:rPr>
            </w:r>
          </w:p>
        </w:tc>
      </w:tr>
    </w:tbl>
    <w:p>
      <w:pPr>
        <w:pStyle w:val="Heading2"/>
      </w:pPr>
      <w:r>
        <w:t>9.1 Deployment and operations</w:t>
      </w:r>
    </w:p>
    <w:p>
      <w:pPr/>
      <w:r>
        <w:t>Use Qt standard paths where possible: Windows per-user data under %LOCALAPPDATA%\LocalMind; macOS under ~/Library/Application Support/LocalMind with caches under ~/Library/Caches/LocalMind; Linux under $XDG_DATA_HOME/localmind and $XDG_CACHE_HOME/localmind, honoring XDG defaults. Store secrets only in OS key stores when available (Credential Manager, Keychain, or Secret Service). Candidate distributions are a signed Windows installer, signed/notarized macOS application, and a defined Linux package target.</w:t>
      </w:r>
    </w:p>
    <w:p>
      <w:pPr/>
      <w:r>
        <w:t>Use pyside6-deploy or another verified bundler per platform and publish a support matrix instead of promising every desktop variant. Qt for Python documents deployment paths for Windows, macOS, and Linux; that establishes a viable packaging route, not a guarantee that this application's dependency set works on every target. [R4, R5]</w:t>
      </w:r>
    </w:p>
    <w:p>
      <w:pPr/>
      <w:r>
        <w:t>Store application data and caches in platform-standard per-user locations, not in the selected workspace. Define maximum scan size, parser budgets, database growth, log retention, and cancellation semantics before release. Collect local-only counters for completion, abstention, approval denial, retries, reconciliation, inference latency, and parser failures.</w:t>
      </w:r>
    </w:p>
    <w:p>
      <w:pPr/>
      <w:r>
        <w:t>CI sequence: lint and type checks; deterministic unit tests; real pinned-model offline integration; intent evaluation; path and parser adversarial fixtures; crash recovery; database migration/restore; OS package matrix; network-denied smoke run; SBOM and signature verification. Diagnostics remain local unless the user explicitly exports them.</w:t>
      </w:r>
    </w:p>
    <w:p>
      <w:pPr>
        <w:pStyle w:val="Heading1"/>
      </w:pPr>
      <w:r>
        <w:t>10. Feasibility Assessment</w:t>
      </w:r>
    </w:p>
    <w:p>
      <w:pPr/>
      <w:r>
        <w:t>Overall rating: AMBER — conditionally feasible for a staged, read-only desktop product. The selected stack has established local runtimes and desktop packaging options. The largest feasibility risks are not model-file size; they are intent false accepts, the difference between process separation and a real sandbox, platform-specific path races, parser resource containment, unmeasured performance, and supportable packaging.</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584"/>
        <w:gridCol w:w="3528"/>
        <w:gridCol w:w="1368"/>
        <w:gridCol w:w="3528"/>
        <w:tblGridChange w:id="0">
          <w:tblGrid>
            <w:gridCol w:w="2268"/>
            <w:gridCol w:w="3164"/>
            <w:gridCol w:w="2374"/>
            <w:gridCol w:w="2634"/>
          </w:tblGrid>
        </w:tblGridChange>
      </w:tblGrid>
      <w:tr>
        <w:trPr>
          <w:cantSplit w:val="1"/>
          <w:tblHeader w:val="1"/>
        </w:trPr>
        <w:tc>
          <w:tcPr>
            <w:tcW w:type="dxa" w:w="1584"/>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Dimension</w:t>
            </w:r>
            <w:r>
              <w:rPr>
                <w:rtl w:val="0"/>
              </w:rPr>
            </w:r>
          </w:p>
        </w:tc>
        <w:tc>
          <w:tcPr>
            <w:tcW w:type="dxa" w:w="3528"/>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Finding</w:t>
            </w:r>
            <w:r>
              <w:rPr>
                <w:rtl w:val="0"/>
              </w:rPr>
            </w:r>
          </w:p>
        </w:tc>
        <w:tc>
          <w:tcPr>
            <w:tcW w:type="dxa" w:w="1368"/>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Confidence</w:t>
            </w:r>
            <w:r>
              <w:rPr>
                <w:rtl w:val="0"/>
              </w:rPr>
            </w:r>
          </w:p>
        </w:tc>
        <w:tc>
          <w:tcPr>
            <w:tcW w:type="dxa" w:w="3528"/>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Proof required</w:t>
            </w:r>
            <w:r>
              <w:rPr>
                <w:rtl w:val="0"/>
              </w:rPr>
            </w:r>
          </w:p>
        </w:tc>
      </w:tr>
      <w:tr>
        <w:trPr>
          <w:cantSplit w:val="1"/>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Architecture and implementation</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Python modular monolith, typed tools, DAG validation, and local persistence form a coherent desktop design.</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Medium-high</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Build one vertical slice from request through verified read result.</w:t>
            </w:r>
            <w:r>
              <w:rPr>
                <w:rtl w:val="0"/>
              </w:rPr>
            </w:r>
          </w:p>
        </w:tc>
      </w:tr>
      <w:tr>
        <w:trPr>
          <w:cantSplit w:val="1"/>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Model bundle and offline use</w:t>
            </w:r>
            <w:r>
              <w:rPr>
                <w:rtl w:val="0"/>
              </w:rPr>
            </w:r>
          </w:p>
        </w:tc>
        <w:tc>
          <w:tcPr>
            <w:tcW w:type="dxa" w:w="352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listed quantized ONNX weight file is 23 MB; the full bundle may fit 200 MiB, but Python graph compatibility and total bytes are unverified.</w:t>
            </w:r>
            <w:r>
              <w:rPr>
                <w:rtl w:val="0"/>
              </w:rPr>
            </w:r>
          </w:p>
        </w:tc>
        <w:tc>
          <w:tcPr>
            <w:tcW w:type="dxa" w:w="136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Medium</w:t>
            </w:r>
            <w:r>
              <w:rPr>
                <w:rtl w:val="0"/>
              </w:rPr>
            </w:r>
          </w:p>
        </w:tc>
        <w:tc>
          <w:tcPr>
            <w:tcW w:type="dxa" w:w="352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Pin immutable revision; verify all assets and hashes; run Python ONNX session and air-gapped smoke. [R1, R3]</w:t>
            </w:r>
            <w:r>
              <w:rPr>
                <w:rtl w:val="0"/>
              </w:rPr>
            </w:r>
          </w:p>
        </w:tc>
      </w:tr>
      <w:tr>
        <w:trPr>
          <w:cantSplit w:val="1"/>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Intent quality</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384-dimensional encoder can rank a small fixed catalog; scores are not calibrated and arguments need separate validation.</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Medium-low</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Evaluate paraphrases, negatives, ambiguity, and supported languages; set abstention gates from labeled data. [R2]</w:t>
            </w:r>
            <w:r>
              <w:rPr>
                <w:rtl w:val="0"/>
              </w:rPr>
            </w:r>
          </w:p>
        </w:tc>
      </w:tr>
      <w:tr>
        <w:trPr>
          <w:cantSplit w:val="1"/>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Cross-platform desktop</w:t>
            </w:r>
            <w:r>
              <w:rPr>
                <w:rtl w:val="0"/>
              </w:rPr>
            </w:r>
          </w:p>
        </w:tc>
        <w:tc>
          <w:tcPr>
            <w:tcW w:type="dxa" w:w="352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Qt documents Windows, macOS, and Linux deployment paths; native permissions, ABI, architecture wheels, and signing remain target-specific.</w:t>
            </w:r>
            <w:r>
              <w:rPr>
                <w:rtl w:val="0"/>
              </w:rPr>
            </w:r>
          </w:p>
        </w:tc>
        <w:tc>
          <w:tcPr>
            <w:tcW w:type="dxa" w:w="136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Medium</w:t>
            </w:r>
            <w:r>
              <w:rPr>
                <w:rtl w:val="0"/>
              </w:rPr>
            </w:r>
          </w:p>
        </w:tc>
        <w:tc>
          <w:tcPr>
            <w:tcW w:type="dxa" w:w="3528"/>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Package and smoke-test selected OS/architecture targets on clean machines. [R4, R5]</w:t>
            </w:r>
            <w:r>
              <w:rPr>
                <w:rtl w:val="0"/>
              </w:rPr>
            </w:r>
          </w:p>
        </w:tc>
      </w:tr>
      <w:tr>
        <w:trPr>
          <w:cantSplit w:val="1"/>
          <w:trHeight w:val="58" w:hRule="atLeast"/>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Security and privacy</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Local-only behavior is feasible. A same-user worker is not a sandbox; strong mutation isolation varies by OS.</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Low until proven</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Keep first release read-only; test handle-based scope checks; review OS sandboxing before claiming containment.</w:t>
            </w:r>
            <w:r>
              <w:rPr>
                <w:rtl w:val="0"/>
              </w:rPr>
            </w:r>
          </w:p>
        </w:tc>
      </w:tr>
      <w:tr>
        <w:trPr>
          <w:cantSplit w:val="1"/>
          <w:trHeight w:val="58" w:hRule="atLeast"/>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Persistence and recovery</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SQLite fits one-user local state; WAL is single-writer and unsuitable for network filesystems.</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Medium-high</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Keep DB in local app data; test crash reconciliation, migrations, backup/restore, disk-full, and concurrent reads. [R6]</w:t>
            </w:r>
            <w:r>
              <w:rPr>
                <w:rtl w:val="0"/>
              </w:rPr>
            </w:r>
          </w:p>
        </w:tc>
      </w:tr>
      <w:tr>
        <w:trPr>
          <w:cantSplit w:val="1"/>
          <w:trHeight w:val="58" w:hRule="atLeast"/>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Performance and footprint</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The model-asset cap is plausible; whole-app size, peak RAM, scan time, and p95 latency are unknown.</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Low</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Set separate budgets and benchmark cold start, warm inference, scans, indexing, and packaged size.</w:t>
            </w:r>
            <w:r>
              <w:rPr>
                <w:rtl w:val="0"/>
              </w:rPr>
            </w:r>
          </w:p>
        </w:tc>
      </w:tr>
      <w:tr>
        <w:trPr>
          <w:cantSplit w:val="1"/>
          <w:trHeight w:val="58" w:hRule="atLeast"/>
          <w:tblHeader w:val="0"/>
        </w:trPr>
        <w:tc>
          <w:tcPr>
            <w:tcW w:type="dxa" w:w="1584"/>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Delivery and operating model</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 staged roadmap is coherent, but staffing, schedule, owners, supported OS versions, and licensing sign-off are unknown.</w:t>
            </w:r>
            <w:r>
              <w:rPr>
                <w:rtl w:val="0"/>
              </w:rPr>
            </w:r>
          </w:p>
        </w:tc>
        <w:tc>
          <w:tcPr>
            <w:tcW w:type="dxa" w:w="136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Low / unknown</w:t>
            </w:r>
            <w:r>
              <w:rPr>
                <w:rtl w:val="0"/>
              </w:rPr>
            </w:r>
          </w:p>
        </w:tc>
        <w:tc>
          <w:tcPr>
            <w:tcW w:type="dxa" w:w="3528"/>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Assign owners and approve the support matrix, threat review, licensing inventory, and release criteria.</w:t>
            </w:r>
            <w:r>
              <w:rPr>
                <w:rtl w:val="0"/>
              </w:rPr>
            </w:r>
          </w:p>
        </w:tc>
      </w:tr>
    </w:tbl>
    <w:p>
      <w:pPr>
        <w:pStyle w:val="Heading2"/>
      </w:pPr>
      <w:r>
        <w:t>10.1 Feasibility decision and critical path</w:t>
      </w:r>
    </w:p>
    <w:p>
      <w:pPr/>
      <w:r>
        <w:t>Proceed with M1 and M2 in Section 13: independently reproduce the reported baseline and real ONNX inference, then deliver a typed read-only vertical slice. Do not enable multi-step writes until the project proves plan-bound consent, race-resistant path scope, journal recovery, parser limits, and per-OS package behavior. The 200 MiB target applies only to model assets until a product owner confirms otherwise; application installer size is a separate budget.</w:t>
      </w:r>
    </w:p>
    <w:p>
      <w:pPr/>
      <w:r>
        <w:t>The current artifact page lists the quantized file at 23 MB and SHA-256 afdb6f1a0e45b715d0bb9b11772f032c399babd23bfc31fed1c170afc848bdb1. The linked main branch is mutable; this is a current reference, not a release pin. Direct Python runtime compatibility and the full bundle size still require verification. [R1]</w:t>
      </w:r>
    </w:p>
    <w:p>
      <w:pPr>
        <w:pStyle w:val="Heading1"/>
      </w:pPr>
      <w:r>
        <w:t>11. Alternatives Considered</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Keyword/rule router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Small, deterministic, easy to debug, no model bootstrap.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May miss varied phrasing. Keep a rules baseline and compare it against embeddings; prefer rules if evaluation shows equal quality.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General LLM planner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 interpret broader requests and invent multi-step plans.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Larger footprint, harder offline provisioning, non-deterministic plans, and a larger prompt-injection surface. Out of v1 scope.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ONNX encoder + fixed templates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Compact ranking model, local inference, typed and reviewable execution.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Selected conditionally; still needs dataset-based calibration and explicit abstention because similarity is not confidence.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Remote database / hosted agent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Centralized updates, multi-user operations, and managed observability.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Conflicts with the local-first privacy boundary and adds network, authentication, and operational infrastructure not required for a single-user v1.</w:t>
            </w:r>
            <w:r>
              <w:rPr>
                <w:rtl w:val="0"/>
              </w:rPr>
            </w:r>
          </w:p>
        </w:tc>
      </w:tr>
    </w:tbl>
    <w:p>
      <w:pPr/>
      <w:r>
        <w:t>Process model alternative: run everything in-process for the initial read-only slice, which reduces packaging and protocol complexity. Add a worker only for fault isolation or after the platform-specific OS sandbox is demonstrated; process separation by itself does not create a security boundary.</w:t>
      </w:r>
    </w:p>
    <w:p>
      <w:pPr>
        <w:pStyle w:val="Heading1"/>
      </w:pPr>
      <w:r>
        <w:t>12. Open Questions</w:t>
      </w:r>
    </w:p>
    <w:p>
      <w:pPr/>
      <w:r>
        <w:t>Which exact Windows, macOS, and Linux versions and CPU architectures are in the launch support matrix? Who owns signing, packaging, and support for each target?</w:t>
      </w:r>
    </w:p>
    <w:p>
      <w:pPr/>
      <w:r>
        <w:t>Does the 200 MiB limit include tokenizer/configuration and all model manifests, and what separate installer-size, RAM, cold-start, and scan-time budgets should apply?</w:t>
      </w:r>
    </w:p>
    <w:p>
      <w:pPr/>
      <w:r>
        <w:t>What languages and representative intent utterances must be supported? Who owns the labeled evaluation set and approves false-accept and abstention thresholds?</w:t>
      </w:r>
    </w:p>
    <w:p>
      <w:pPr/>
      <w:r>
        <w:t>Should v1 remain fully read-only, or may it generate a new report file? The recommendation is read-only until approval binding and recovery gates pass.</w:t>
      </w:r>
    </w:p>
    <w:p>
      <w:pPr/>
      <w:r>
        <w:t>What retention, deletion, encryption-at-rest, and indexing defaults apply to extracted text, embeddings, prompts, and audit events?</w:t>
      </w:r>
    </w:p>
    <w:p>
      <w:pPr/>
      <w:r>
        <w:t>Which document formats and maximum file sizes are in scope, and can supported OS sandbox facilities contain the selected parsers?</w:t>
      </w:r>
    </w:p>
    <w:p>
      <w:pPr>
        <w:pStyle w:val="Heading1"/>
      </w:pPr>
      <w:r>
        <w:t>13. Decision and Next Steps</w:t>
      </w:r>
    </w:p>
    <w:p>
      <w:pPr/>
      <w:r>
        <w:t>Recommended decision: approve a conditional feasibility prototype, not a write-enabled production release. Preserve CLI compatibility while separating the classifier, deterministic planner, policy engine, tool registry, scheduler, state store, and OS adapters. Keep all new workflow capabilities behind feature gates until their evidence gates are met.</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 — Baseline proof</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Re-open the Phase 2 source; pin the model revision and hashes; implement real model load and offline smoke.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 reported baseline intents reproduced; model bundle size recorded; clean air-gapped inference works; evaluation set drafted.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 — Read-only core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request/plan/task schemas, validator, registry, workspace guard, bounded scheduler, local journal.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Unsupported inputs reject; no file access outside selected roots in adversarial tests; cancellation and audit state are deterministic.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 — Desktop and packages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PySide6 plan preview, progress, history, model manager, and per-OS builds.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Clean-machine install, offline run, rollback, and OS support matrix pass for each published target.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 — Document knowledge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Opt-in extraction/indexing, provenance, exclusions, retention, parser resource budgets.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Adversarial files are bounded; every result cites source path/page or span; inspect/delete/export works.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M5 — Narrow writes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Only after separate security review: approved report output with plan-bound consent, temp-file flow, verification, and recovery.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Consent mismatch cannot execute; injected crashes reconcile; no unapproved path or overwrite in test matrix.</w:t>
            </w:r>
            <w:r>
              <w:rPr>
                <w:rtl w:val="0"/>
              </w:rPr>
            </w:r>
          </w:p>
        </w:tc>
      </w:tr>
    </w:tbl>
    <w:p>
      <w:pPr/>
      <w:r>
        <w:t>Do not attach calendar dates or effort estimates until owners and target platforms are assigned. Keep voice, plugins, arbitrary shell, destructive operations, cloud sync, and unrestricted generative planning out of the critical path.</w:t>
      </w:r>
    </w:p>
    <w:p>
      <w:pPr>
        <w:pStyle w:val="Heading1"/>
      </w:pPr>
      <w:r>
        <w:t>Appendix A — Initial Intent and Tool Registry</w:t>
      </w:r>
    </w:p>
    <w:p>
      <w:pPr/>
      <w:r>
        <w:t>The first two rows reflect capabilities reported in the supplied design document. All remaining rows are proposed and must not be presented as implemented.</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Intent / tool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Stage and effect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Input / output contract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Release rule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find_pdf / file.search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Reported Phase 2; read-only.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 + recursion -&gt; matching paths.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P0; real ONNX and scope gates.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list_files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Reported Phase 2; read-only.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Root + pattern + cap -&gt; names.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P0; retain dry-run semantics.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document.extract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Proposed P1; read-only.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Files + profile -&gt; bounded text and source refs.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Disabled until parser/privacy gates.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report.generate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Proposed P2; writes one new output.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Rows + explicit path + format + collision rule.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Disabled until approval/recovery gates.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file.group / move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Proposed, higher-risk write.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Explicit source/destination map + collision rule.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Deferred; no inferred or bulk moves.</w:t>
            </w:r>
            <w:r>
              <w:rPr>
                <w:rtl w:val="0"/>
              </w:rPr>
            </w:r>
          </w:p>
        </w:tc>
      </w:tr>
    </w:tbl>
    <w:p>
      <w:pPr/>
      <w:r>
        <w:t>Each tool manifest pins its ID/version, schemas, permission, resource limits, retry policy, and postcondition. Plugins remain disabled by default.</w:t>
      </w:r>
    </w:p>
    <w:p>
      <w:r>
        <w:br w:type="page"/>
      </w:r>
    </w:p>
    <w:p>
      <w:pPr>
        <w:pStyle w:val="Heading1"/>
      </w:pPr>
      <w:r>
        <w:t>Appendix B — Example Workflow and Plan</w:t>
      </w:r>
    </w:p>
    <w:p>
      <w:pPr/>
      <w:r>
        <w:t>Example request: “Find PDF invoices, extract their dates and totals, group by month, and create a CSV.” This is a proposed workflow, not a Phase 2 capability.</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Node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Tool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Depends 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Effect and postcondition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file.search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all returned paths remain inside selected root.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document.extract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 bounded metadata includes source file and page/span.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data.group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Pure; stable month buckets with deterministic ordering.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report.generate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Write; explicit destination, temp file, collision policy, output checksum.</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report.verify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Read; verify header, row count, source references, and checksum.</w:t>
            </w:r>
            <w:r>
              <w:rPr>
                <w:rtl w:val="0"/>
              </w:rPr>
            </w:r>
          </w:p>
        </w:tc>
      </w:tr>
    </w:tbl>
    <w:p>
      <w:pPr/>
      <w:r>
        <w:t>For the first release, stop at A and list the available workflow as preview-only. Do not offer a button that silently continues into B through E until parser and write gates pass.</w:t>
      </w:r>
    </w:p>
    <w:p>
      <w:pPr>
        <w:pStyle w:val="Heading2"/>
      </w:pPr>
      <w:r>
        <w:t>B.1 Example canonical plan</w:t>
      </w:r>
    </w:p>
    <w:p>
      <w:pPr>
        <w:spacing w:before="60" w:after="120" w:line="240" w:lineRule="auto"/>
        <w:ind w:left="259"/>
      </w:pPr>
      <w:r>
        <w:rPr>
          <w:rFonts w:ascii="Menlo" w:hAnsi="Menlo" w:eastAsia="Menlo"/>
          <w:color w:val="082A4A"/>
          <w:sz w:val="17"/>
        </w:rPr>
        <w:t>{</w:t>
        <w:br/>
        <w:t xml:space="preserve">  "schema_version": 1,</w:t>
        <w:br/>
        <w:t xml:space="preserve">  "request_id": "req-opaque",</w:t>
        <w:br/>
        <w:t xml:space="preserve">  "workspace_ref": "workspace-opaque",</w:t>
        <w:br/>
        <w:t xml:space="preserve">  "model_revision": "pinned-commit",</w:t>
        <w:br/>
        <w:t xml:space="preserve">  "policy_version": 1,</w:t>
        <w:br/>
        <w:t xml:space="preserve">  "tasks": [</w:t>
        <w:br/>
        <w:t xml:space="preserve">    {"id":"scan","tool":"file.search","tool_version":"1.0",</w:t>
        <w:br/>
        <w:t xml:space="preserve">     "depends_on":[],"effect":"read","args":{"extension":".pdf"}},</w:t>
        <w:br/>
        <w:t xml:space="preserve">    {"id":"report","tool":"report.generate","tool_version":"1.0",</w:t>
        <w:br/>
        <w:t xml:space="preserve">     "depends_on":["scan"],"effect":"write","args":{"format":"csv",</w:t>
        <w:br/>
        <w:t xml:space="preserve">     "destination":"reports/invoices.csv"}}</w:t>
        <w:br/>
        <w:t xml:space="preserve">  ],</w:t>
        <w:br/>
        <w:t xml:space="preserve">  "approval": {"plan_digest":"sha256:…","expires_at":"…"}</w:t>
        <w:br/>
        <w:t>}</w:t>
      </w:r>
    </w:p>
    <w:p>
      <w:pPr/>
      <w:r>
        <w:t>Canonicalization must define field ordering, Unicode normalization, path representation, omitted/default values, and numeric formatting before hashing. The approval digest must cover those values plus tool versions, exact affected paths, and declared effects.</w:t>
      </w:r>
    </w:p>
    <w:p>
      <w:pPr>
        <w:pStyle w:val="Heading1"/>
      </w:pPr>
      <w:r>
        <w:t>Appendix C — Data Model, Evidence, and References</w:t>
      </w:r>
    </w:p>
    <w:p>
      <w:pPr>
        <w:pStyle w:val="Heading2"/>
      </w:pPr>
      <w:r>
        <w:t>C.1 Suggested local entities</w:t>
      </w:r>
    </w:p>
    <w:p>
      <w:pPr>
        <w:ind w:left="317" w:hanging="216"/>
      </w:pPr>
      <w:r>
        <w:t>•  sessions and requests: IDs, timestamps, prompt retention policy, selected workspace reference, intent result, status, and idempotency key.</w:t>
      </w:r>
    </w:p>
    <w:p>
      <w:pPr>
        <w:ind w:left="317" w:hanging="216"/>
      </w:pPr>
      <w:r>
        <w:t>•  plans, tasks, and task_dependencies: immutable plan versions and digests, typed arguments, tool/schema versions, side-effect class, dependencies, and state.</w:t>
      </w:r>
    </w:p>
    <w:p>
      <w:pPr>
        <w:ind w:left="317" w:hanging="216"/>
      </w:pPr>
      <w:r>
        <w:t>•  executions, operation_journal, approvals, and audit_events: attempt IDs, before/after evidence, exact consent scope, expiry, transition ordering, and correlation IDs.</w:t>
      </w:r>
    </w:p>
    <w:p>
      <w:pPr>
        <w:ind w:left="317" w:hanging="216"/>
      </w:pPr>
      <w:r>
        <w:t>•  documents, chunks, embeddings, model_versions, and memories: canonical source reference, content hash, parser/model revision, retention scope, and deletion lineage.</w:t>
      </w:r>
    </w:p>
    <w:p>
      <w:pPr>
        <w:pStyle w:val="Heading2"/>
      </w:pPr>
      <w:r>
        <w:t>C.1.1 Keys and constraints</w:t>
      </w:r>
    </w:p>
    <w:p>
      <w:pPr/>
      <w:r>
        <w:t>Core constraints: plans are unique by request and version; tasks reference a plan and have a state index; task_dependencies use a composite key; executions are unique by task and attempt; approvals are indexed by expiry; journal rows are indexed by execution; audit events use an append-only sequence; documents are unique by canonical path; chunks are unique by document and ordinal; embeddings are keyed by chunk and model revision; model revisions are unique. Cycle detection stays in the plan validator.</w:t>
      </w:r>
    </w:p>
    <w:p>
      <w:pPr/>
      <w:r>
        <w:t>For indexed documents, retain canonical source reference, size, modification time, content hash, parser revision, chunk ordinal, and page/span provenance. Key embeddings by chunk and model revision; key memories by scope and expiry. Use lexical or exact-vector retrieval only within measured volume and latency budgets.</w:t>
      </w:r>
    </w:p>
    <w:p>
      <w:pPr/>
      <w:r>
        <w:t>Keep user content, runtime model data, and the database in separate per-user directories. Migrations must be versioned, transactional where possible, backed up before schema changes, and tested with restore. Audit events are append-only at the application layer; the filesystem and database still require periodic integrity checks.</w:t>
      </w:r>
    </w:p>
    <w:p>
      <w:pPr>
        <w:pStyle w:val="Heading2"/>
      </w:pPr>
      <w:r>
        <w:t>C.2 Evidence and verification note</w:t>
      </w:r>
    </w:p>
    <w:p>
      <w:pPr/>
      <w:r>
        <w:t>Source baseline: the supplied design document says a Phase 2 ZIP was reviewed and names README.md, main.py, semantic.py, requirements.txt, and tests/test_semantic.py. That ZIP was not present alongside the document in the current workspace, so this revision does not claim an independent code audit. Re-open and verify those files before using the baseline as an implementation commitment.</w:t>
      </w:r>
    </w:p>
    <w:p>
      <w:pPr/>
      <w:r>
        <w:t>External feasibility references below are primary vendor or project documentation reviewed on October 18, 2026. They establish current capabilities or artifact metadata, not LocalMind integration correctness. Pin all mutable software and model references in release manifests.</w:t>
      </w:r>
    </w:p>
    <w:p>
      <w:pPr/>
      <w:r>
        <w:t xml:space="preserve">R1. Xenova/all-MiniLM-L6-v2 quantized ONNX artifact. The current file page reports 23 MB and SHA-256 afdb6f1a0e45b715d0bb9b11772f032c399babd23bfc31fed1c170afc848bdb1; main is mutable, so verify an immutable revision before release. </w:t>
      </w:r>
      <w:hyperlink r:id="rId7">
        <w:r>
          <w:rPr>
            <w:color w:val="376A99"/>
            <w:u w:val="single"/>
          </w:rPr>
          <w:t>Open model artifact record</w:t>
        </w:r>
      </w:hyperlink>
    </w:p>
    <w:p>
      <w:pPr/>
      <w:r>
        <w:t xml:space="preserve">R2. Sentence Transformers all-MiniLM-L6-v2 model card. Describes 384-dimensional embeddings, attention-mask-aware mean pooling, and model licensing. </w:t>
      </w:r>
      <w:hyperlink r:id="rId14">
        <w:r>
          <w:rPr>
            <w:color w:val="376A99"/>
            <w:u w:val="single"/>
          </w:rPr>
          <w:t>Open model card</w:t>
        </w:r>
      </w:hyperlink>
    </w:p>
    <w:p>
      <w:pPr/>
      <w:r>
        <w:t xml:space="preserve">R3. ONNX Runtime installation guide. Documents the Python CPU package and official inference package options. </w:t>
      </w:r>
      <w:hyperlink r:id="rId15">
        <w:r>
          <w:rPr>
            <w:color w:val="376A99"/>
            <w:u w:val="single"/>
          </w:rPr>
          <w:t>Open ONNX Runtime install docs</w:t>
        </w:r>
      </w:hyperlink>
    </w:p>
    <w:p>
      <w:pPr/>
      <w:r>
        <w:t xml:space="preserve">R4. Qt for Python supported platforms. Platform and architecture details vary by release. </w:t>
      </w:r>
      <w:hyperlink r:id="rId16">
        <w:r>
          <w:rPr>
            <w:color w:val="376A99"/>
            <w:u w:val="single"/>
          </w:rPr>
          <w:t>Open Qt platform matrix</w:t>
        </w:r>
      </w:hyperlink>
    </w:p>
    <w:p>
      <w:pPr/>
      <w:r>
        <w:t xml:space="preserve">R5. Qt for Python deployment guide. Documents pyside6-deploy and desktop packaging approaches. </w:t>
      </w:r>
      <w:hyperlink r:id="rId17">
        <w:r>
          <w:rPr>
            <w:color w:val="376A99"/>
            <w:u w:val="single"/>
          </w:rPr>
          <w:t>Open Qt deployment docs</w:t>
        </w:r>
      </w:hyperlink>
    </w:p>
    <w:p>
      <w:pPr/>
      <w:r>
        <w:t xml:space="preserve">R6. SQLite Write-Ahead Logging. WAL requires same-host processes, does not work on network filesystems, and allows one writer at a time. </w:t>
      </w:r>
      <w:hyperlink r:id="rId18">
        <w:r>
          <w:rPr>
            <w:color w:val="376A99"/>
            <w:u w:val="single"/>
          </w:rPr>
          <w:t>Open SQLite WAL docs</w:t>
        </w:r>
      </w:hyperlink>
    </w:p>
    <w:p>
      <w:pPr/>
      <w:r>
        <w:t xml:space="preserve">R7. Qt for Python QStandardPaths. Defines platform-aware application data, cache, and configuration locations. </w:t>
      </w:r>
      <w:hyperlink r:id="rId19">
        <w:r>
          <w:rPr>
            <w:color w:val="376A99"/>
            <w:u w:val="single"/>
          </w:rPr>
          <w:t>Open Qt standard paths docs</w:t>
        </w:r>
      </w:hyperlink>
    </w:p>
    <w:p>
      <w:r>
        <w:br w:type="page"/>
      </w:r>
    </w:p>
    <w:p>
      <w:pPr>
        <w:pStyle w:val="Heading1"/>
      </w:pPr>
      <w:r>
        <w:t>Appendix D — Verification Plan and Release Gates</w:t>
      </w:r>
    </w:p>
    <w:p>
      <w:pPr/>
      <w:r>
        <w:t>Run deterministic tests on every change, real-model integration and security fixtures on every release candidate, and the full OS packaging matrix before promotion. Keep benchmark datasets local and versioned; do not collect user file content or prompts as telemetry.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Layer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Classifier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Real pinned ONNX model; tokenizer compatibility; offline load; paraphrases; negation; ambiguity; unsupported requests.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Report per-intent precision/recall, false accepts, abstention, and platform performance.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Planner and schemas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Malformed args, unknown tools, cycles, missing edges, oversized fan-out, stale schema.</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invalid plan reaches the scheduler.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Filesystem security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Traversal, symlink/junction swaps, UNC/network paths, hard links, permissions, external mounts.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out-of-scope access in supported OS fixtures; failures are explicit.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 parsers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Corrupt files, decompression bombs, huge page counts, embedded objects, external references, timeouts.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Resource caps enforced; parser cannot initiate network or execute embedded content.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Kill during temp write/rename, disk full, locked output, cancellation, restart mid-task.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t>Verified complete or unchanged; otherwise flag for reconciliation. Never retry blindly.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Migration, foreign-key checks, WAL checkpoint, backup and restore, deletion/retention.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orphaned records or silently lost user data; DB remains on local storage.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Performance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Cold/warm model load, p50/p95 inference, large directory scan, memory, index query, UI responsiveness.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Meet approved budgets on named reference hardware; record raw benchmark artifacts.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Packaging and privacy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Fresh install on every supported target, no-network mode, update/rollback, dependency inventory.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Signed build, SBOM, offline smoke, model hash/size checks, and explicit diagnostics export.</w:t>
            </w:r>
            <w:r>
              <w:rPr>
                <w:rtl w:val="0"/>
              </w:rPr>
            </w:r>
          </w:p>
        </w:tc>
      </w:tr>
    </w:tbl>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LocalMind | System Design Review</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huggingface.co/Xenova/all-MiniLM-L6-v2/blob/main/onnx/model_quantized.onnx" TargetMode="External"/><Relationship Id="rId14" Type="http://schemas.openxmlformats.org/officeDocument/2006/relationships/hyperlink" Target="https://huggingface.co/sentence-transformers/all-MiniLM-L6-v2" TargetMode="External"/><Relationship Id="rId15" Type="http://schemas.openxmlformats.org/officeDocument/2006/relationships/hyperlink" Target="https://onnxruntime.ai/docs/install/" TargetMode="External"/><Relationship Id="rId16" Type="http://schemas.openxmlformats.org/officeDocument/2006/relationships/hyperlink" Target="https://doc.qt.io/qtforpython-6/overviews/qtdoc-supported-platforms.html" TargetMode="External"/><Relationship Id="rId17" Type="http://schemas.openxmlformats.org/officeDocument/2006/relationships/hyperlink" Target="https://doc.qt.io/qtforpython-6/deployment/index.html" TargetMode="External"/><Relationship Id="rId18" Type="http://schemas.openxmlformats.org/officeDocument/2006/relationships/hyperlink" Target="https://sqlite.org/wal.html" TargetMode="External"/><Relationship Id="rId19" Type="http://schemas.openxmlformats.org/officeDocument/2006/relationships/hyperlink" Target="https://doc.qt.io/qtforpython-6/PySide6/QtCore/QStandardPath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LocalMind Detailed System Design and Feasibility Review</dc:title>
  <cp:lastModifiedBy>python-docx</cp:lastModifiedBy>
  <cp:revision>1</cp:revision>
  <dcterms:modified xsi:type="dcterms:W3CDTF">2026-10-18T12:00:00Z</dcterms:modified>
  <dc:subject>System architecture, feasibility, security, and delivery gates</dc:subject>
  <dc:creator>LocalMind project team</dc:creator>
  <cp:keywords>LocalMind, system design, feasibility, offline desktop agent</cp:keywords>
  <dc:description>Revised from the supplied design document using the retained System Design reference.</dc:description>
</cp:coreProperties>
</file>