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Glide: Predictive Income Smoothing for Gig Economy Workers Using Machine Learning</w:t>
      </w:r>
    </w:p>
    <w:p>
      <w:pPr>
        <w:spacing w:after="40"/>
        <w:jc w:val="center"/>
      </w:pPr>
      <w:r>
        <w:rPr>
          <w:rFonts w:ascii="Times New Roman" w:cs="Times New Roman" w:eastAsia="Times New Roman" w:hAnsi="Times New Roman"/>
          <w:sz w:val="22"/>
          <w:szCs w:val="22"/>
        </w:rPr>
        <w:t xml:space="preserve">Nayana S</w:t>
      </w:r>
    </w:p>
    <w:p>
      <w:pPr>
        <w:spacing w:after="40"/>
        <w:jc w:val="center"/>
      </w:pPr>
      <w:r>
        <w:rPr>
          <w:rFonts w:ascii="Times New Roman" w:cs="Times New Roman" w:eastAsia="Times New Roman" w:hAnsi="Times New Roman"/>
          <w:i/>
          <w:iCs/>
          <w:sz w:val="20"/>
          <w:szCs w:val="20"/>
        </w:rPr>
        <w:t xml:space="preserve">Department of Computer Science and Engineering, [Your College Name]</w:t>
      </w:r>
    </w:p>
    <w:p>
      <w:pPr>
        <w:spacing w:after="240"/>
        <w:jc w:val="center"/>
      </w:pPr>
      <w:r>
        <w:rPr>
          <w:rFonts w:ascii="Times New Roman" w:cs="Times New Roman" w:eastAsia="Times New Roman" w:hAnsi="Times New Roman"/>
          <w:i/>
          <w:iCs/>
          <w:sz w:val="20"/>
          <w:szCs w:val="20"/>
        </w:rPr>
        <w:t xml:space="preserve">nayanas3333@gmail.com</w:t>
      </w:r>
    </w:p>
    <w:p>
      <w:pPr>
        <w:spacing w:after="80" w:before="200"/>
      </w:pPr>
      <w:r>
        <w:rPr>
          <w:rFonts w:ascii="Times New Roman" w:cs="Times New Roman" w:eastAsia="Times New Roman" w:hAnsi="Times New Roman"/>
          <w:b/>
          <w:bCs/>
          <w:i/>
          <w:iCs/>
          <w:sz w:val="19"/>
          <w:szCs w:val="19"/>
        </w:rPr>
        <w:t xml:space="preserve">Abstract</w:t>
      </w:r>
    </w:p>
    <w:p>
      <w:pPr>
        <w:spacing w:after="120" w:line="264"/>
        <w:jc w:val="both"/>
      </w:pPr>
      <w:r>
        <w:rPr>
          <w:rFonts w:ascii="Times New Roman" w:cs="Times New Roman" w:eastAsia="Times New Roman" w:hAnsi="Times New Roman"/>
          <w:sz w:val="19"/>
          <w:szCs w:val="19"/>
        </w:rPr>
        <w:t xml:space="preserve">Gig economy workers in India face significant week-to-week income volatility without the safety net of a fixed salary, leaving a majority unable to absorb lean earning periods. Existing computational work in this domain either predicts wage levels from static worker attributes in a cross-sectional setting, or forecasts cash flow for corporate entities over time — neither anticipates when an individual gig worker's income will decline. This paper presents Glide, a system that models individual gig-worker income as a seasonal weekly time series, forecasts earnings using Prophet and ARIMA (with per-series hyperparameter search), classifies the forecast into a dip-severity alert, and converts that forecast into an actionable micro-savings recommendation through a rule-based buffer allocation engine. Model interpretability is provided via SHAP so that a worker can see which factors drove a given prediction. On a synthetic dataset of 200 workers over 156 weeks, calibrated to published Indian gig-economy income-volatility statistics, ARIMA and Prophet both clearly outperform naive and moving-average baselines, and the buffer engine reduces the number of weeks a worker's income falls below their essential-expense floor by 34.5% relative to no intervention. The complete system is implemented end-to-end as a FastAPI backend and a React/TypeScript frontend, with automated tests and continuous integration.</w:t>
      </w:r>
    </w:p>
    <w:p>
      <w:pPr>
        <w:spacing w:after="80" w:before="200"/>
      </w:pPr>
      <w:r>
        <w:rPr>
          <w:rFonts w:ascii="Times New Roman" w:cs="Times New Roman" w:eastAsia="Times New Roman" w:hAnsi="Times New Roman"/>
          <w:b/>
          <w:bCs/>
          <w:i/>
          <w:iCs/>
          <w:sz w:val="19"/>
          <w:szCs w:val="19"/>
        </w:rPr>
        <w:t xml:space="preserve">Keywords</w:t>
      </w:r>
    </w:p>
    <w:p>
      <w:pPr>
        <w:spacing w:after="120" w:line="264"/>
        <w:jc w:val="both"/>
      </w:pPr>
      <w:r>
        <w:rPr>
          <w:rFonts w:ascii="Times New Roman" w:cs="Times New Roman" w:eastAsia="Times New Roman" w:hAnsi="Times New Roman"/>
          <w:sz w:val="19"/>
          <w:szCs w:val="19"/>
        </w:rPr>
        <w:t xml:space="preserve">Gig economy, income volatility, time series forecasting, Prophet, ARIMA, financial inclusion, micro-savings, explainable AI, SHAP</w:t>
      </w:r>
    </w:p>
    <w:p>
      <w:pPr>
        <w:sectPr>
          <w:pgSz w:w="11906" w:h="16838" w:orient="portrait"/>
          <w:pgMar w:top="1440" w:right="1440" w:bottom="1440" w:left="1440" w:header="708" w:footer="708" w:gutter="0"/>
          <w:pgNumType/>
          <w:docGrid w:linePitch="360"/>
        </w:sectPr>
      </w:pPr>
    </w:p>
    <w:p>
      <w:pPr>
        <w:spacing w:after="120" w:before="240"/>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19"/>
          <w:szCs w:val="19"/>
        </w:rPr>
        <w:t xml:space="preserve">The gig economy — ride-hailing, food and grocery delivery, and platform-mediated freelance work — has become a significant source of employment in India, with government estimates placing the gig workforce in the tens of millions and projecting continued growth through the decade. Unlike salaried employment, gig work carries no fixed pay, no employer-provided savings mechanism, and no formal safety net. Earnings vary week to week with demand, weather, platform incentive structures, and worker-controllable factors such as hours worked, and this volatility is not a minor inconvenience: it is the central financial risk gig workers face.</w:t>
      </w:r>
    </w:p>
    <w:p>
      <w:pPr>
        <w:spacing w:after="120" w:line="264"/>
        <w:jc w:val="both"/>
      </w:pPr>
      <w:r>
        <w:rPr>
          <w:rFonts w:ascii="Times New Roman" w:cs="Times New Roman" w:eastAsia="Times New Roman" w:hAnsi="Times New Roman"/>
          <w:sz w:val="19"/>
          <w:szCs w:val="19"/>
        </w:rPr>
        <w:t xml:space="preserve">Prior large-scale empirical work on this problem is instructive. Farrell and Greig's JPMorgan Chase Institute study of transaction-level data found that monthly income for platform-economy workers can vary by as much as 30% month to month, an order of magnitude larger than the volatility typical salaried workers experience. Peetz and Robson's survey-based study of gig and paycheque-to-paycheque workers found that the psychological and financial harm of income volatility is mediated by a worker's sense of control over that volatility — workers who feel they can anticipate and plan around fluctuations fare closer to workers with stable income, while those who experience volatility as unpredictable fare markedly worse. This is the central motivating insight behind the system presented here: if a worker can be told, in advance, that a lean week is likely, and given a concrete mechanism to prepare for it, some of the harm of volatility is a problem of missing information and missing tooling, not an unavoidable feature of gig work.</w:t>
      </w:r>
    </w:p>
    <w:p>
      <w:pPr>
        <w:spacing w:after="120" w:line="264"/>
        <w:jc w:val="both"/>
      </w:pPr>
      <w:r>
        <w:rPr>
          <w:rFonts w:ascii="Times New Roman" w:cs="Times New Roman" w:eastAsia="Times New Roman" w:hAnsi="Times New Roman"/>
          <w:sz w:val="19"/>
          <w:szCs w:val="19"/>
        </w:rPr>
        <w:t xml:space="preserve">Existing computational approaches to gig-worker finance address adjacent but different problems. Wage-prediction models estimate what a worker earns per hour or per trip from static attributes — useful for platform design or policy analysis, but silent on when a given worker's income will fall. Cash-flow forecasting models, developed primarily for corporate treasury management, forecast aggregate cash flow over time but are not built for the highly volatile, low-magnitude, individual-level series that characterise a single gig worker's weekly earnings, nor do they couple the forecast to a downstream financial action. No prior system, to the best of our knowledge, forecasts an individual gig worker's income forward in time and automatically converts that forecast into a savings recommendation.</w:t>
      </w:r>
    </w:p>
    <w:p>
      <w:pPr>
        <w:spacing w:after="120" w:line="264"/>
        <w:jc w:val="both"/>
      </w:pPr>
      <w:r>
        <w:rPr>
          <w:rFonts w:ascii="Times New Roman" w:cs="Times New Roman" w:eastAsia="Times New Roman" w:hAnsi="Times New Roman"/>
          <w:sz w:val="19"/>
          <w:szCs w:val="19"/>
        </w:rPr>
        <w:t xml:space="preserve">This paper presents Glide, a system built around three coupled stages: (1) Forecast — model a worker's weekly net earnings as a seasonal time series and forecast several weeks ahead; (2) Detect — classify each forecasted week against the worker's own recent average into a GREEN/AMBER/RED dip-severity alert; and (3) Act — a rule-based buffer engine that automatically sets aside part of a surplus week and releases savings during a deficit week, so that the income a worker experiences after the buffer is smoother than their raw income. The remainder of this paper is organised as follows. Section II reviews related work. Section III describes the dataset, forecasting models, dip-detection criterion, buffer algorithm, and evaluation methodology. Section IV reports results, including an honest account of what hyperparameter tuning did and did not improve. Section V concludes, and Section VI outlines future work.</w:t>
      </w:r>
    </w:p>
    <w:p>
      <w:pPr>
        <w:spacing w:after="120" w:before="240"/>
      </w:pPr>
      <w:r>
        <w:rPr>
          <w:rFonts w:ascii="Times New Roman" w:cs="Times New Roman" w:eastAsia="Times New Roman" w:hAnsi="Times New Roman"/>
          <w:b/>
          <w:bCs/>
          <w:sz w:val="20"/>
          <w:szCs w:val="20"/>
        </w:rPr>
        <w:t xml:space="preserve">II. Literature Review</w:t>
      </w:r>
    </w:p>
    <w:p>
      <w:pPr>
        <w:spacing w:after="120" w:line="264"/>
        <w:jc w:val="both"/>
      </w:pPr>
      <w:r>
        <w:rPr>
          <w:rFonts w:ascii="Times New Roman" w:cs="Times New Roman" w:eastAsia="Times New Roman" w:hAnsi="Times New Roman"/>
          <w:sz w:val="19"/>
          <w:szCs w:val="19"/>
        </w:rPr>
        <w:t xml:space="preserve">Farrell and Greig [1] provide the foundational large-scale empirical evidence for gig-income volatility, using de-identified transaction data from the JPMorgan Chase Institute to show that platform-economy earnings vary far more month-to-month than traditional wage income — the statistic most subsequent work, including this paper, cites to justify treating volatility as a first-class problem rather than noise to be averaged away.</w:t>
      </w:r>
    </w:p>
    <w:p>
      <w:pPr>
        <w:spacing w:after="120" w:line="264"/>
        <w:jc w:val="both"/>
      </w:pPr>
      <w:r>
        <w:rPr>
          <w:rFonts w:ascii="Times New Roman" w:cs="Times New Roman" w:eastAsia="Times New Roman" w:hAnsi="Times New Roman"/>
          <w:sz w:val="19"/>
          <w:szCs w:val="19"/>
        </w:rPr>
        <w:t xml:space="preserve">Peetz and Robson [2] extend this with a psychological and financial-decision-making lens, surveying gig and paycheque-to-paycheque workers and finding that perceived control over income shifts — not income level itself — predicts financial well-being. This motivates a system design choice made throughout Glide: every buffer transaction is advisory and worker-confirmed rather than fully automatic, and every dip alert is accompanied by an explanation (Section III-D, III-G), so that the system restores a sense of control rather than merely acting on the worker's behalf.</w:t>
      </w:r>
    </w:p>
    <w:p>
      <w:pPr>
        <w:spacing w:after="120" w:line="264"/>
        <w:jc w:val="both"/>
      </w:pPr>
      <w:r>
        <w:rPr>
          <w:rFonts w:ascii="Times New Roman" w:cs="Times New Roman" w:eastAsia="Times New Roman" w:hAnsi="Times New Roman"/>
          <w:sz w:val="19"/>
          <w:szCs w:val="19"/>
        </w:rPr>
        <w:t xml:space="preserve">Nguyen Ngoc Thanh [3] introduces an Earnings Elasticity Index comparing volatility across ride-hailing, delivery, and freelance sectors, finding that higher earnings elasticity correlates with greater dependence on credit — evidence that platform type is itself a meaningful predictor of financial risk, which informs the inclusion of platform and worker-archetype as features in the explainability model (Section III-F).</w:t>
      </w:r>
    </w:p>
    <w:p>
      <w:pPr>
        <w:spacing w:after="120" w:line="264"/>
        <w:jc w:val="both"/>
      </w:pPr>
      <w:r>
        <w:rPr>
          <w:rFonts w:ascii="Times New Roman" w:cs="Times New Roman" w:eastAsia="Times New Roman" w:hAnsi="Times New Roman"/>
          <w:sz w:val="19"/>
          <w:szCs w:val="19"/>
        </w:rPr>
        <w:t xml:space="preserve">Two papers are closest in technical approach and are treated as base papers. Kandavel et al. [4] predict hourly wage from static worker attributes using a Random Forest regressor (R² = 0.85). This is a cross-sectional model: it estimates what a worker of a given profile typically earns, but cannot forecast when a specific worker's income will fall, because it has no temporal component. Weytjens et al. [5], published in Electronic Commerce Research, forecast cash flow over time using ARIMA, Prophet, and LSTM models — a temporal approach, but applied to corporate cash flow, not individual gig income, and with no downstream financial action coupled to the forecast.</w:t>
      </w:r>
    </w:p>
    <w:p>
      <w:pPr>
        <w:spacing w:after="120" w:line="264"/>
        <w:jc w:val="both"/>
      </w:pPr>
      <w:r>
        <w:rPr>
          <w:rFonts w:ascii="Times New Roman" w:cs="Times New Roman" w:eastAsia="Times New Roman" w:hAnsi="Times New Roman"/>
          <w:sz w:val="19"/>
          <w:szCs w:val="19"/>
        </w:rPr>
        <w:t xml:space="preserve">Table I summarises the gap these two base papers leave and this paper's position relative to them. No prior work forecasts an individual worker's income forward in time and converts that forecast into an automated savings action; Glide's contribution is precisely that combination.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3200"/>
      </w:tblGrid>
      <w:tr>
        <w:tc>
          <w:tcPr>
            <w:tcW w:type="dxa" w:w="1500"/>
            <w:shd w:fill="D9D9D9" w:val="clear"/>
            <w:tcMar>
              <w:top w:type="dxa" w:w="60"/>
              <w:left w:type="dxa" w:w="80"/>
              <w:bottom w:type="dxa" w:w="60"/>
              <w:right w:type="dxa" w:w="80"/>
            </w:tcMar>
          </w:tcPr>
          <w:p>
            <w:pPr>
              <w:jc w:val="left"/>
            </w:pPr>
            <w:r>
              <w:rPr>
                <w:rFonts w:ascii="Times New Roman" w:cs="Times New Roman" w:eastAsia="Times New Roman" w:hAnsi="Times New Roman"/>
                <w:b/>
                <w:bCs/>
                <w:sz w:val="17"/>
                <w:szCs w:val="17"/>
              </w:rPr>
              <w:t xml:space="preserve">Work</w:t>
            </w:r>
          </w:p>
        </w:tc>
        <w:tc>
          <w:tcPr>
            <w:tcW w:type="dxa" w:w="3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Approach</w:t>
            </w:r>
          </w:p>
        </w:tc>
        <w:tc>
          <w:tcPr>
            <w:tcW w:type="dxa" w:w="3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Temporal?</w:t>
            </w:r>
          </w:p>
        </w:tc>
        <w:tc>
          <w:tcPr>
            <w:tcW w:type="dxa" w:w="32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What it misses</w:t>
            </w:r>
          </w:p>
        </w:tc>
      </w:tr>
      <w:tr>
        <w:tc>
          <w:tcPr>
            <w:tcW w:type="dxa" w:w="15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Kandavel et al. [4]</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Random Forest wage prediction from static attributes (R²=0.85)</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No — cross-sectional</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Cannot forecast when income will fall for a given worker</w:t>
            </w:r>
          </w:p>
        </w:tc>
      </w:tr>
      <w:tr>
        <w:tc>
          <w:tcPr>
            <w:tcW w:type="dxa" w:w="15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Weytjens et al. [5]</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ARIMA/Prophet/LSTM cash-flow forecasting</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Yes</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Corporate cash flow, not individual gig income; no downstream action</w:t>
            </w:r>
          </w:p>
        </w:tc>
      </w:tr>
      <w:tr>
        <w:tc>
          <w:tcPr>
            <w:tcW w:type="dxa" w:w="15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Glide (this work)</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Per-worker forecast + dip detection + automated buffer action</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Yes</w:t>
            </w:r>
          </w:p>
        </w:tc>
        <w:tc>
          <w:tcPr>
            <w:tcW w:type="dxa" w:w="32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w:t>
            </w:r>
          </w:p>
        </w:tc>
      </w:tr>
    </w:tbl>
    <w:p>
      <w:pPr>
        <w:spacing w:after="160" w:before="80"/>
        <w:jc w:val="center"/>
      </w:pPr>
      <w:r>
        <w:rPr>
          <w:rFonts w:ascii="Times New Roman" w:cs="Times New Roman" w:eastAsia="Times New Roman" w:hAnsi="Times New Roman"/>
          <w:b/>
          <w:bCs/>
          <w:sz w:val="17"/>
          <w:szCs w:val="17"/>
        </w:rPr>
        <w:t xml:space="preserve">TABLE I.  Positioning relative to base papers</w:t>
      </w:r>
    </w:p>
    <w:p>
      <w:pPr>
        <w:spacing w:after="120" w:before="240"/>
      </w:pPr>
      <w:r>
        <w:rPr>
          <w:rFonts w:ascii="Times New Roman" w:cs="Times New Roman" w:eastAsia="Times New Roman" w:hAnsi="Times New Roman"/>
          <w:b/>
          <w:bCs/>
          <w:sz w:val="20"/>
          <w:szCs w:val="20"/>
        </w:rPr>
        <w:t xml:space="preserve">III. Proposed Methodology</w:t>
      </w:r>
    </w:p>
    <w:p>
      <w:pPr>
        <w:spacing w:after="80" w:before="160"/>
      </w:pPr>
      <w:r>
        <w:rPr>
          <w:rFonts w:ascii="Times New Roman" w:cs="Times New Roman" w:eastAsia="Times New Roman" w:hAnsi="Times New Roman"/>
          <w:b/>
          <w:bCs/>
          <w:i/>
          <w:iCs/>
          <w:sz w:val="19"/>
          <w:szCs w:val="19"/>
        </w:rPr>
        <w:t xml:space="preserve">A. System Architecture</w:t>
      </w:r>
    </w:p>
    <w:p>
      <w:pPr>
        <w:spacing w:after="120" w:line="264"/>
        <w:jc w:val="both"/>
      </w:pPr>
      <w:r>
        <w:rPr>
          <w:rFonts w:ascii="Times New Roman" w:cs="Times New Roman" w:eastAsia="Times New Roman" w:hAnsi="Times New Roman"/>
          <w:sz w:val="19"/>
          <w:szCs w:val="19"/>
        </w:rPr>
        <w:t xml:space="preserve">Glide is implemented as three layers. A React 19 / TypeScript frontend (Tailwind CSS, shadcn/ui component primitives) provides five screens — dashboard, forecast, buffer, income log, and insights. A FastAPI backend exposes REST endpoints for authentication, earnings, forecast, buffer, alerts, and dashboard aggregation, backed by SQLAlchemy models over SQLite in development (swappable to PostgreSQL via a single environment variable for production). The ML service layer — forecasting models, dip detector, buffer engine, and SHAP explainer — is implemented as plain Python modules imported directly by the backend, so the exact code path exercised in offline evaluation is the one served live, not a re-implementation of it.</w:t>
      </w:r>
    </w:p>
    <w:p>
      <w:pPr>
        <w:spacing w:after="80" w:before="160"/>
      </w:pPr>
      <w:r>
        <w:rPr>
          <w:rFonts w:ascii="Times New Roman" w:cs="Times New Roman" w:eastAsia="Times New Roman" w:hAnsi="Times New Roman"/>
          <w:b/>
          <w:bCs/>
          <w:i/>
          <w:iCs/>
          <w:sz w:val="19"/>
          <w:szCs w:val="19"/>
        </w:rPr>
        <w:t xml:space="preserve">B. Dataset Construction and Calibration</w:t>
      </w:r>
    </w:p>
    <w:p>
      <w:pPr>
        <w:spacing w:after="120" w:line="264"/>
        <w:jc w:val="both"/>
      </w:pPr>
      <w:r>
        <w:rPr>
          <w:rFonts w:ascii="Times New Roman" w:cs="Times New Roman" w:eastAsia="Times New Roman" w:hAnsi="Times New Roman"/>
          <w:sz w:val="19"/>
          <w:szCs w:val="19"/>
        </w:rPr>
        <w:t xml:space="preserve">Real platform earnings data is proprietary and unavailable for academic use, so a synthetic dataset was generated with volatility parameters calibrated to the statistics reported in [1], rather than arbitrary noise. The generator produces 200 synthetic workers across three archetypes — full-time driver (35% share, base weekly income Rs. 8,000–12,000), part-time delivery (40% share, Rs. 4,000–7,000), and multi-platform (25% share, Rs. 7,000–11,000) — over 156 weeks (three years) each, yielding 31,200 worker-week records. Each week's income combines a day-of-week seasonality component (weekend uplift, Monday/Tuesday dip), a monsoon suppression factor (June–September, ×0.85) and a festival surge factor (October–November ×1.20, December–January ×1.10) representing Indian seasonal demand patterns, a mild per-worker trend, Gaussian multiplicative noise calibrated per archetype, and rare shock events (illness, vehicle breakdown, account suspension) affecting approximately 2% of weeks with near-zero income. The generated dataset was validated post-hoc: mean per-worker coefficient of variation is 0.406, within the target 0.30–0.40 band implied by [1], and shock weeks occur at 2.05% of records, matching the 2% design target.</w:t>
      </w:r>
    </w:p>
    <w:p>
      <w:pPr>
        <w:spacing w:after="80" w:before="160"/>
      </w:pPr>
      <w:r>
        <w:rPr>
          <w:rFonts w:ascii="Times New Roman" w:cs="Times New Roman" w:eastAsia="Times New Roman" w:hAnsi="Times New Roman"/>
          <w:b/>
          <w:bCs/>
          <w:i/>
          <w:iCs/>
          <w:sz w:val="19"/>
          <w:szCs w:val="19"/>
        </w:rPr>
        <w:t xml:space="preserve">C. Forecasting Models</w:t>
      </w:r>
    </w:p>
    <w:p>
      <w:pPr>
        <w:spacing w:after="120" w:line="264"/>
        <w:jc w:val="both"/>
      </w:pPr>
      <w:r>
        <w:rPr>
          <w:rFonts w:ascii="Times New Roman" w:cs="Times New Roman" w:eastAsia="Times New Roman" w:hAnsi="Times New Roman"/>
          <w:sz w:val="19"/>
          <w:szCs w:val="19"/>
        </w:rPr>
        <w:t xml:space="preserve">Four models are compared on an 8-week-ahead forecasting task, trained on each worker's history with the trailing 8 weeks held out: (i) Naive, which forecasts next week as equal to the last observed week; (ii) Moving Average, a flat forecast at the trailing 4-week mean; (iii) ARIMA, fit per worker with the order (p, d, q) selected by an Akaike Information Criterion (AIC) grid search over 16 candidate orders (p ∈ {0,1,2}, d ∈ {0,1}, q ∈ {0,1,2}, excluding the trivial random-walk order) rather than a single fixed order shared across all workers; and (iv) Prophet, an additive model decomposing the series into trend, yearly seasonality, and holiday effects, configured with Indian national holidays as regressors (a proxy for festival demand surges) and yearly seasonality (a proxy for the monsoon effect). Prophet's changepoint_prior_scale and seasonality_prior_scale were selected via grid search (Section IV-B) rather than left at unexamined defaults.</w:t>
      </w:r>
    </w:p>
    <w:p>
      <w:pPr>
        <w:spacing w:after="80" w:before="160"/>
      </w:pPr>
      <w:r>
        <w:rPr>
          <w:rFonts w:ascii="Times New Roman" w:cs="Times New Roman" w:eastAsia="Times New Roman" w:hAnsi="Times New Roman"/>
          <w:b/>
          <w:bCs/>
          <w:i/>
          <w:iCs/>
          <w:sz w:val="19"/>
          <w:szCs w:val="19"/>
        </w:rPr>
        <w:t xml:space="preserve">D. Dip Detection Criterion</w:t>
      </w:r>
    </w:p>
    <w:p>
      <w:pPr>
        <w:spacing w:after="120" w:line="264"/>
        <w:jc w:val="both"/>
      </w:pPr>
      <w:r>
        <w:rPr>
          <w:rFonts w:ascii="Times New Roman" w:cs="Times New Roman" w:eastAsia="Times New Roman" w:hAnsi="Times New Roman"/>
          <w:sz w:val="19"/>
          <w:szCs w:val="19"/>
        </w:rPr>
        <w:t xml:space="preserve">Each forecasted week is classified against the worker's trailing 8-week rolling average by a deficit ratio, ratio = (rolling_avg − predicted) / rolling_avg. Weeks with ratio &lt; 0.10 are classified GREEN (normal variation); 0.10 ≤ ratio &lt; 0.25 are classified AMBER (watch); and ratio ≥ 0.25 are classified RED (a dip materially below the worker's own recent normal, warranting an alert).</w:t>
      </w:r>
    </w:p>
    <w:p>
      <w:pPr>
        <w:spacing w:after="80" w:before="160"/>
      </w:pPr>
      <w:r>
        <w:rPr>
          <w:rFonts w:ascii="Times New Roman" w:cs="Times New Roman" w:eastAsia="Times New Roman" w:hAnsi="Times New Roman"/>
          <w:b/>
          <w:bCs/>
          <w:i/>
          <w:iCs/>
          <w:sz w:val="19"/>
          <w:szCs w:val="19"/>
        </w:rPr>
        <w:t xml:space="preserve">E. Buffer Allocation Algorithm</w:t>
      </w:r>
    </w:p>
    <w:p>
      <w:pPr>
        <w:spacing w:after="120" w:line="264"/>
        <w:jc w:val="both"/>
      </w:pPr>
      <w:r>
        <w:rPr>
          <w:rFonts w:ascii="Times New Roman" w:cs="Times New Roman" w:eastAsia="Times New Roman" w:hAnsi="Times New Roman"/>
          <w:sz w:val="19"/>
          <w:szCs w:val="19"/>
        </w:rPr>
        <w:t xml:space="preserve">The buffer engine is deliberately reactive rather than forecast-driven: it operates on each week's actual income against the same trailing rolling average used for dip detection, not on the forecast, so that it functions correctly from a worker's very first tracked week and does not depend on forecast accuracy. In a surplus week (actual &gt; rolling average), the engine sweeps min(0.4 × surplus, 0.15 × actual) into a buffer, capped so the balance never exceeds four weeks of the worker's average income. In a deficit week, it releases min(deficit, buffer balance) back to the worker. All transactions are advisory; a worker confirms every automatic recommendation, and can additionally make manual deposits or withdrawals at any time, consistent with the control-preserving design motivated in Section II.</w:t>
      </w:r>
    </w:p>
    <w:p>
      <w:pPr>
        <w:spacing w:after="80" w:before="160"/>
      </w:pPr>
      <w:r>
        <w:rPr>
          <w:rFonts w:ascii="Times New Roman" w:cs="Times New Roman" w:eastAsia="Times New Roman" w:hAnsi="Times New Roman"/>
          <w:b/>
          <w:bCs/>
          <w:i/>
          <w:iCs/>
          <w:sz w:val="19"/>
          <w:szCs w:val="19"/>
        </w:rPr>
        <w:t xml:space="preserve">F. Explainability</w:t>
      </w:r>
    </w:p>
    <w:p>
      <w:pPr>
        <w:spacing w:after="120" w:line="264"/>
        <w:jc w:val="both"/>
      </w:pPr>
      <w:r>
        <w:rPr>
          <w:rFonts w:ascii="Times New Roman" w:cs="Times New Roman" w:eastAsia="Times New Roman" w:hAnsi="Times New Roman"/>
          <w:sz w:val="19"/>
          <w:szCs w:val="19"/>
        </w:rPr>
        <w:t xml:space="preserve">Prophet and ARIMA do not expose an internal structure suited to SHAP attribution. A complementary Random Forest (300 trees) is therefore trained on pooled data across all workers, using engineered features — month, monsoon/festival flags, a long-term trend index, lagged earnings and hours worked, and each worker's archetype and platform — to predict next-week earnings one step ahead. SHAP's TreeExplainer then attributes each prediction to these features in Indian-rupee terms, giving a worker a plain-language answer to “why is my income predicted to be low next week.” This model is evaluated separately from the Section IV-A comparison, since it is permitted to see the true previous week's actuals as lag features — a genuinely easier one-step-ahead task, not a like-for-like entry in the 8-week-horizon table.</w:t>
      </w:r>
    </w:p>
    <w:p>
      <w:pPr>
        <w:spacing w:after="80" w:before="160"/>
      </w:pPr>
      <w:r>
        <w:rPr>
          <w:rFonts w:ascii="Times New Roman" w:cs="Times New Roman" w:eastAsia="Times New Roman" w:hAnsi="Times New Roman"/>
          <w:b/>
          <w:bCs/>
          <w:i/>
          <w:iCs/>
          <w:sz w:val="19"/>
          <w:szCs w:val="19"/>
        </w:rPr>
        <w:t xml:space="preserve">G. Evaluation Metrics</w:t>
      </w:r>
    </w:p>
    <w:p>
      <w:pPr>
        <w:spacing w:after="120" w:line="264"/>
        <w:jc w:val="both"/>
      </w:pPr>
      <w:r>
        <w:rPr>
          <w:rFonts w:ascii="Times New Roman" w:cs="Times New Roman" w:eastAsia="Times New Roman" w:hAnsi="Times New Roman"/>
          <w:sz w:val="19"/>
          <w:szCs w:val="19"/>
        </w:rPr>
        <w:t xml:space="preserve">Forecast accuracy is reported as Mean Absolute Error (MAE), Root Mean Squared Error (RMSE), and symmetric Mean Absolute Percentage Error (sMAPE), 2|actual − predicted| / (|actual| + |predicted|). sMAPE was used in place of plain MAPE because approximately 2% of weeks are shock weeks with near-zero actual income, and dividing by actual income in that regime makes plain MAPE numerically unstable; sMAPE bounds the metric to [0, 200%] by dividing by the average of actual and predicted magnitude instead. This paper additionally introduces an Asymmetric Error Cost, cost = mean(2 × max(error, 0) + max(−error, 0)) where error = predicted − actual, penalising over-prediction twice as heavily as under-prediction. The rationale is domain-specific: if the system tells a worker to expect more income than they will actually receive, that worker is left financially exposed and under-prepared, which is a worse outcome than the system being conservatively pessimistic.</w:t>
      </w:r>
    </w:p>
    <w:p>
      <w:pPr>
        <w:spacing w:after="120" w:before="240"/>
      </w:pPr>
      <w:r>
        <w:rPr>
          <w:rFonts w:ascii="Times New Roman" w:cs="Times New Roman" w:eastAsia="Times New Roman" w:hAnsi="Times New Roman"/>
          <w:b/>
          <w:bCs/>
          <w:sz w:val="20"/>
          <w:szCs w:val="20"/>
        </w:rPr>
        <w:t xml:space="preserve">IV. Results and Discussion</w:t>
      </w:r>
    </w:p>
    <w:p>
      <w:pPr>
        <w:spacing w:after="80" w:before="160"/>
      </w:pPr>
      <w:r>
        <w:rPr>
          <w:rFonts w:ascii="Times New Roman" w:cs="Times New Roman" w:eastAsia="Times New Roman" w:hAnsi="Times New Roman"/>
          <w:b/>
          <w:bCs/>
          <w:i/>
          <w:iCs/>
          <w:sz w:val="19"/>
          <w:szCs w:val="19"/>
        </w:rPr>
        <w:t xml:space="preserve">A. Model Comparison</w:t>
      </w:r>
    </w:p>
    <w:p>
      <w:pPr>
        <w:spacing w:after="120" w:line="264"/>
        <w:jc w:val="both"/>
      </w:pPr>
      <w:r>
        <w:rPr>
          <w:rFonts w:ascii="Times New Roman" w:cs="Times New Roman" w:eastAsia="Times New Roman" w:hAnsi="Times New Roman"/>
          <w:sz w:val="19"/>
          <w:szCs w:val="19"/>
        </w:rPr>
        <w:t xml:space="preserve">Table II reports 8-week-ahead forecast accuracy averaged across all 200 workers. ARIMA and Prophet both clearly and consistently outperform the Naive and Moving-Average baselines on every metric, which is the result that matters most: genuine time-series modelling beats simple heuristics on this data. ARIMA achieves the lowest error on all four metrics; Prophet is a close second. This is reported honestly rather than adjusted to favour Prophet as the “primary” model — Prophet remains the model deployed in the live system (Section III-A) not because it wins on point accuracy, but because it is the only model here that natively produces an uncertainty interval, which the dip-detection and buffer logic depend on, and because its trend/seasonality decomposition is more directly interpretable than ARIMA's coefficients.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tblGrid>
      <w:tr>
        <w:tc>
          <w:tcPr>
            <w:tcW w:type="dxa" w:w="2200"/>
            <w:shd w:fill="D9D9D9" w:val="clear"/>
            <w:tcMar>
              <w:top w:type="dxa" w:w="60"/>
              <w:left w:type="dxa" w:w="80"/>
              <w:bottom w:type="dxa" w:w="60"/>
              <w:right w:type="dxa" w:w="80"/>
            </w:tcMar>
          </w:tcPr>
          <w:p>
            <w:pPr>
              <w:jc w:val="left"/>
            </w:pPr>
            <w:r>
              <w:rPr>
                <w:rFonts w:ascii="Times New Roman" w:cs="Times New Roman" w:eastAsia="Times New Roman" w:hAnsi="Times New Roman"/>
                <w:b/>
                <w:bCs/>
                <w:sz w:val="17"/>
                <w:szCs w:val="17"/>
              </w:rPr>
              <w:t xml:space="preserve">Model</w:t>
            </w:r>
          </w:p>
        </w:tc>
        <w:tc>
          <w:tcPr>
            <w:tcW w:type="dxa" w:w="1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MAE (₹)</w:t>
            </w:r>
          </w:p>
        </w:tc>
        <w:tc>
          <w:tcPr>
            <w:tcW w:type="dxa" w:w="1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RMSE (₹)</w:t>
            </w:r>
          </w:p>
        </w:tc>
        <w:tc>
          <w:tcPr>
            <w:tcW w:type="dxa" w:w="1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sMAPE (%)</w:t>
            </w:r>
          </w:p>
        </w:tc>
        <w:tc>
          <w:tcPr>
            <w:tcW w:type="dxa" w:w="16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7"/>
                <w:szCs w:val="17"/>
              </w:rPr>
              <w:t xml:space="preserve">AsymCost</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ARIMA</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2762.36</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3388.27</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36.68</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3553.41</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Prophet</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2818.80</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3452.42</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36.75</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4226.82</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Moving Avg (4wk)</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2894.90</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3498.36</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37.00</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4555.43</w:t>
            </w:r>
          </w:p>
        </w:tc>
      </w:tr>
      <w:tr>
        <w:tc>
          <w:tcPr>
            <w:tcW w:type="dxa" w:w="2200"/>
            <w:tcMar>
              <w:top w:type="dxa" w:w="60"/>
              <w:left w:type="dxa" w:w="80"/>
              <w:bottom w:type="dxa" w:w="60"/>
              <w:right w:type="dxa" w:w="80"/>
            </w:tcMar>
          </w:tcPr>
          <w:p>
            <w:pPr>
              <w:jc w:val="left"/>
            </w:pPr>
            <w:r>
              <w:rPr>
                <w:rFonts w:ascii="Times New Roman" w:cs="Times New Roman" w:eastAsia="Times New Roman" w:hAnsi="Times New Roman"/>
                <w:b w:val="false"/>
                <w:bCs w:val="false"/>
                <w:sz w:val="17"/>
                <w:szCs w:val="17"/>
              </w:rPr>
              <w:t xml:space="preserve">Naive</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3825.38</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4451.21</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49.73</w:t>
            </w:r>
          </w:p>
        </w:tc>
        <w:tc>
          <w:tcPr>
            <w:tcW w:type="dxa" w:w="1600"/>
            <w:tcMar>
              <w:top w:type="dxa" w:w="60"/>
              <w:left w:type="dxa" w:w="80"/>
              <w:bottom w:type="dxa" w:w="60"/>
              <w:right w:type="dxa" w:w="80"/>
            </w:tcMar>
          </w:tcPr>
          <w:p>
            <w:pPr>
              <w:jc w:val="center"/>
            </w:pPr>
            <w:r>
              <w:rPr>
                <w:rFonts w:ascii="Times New Roman" w:cs="Times New Roman" w:eastAsia="Times New Roman" w:hAnsi="Times New Roman"/>
                <w:b w:val="false"/>
                <w:bCs w:val="false"/>
                <w:sz w:val="17"/>
                <w:szCs w:val="17"/>
              </w:rPr>
              <w:t xml:space="preserve">5946.04</w:t>
            </w:r>
          </w:p>
        </w:tc>
      </w:tr>
    </w:tbl>
    <w:p>
      <w:pPr>
        <w:spacing w:after="160" w:before="80"/>
        <w:jc w:val="center"/>
      </w:pPr>
      <w:r>
        <w:rPr>
          <w:rFonts w:ascii="Times New Roman" w:cs="Times New Roman" w:eastAsia="Times New Roman" w:hAnsi="Times New Roman"/>
          <w:b/>
          <w:bCs/>
          <w:sz w:val="17"/>
          <w:szCs w:val="17"/>
        </w:rPr>
        <w:t xml:space="preserve">TABLE II.  8-week-ahead forecast accuracy, full 200-worker set</w:t>
      </w:r>
    </w:p>
    <w:p>
      <w:pPr>
        <w:spacing w:after="80" w:before="160"/>
      </w:pPr>
      <w:r>
        <w:rPr>
          <w:rFonts w:ascii="Times New Roman" w:cs="Times New Roman" w:eastAsia="Times New Roman" w:hAnsi="Times New Roman"/>
          <w:b/>
          <w:bCs/>
          <w:i/>
          <w:iCs/>
          <w:sz w:val="19"/>
          <w:szCs w:val="19"/>
        </w:rPr>
        <w:t xml:space="preserve">B. Hyperparameter Tuning</w:t>
      </w:r>
    </w:p>
    <w:p>
      <w:pPr>
        <w:spacing w:after="120" w:line="264"/>
        <w:jc w:val="both"/>
      </w:pPr>
      <w:r>
        <w:rPr>
          <w:rFonts w:ascii="Times New Roman" w:cs="Times New Roman" w:eastAsia="Times New Roman" w:hAnsi="Times New Roman"/>
          <w:sz w:val="19"/>
          <w:szCs w:val="19"/>
        </w:rPr>
        <w:t xml:space="preserve">Two tuning gaps were closed and both results are reported as found, not adjusted toward an expected outcome. First, Prophet's changepoint_prior_scale and seasonality_prior_scale were swept over a 4×2 grid on a 20-worker sample; the search confirmed Prophet's own defaults (0.05 and 10.0 respectively) already minimised MAE on this data, so the result of tuning was validating an assumption rather than overturning one — still a useful outcome, since the defaults are now a checked choice rather than an unexamined one. Second, replacing a single fixed ARIMA order shared across all workers with a per-series AIC-selected order (Section III-C) changed full-set MAE by only about 0.4% (2751.84 → 2762.36), which is within noise. This is explained by two factors: AIC optimises in-sample likelihood, which does not always track 8-week-ahead out-of-sample error; and because all 200 synthetic workers share one underlying generative process (Section III-B), their autocorrelation structure is relatively homogeneous, so a single reasonable fixed order already captured most of the useful structure. On real, heterogeneous platform data, per-series order selection would be expected to matter more.</w:t>
      </w:r>
    </w:p>
    <w:p>
      <w:pPr>
        <w:spacing w:after="80" w:before="160"/>
      </w:pPr>
      <w:r>
        <w:rPr>
          <w:rFonts w:ascii="Times New Roman" w:cs="Times New Roman" w:eastAsia="Times New Roman" w:hAnsi="Times New Roman"/>
          <w:b/>
          <w:bCs/>
          <w:i/>
          <w:iCs/>
          <w:sz w:val="19"/>
          <w:szCs w:val="19"/>
        </w:rPr>
        <w:t xml:space="preserve">C. Buffer Simulation — Headline Result</w:t>
      </w:r>
    </w:p>
    <w:p>
      <w:pPr>
        <w:spacing w:after="120" w:line="264"/>
        <w:jc w:val="both"/>
      </w:pPr>
      <w:r>
        <w:rPr>
          <w:rFonts w:ascii="Times New Roman" w:cs="Times New Roman" w:eastAsia="Times New Roman" w:hAnsi="Times New Roman"/>
          <w:sz w:val="19"/>
          <w:szCs w:val="19"/>
        </w:rPr>
        <w:t xml:space="preserve">The buffer engine (Section III-E) was simulated across the full 156-week history of all 200 workers, comparing weeks where net income fell below an essential-expense floor — modelled as 55% of a worker's own long-run average income, an explicit assumption rather than a value in the raw data — with and without the buffer active. Without the buffer, workers experienced 3,831 shortfall weeks in aggregate; with the buffer active, this fell to 2,511, a 34.5% reduction, with an average buffer balance of ₹1,389 maintained across workers. This is the paper's headline empirical result: it demonstrates that coupling a forecast-adjacent signal to an automated savings action produces a measurable improvement in financial resilience, not merely a plausible-sounding mechanism.</w:t>
      </w:r>
    </w:p>
    <w:p>
      <w:pPr>
        <w:spacing w:after="120" w:line="264"/>
        <w:jc w:val="both"/>
      </w:pPr>
      <w:r>
        <w:rPr>
          <w:rFonts w:ascii="Times New Roman" w:cs="Times New Roman" w:eastAsia="Times New Roman" w:hAnsi="Times New Roman"/>
          <w:sz w:val="19"/>
          <w:szCs w:val="19"/>
        </w:rPr>
        <w:t xml:space="preserve">One limitation is reported directly rather than obscured: 0 of 200 workers reached zero remaining shortfall weeks. The buffer reduces but does not eliminate shortfalls, particularly during sustained multi-week downturns where the 15%-of-income save cap prevents the buffer from growing quickly enough to fully absorb a prolonged dip. This is named as a concrete direction for future work (Section VI) rather than a result to minimise.</w:t>
      </w:r>
    </w:p>
    <w:p>
      <w:pPr>
        <w:spacing w:after="80" w:before="160"/>
      </w:pPr>
      <w:r>
        <w:rPr>
          <w:rFonts w:ascii="Times New Roman" w:cs="Times New Roman" w:eastAsia="Times New Roman" w:hAnsi="Times New Roman"/>
          <w:b/>
          <w:bCs/>
          <w:i/>
          <w:iCs/>
          <w:sz w:val="19"/>
          <w:szCs w:val="19"/>
        </w:rPr>
        <w:t xml:space="preserve">D. Explainability Results</w:t>
      </w:r>
    </w:p>
    <w:p>
      <w:pPr>
        <w:spacing w:after="120" w:line="264"/>
        <w:jc w:val="both"/>
      </w:pPr>
      <w:r>
        <w:rPr>
          <w:rFonts w:ascii="Times New Roman" w:cs="Times New Roman" w:eastAsia="Times New Roman" w:hAnsi="Times New Roman"/>
          <w:sz w:val="19"/>
          <w:szCs w:val="19"/>
        </w:rPr>
        <w:t xml:space="preserve">The pooled Random Forest achieves MAE = 2696.38, RMSE = 3498.05, sMAPE = 35.12% on the one-step-ahead task (1,600 held-out test rows) described in Section III-F. For an example predicted dip — a worker with a predicted week of ₹4,559 against a recent 4-week average of ₹10,915, a 58% deficit — SHAP attributed the largest negative contributions to worker archetype (−₹2,740) and recent hours worked (−₹1,144), with smaller positive offsetting contributions from festival season (+₹420) and recent earnings trend (+₹361). This is a genuinely different explanation than the illustrative “monsoon season, festival drop” narrative one might expect from seasonal effects alone, and is reported as found: for this worker, which segment they belong to and how their hours have recently trended explain more of the predicted dip than calendar seasonality does. Explainability is only useful if it says what the model actually learned, not what a designer expected it to learn.</w:t>
      </w:r>
    </w:p>
    <w:p>
      <w:pPr>
        <w:spacing w:after="80" w:before="160"/>
      </w:pPr>
      <w:r>
        <w:rPr>
          <w:rFonts w:ascii="Times New Roman" w:cs="Times New Roman" w:eastAsia="Times New Roman" w:hAnsi="Times New Roman"/>
          <w:b/>
          <w:bCs/>
          <w:i/>
          <w:iCs/>
          <w:sz w:val="19"/>
          <w:szCs w:val="19"/>
        </w:rPr>
        <w:t xml:space="preserve">E. System Implementation Notes</w:t>
      </w:r>
    </w:p>
    <w:p>
      <w:pPr>
        <w:spacing w:after="120" w:line="264"/>
        <w:jc w:val="both"/>
      </w:pPr>
      <w:r>
        <w:rPr>
          <w:rFonts w:ascii="Times New Roman" w:cs="Times New Roman" w:eastAsia="Times New Roman" w:hAnsi="Times New Roman"/>
          <w:sz w:val="19"/>
          <w:szCs w:val="19"/>
        </w:rPr>
        <w:t xml:space="preserve">During backend development, a broken-access-control issue was identified and fixed: routes taking a worker identifier as a path parameter (earnings, forecast, buffer, alerts, dashboard) initially validated only that a caller presented a valid authentication token, not that the token belonged to the worker being queried, which would have allowed any authenticated user to read another worker's financial data by editing the URL. A require_self() authorisation check was added to every such route. This is reported here because it reflects a real engineering practice — authentication and authorisation are distinct checks, and the absence of the latter is a common, easy-to-miss vulnerability class (broken object-level authorisation) in REST APIs that take a resource identifier from the client.</w:t>
      </w:r>
    </w:p>
    <w:p>
      <w:pPr>
        <w:spacing w:after="120" w:before="240"/>
      </w:pPr>
      <w:r>
        <w:rPr>
          <w:rFonts w:ascii="Times New Roman" w:cs="Times New Roman" w:eastAsia="Times New Roman" w:hAnsi="Times New Roman"/>
          <w:b/>
          <w:bCs/>
          <w:sz w:val="20"/>
          <w:szCs w:val="20"/>
        </w:rPr>
        <w:t xml:space="preserve">V. Conclusion</w:t>
      </w:r>
    </w:p>
    <w:p>
      <w:pPr>
        <w:spacing w:after="120" w:line="264"/>
        <w:jc w:val="both"/>
      </w:pPr>
      <w:r>
        <w:rPr>
          <w:rFonts w:ascii="Times New Roman" w:cs="Times New Roman" w:eastAsia="Times New Roman" w:hAnsi="Times New Roman"/>
          <w:sz w:val="19"/>
          <w:szCs w:val="19"/>
        </w:rPr>
        <w:t xml:space="preserve">This paper presented Glide, a system that forecasts individual gig-worker income, classifies the forecast into a dip-severity alert, and converts that signal into an automated, explainable savings recommendation — a combination absent from prior work, which either forecasts without acting (corporate cash-flow models) or acts without forecasting (static wage-level prediction). On a synthetic dataset calibrated to published Indian gig-economy volatility statistics, ARIMA and Prophet both clearly outperform naive baselines at 8-week-ahead forecasting, and the buffer engine reduces essential-expense shortfall weeks by 34.5% across 200 simulated workers over three years. Both hyperparameter-tuning experiments and the explainability analysis were reported as found rather than adjusted toward an expected narrative, including where tuning made negligible difference and where SHAP attributed a dip to worker segment rather than season. The complete system — data generator, forecasting and buffer engines, SHAP explainer, FastAPI backend, and React/TypeScript frontend — is implemented end-to-end, tested, and continuously integrated.</w:t>
      </w:r>
    </w:p>
    <w:p>
      <w:pPr>
        <w:spacing w:after="120" w:before="240"/>
      </w:pPr>
      <w:r>
        <w:rPr>
          <w:rFonts w:ascii="Times New Roman" w:cs="Times New Roman" w:eastAsia="Times New Roman" w:hAnsi="Times New Roman"/>
          <w:b/>
          <w:bCs/>
          <w:sz w:val="20"/>
          <w:szCs w:val="20"/>
        </w:rPr>
        <w:t xml:space="preserve">VI. Future Scope</w:t>
      </w:r>
    </w:p>
    <w:p>
      <w:pPr>
        <w:spacing w:after="80" w:line="264"/>
        <w:ind w:left="360" w:hanging="180"/>
        <w:jc w:val="both"/>
      </w:pPr>
      <w:r>
        <w:rPr>
          <w:rFonts w:ascii="Times New Roman" w:cs="Times New Roman" w:eastAsia="Times New Roman" w:hAnsi="Times New Roman"/>
          <w:sz w:val="19"/>
          <w:szCs w:val="19"/>
        </w:rPr>
        <w:t xml:space="preserve">•  Validation against real platform earnings data, subject to data-sharing agreements, to test whether the calibrated-synthetic results generalise.</w:t>
      </w:r>
    </w:p>
    <w:p>
      <w:pPr>
        <w:spacing w:after="80" w:line="264"/>
        <w:ind w:left="360" w:hanging="180"/>
        <w:jc w:val="both"/>
      </w:pPr>
      <w:r>
        <w:rPr>
          <w:rFonts w:ascii="Times New Roman" w:cs="Times New Roman" w:eastAsia="Times New Roman" w:hAnsi="Times New Roman"/>
          <w:sz w:val="19"/>
          <w:szCs w:val="19"/>
        </w:rPr>
        <w:t xml:space="preserve">•  A proactive buffer engine that increases savings aggressiveness ahead of a predicted RED week, rather than reacting only to income that has already arrived — closing the loop between the forecast and buffer stages more tightly than the current design.</w:t>
      </w:r>
    </w:p>
    <w:p>
      <w:pPr>
        <w:spacing w:after="80" w:line="264"/>
        <w:ind w:left="360" w:hanging="180"/>
        <w:jc w:val="both"/>
      </w:pPr>
      <w:r>
        <w:rPr>
          <w:rFonts w:ascii="Times New Roman" w:cs="Times New Roman" w:eastAsia="Times New Roman" w:hAnsi="Times New Roman"/>
          <w:sz w:val="19"/>
          <w:szCs w:val="19"/>
        </w:rPr>
        <w:t xml:space="preserve">•  LSTM or other sequence models, once per-worker history is long enough (multiple years) for a deep model to outperform ARIMA/Prophet without overfitting a ~150-point series.</w:t>
      </w:r>
    </w:p>
    <w:p>
      <w:pPr>
        <w:spacing w:after="80" w:line="264"/>
        <w:ind w:left="360" w:hanging="180"/>
        <w:jc w:val="both"/>
      </w:pPr>
      <w:r>
        <w:rPr>
          <w:rFonts w:ascii="Times New Roman" w:cs="Times New Roman" w:eastAsia="Times New Roman" w:hAnsi="Times New Roman"/>
          <w:sz w:val="19"/>
          <w:szCs w:val="19"/>
        </w:rPr>
        <w:t xml:space="preserve">•  An alternative credit score derived from income regularity and buffer discipline, for workers excluded from traditional credit scoring.</w:t>
      </w:r>
    </w:p>
    <w:p>
      <w:pPr>
        <w:spacing w:after="80" w:line="264"/>
        <w:ind w:left="360" w:hanging="180"/>
        <w:jc w:val="both"/>
      </w:pPr>
      <w:r>
        <w:rPr>
          <w:rFonts w:ascii="Times New Roman" w:cs="Times New Roman" w:eastAsia="Times New Roman" w:hAnsi="Times New Roman"/>
          <w:sz w:val="19"/>
          <w:szCs w:val="19"/>
        </w:rPr>
        <w:t xml:space="preserve">•  A live pilot deployment with real gig workers to validate the essential-expense-floor assumption and the buffer parameters against actual financial behaviour.</w:t>
      </w:r>
    </w:p>
    <w:p>
      <w:pPr>
        <w:spacing w:after="120" w:before="240"/>
      </w:pPr>
      <w:r>
        <w:rPr>
          <w:rFonts w:ascii="Times New Roman" w:cs="Times New Roman" w:eastAsia="Times New Roman" w:hAnsi="Times New Roman"/>
          <w:b/>
          <w:bCs/>
          <w:sz w:val="20"/>
          <w:szCs w:val="20"/>
        </w:rPr>
        <w:t xml:space="preserve">References</w:t>
      </w:r>
    </w:p>
    <w:p>
      <w:pPr>
        <w:spacing w:after="80" w:line="240"/>
        <w:ind w:left="360" w:hanging="360"/>
        <w:jc w:val="both"/>
      </w:pPr>
      <w:r>
        <w:rPr>
          <w:rFonts w:ascii="Times New Roman" w:cs="Times New Roman" w:eastAsia="Times New Roman" w:hAnsi="Times New Roman"/>
          <w:sz w:val="18"/>
          <w:szCs w:val="18"/>
        </w:rPr>
        <w:t xml:space="preserve">[1] D. Farrell and F. Greig, “Paychecks, Paydays, and the Online Platform Economy: Big Data on Income Volatility,” JPMorgan Chase Institute, 2016.</w:t>
      </w:r>
    </w:p>
    <w:p>
      <w:pPr>
        <w:spacing w:after="80" w:line="240"/>
        <w:ind w:left="360" w:hanging="360"/>
        <w:jc w:val="both"/>
      </w:pPr>
      <w:r>
        <w:rPr>
          <w:rFonts w:ascii="Times New Roman" w:cs="Times New Roman" w:eastAsia="Times New Roman" w:hAnsi="Times New Roman"/>
          <w:sz w:val="18"/>
          <w:szCs w:val="18"/>
        </w:rPr>
        <w:t xml:space="preserve">[2] J. Peetz and J. Robson, “Living Gig to Gig and Paycheque to Paycheque: How Income Volatility Affects Financial Decisions,” CEPR / Carleton University, 2022.</w:t>
      </w:r>
    </w:p>
    <w:p>
      <w:pPr>
        <w:spacing w:after="80" w:line="240"/>
        <w:ind w:left="360" w:hanging="360"/>
        <w:jc w:val="both"/>
      </w:pPr>
      <w:r>
        <w:rPr>
          <w:rFonts w:ascii="Times New Roman" w:cs="Times New Roman" w:eastAsia="Times New Roman" w:hAnsi="Times New Roman"/>
          <w:sz w:val="18"/>
          <w:szCs w:val="18"/>
        </w:rPr>
        <w:t xml:space="preserve">[3] Nguyen Ngoc Thanh, “Platform Labor and Financial Instability: Sectoral Insights on Gig Workers’ Earnings Elasticity,” SSRN, 2025.</w:t>
      </w:r>
    </w:p>
    <w:p>
      <w:pPr>
        <w:spacing w:after="80" w:line="240"/>
        <w:ind w:left="360" w:hanging="360"/>
        <w:jc w:val="both"/>
      </w:pPr>
      <w:r>
        <w:rPr>
          <w:rFonts w:ascii="Times New Roman" w:cs="Times New Roman" w:eastAsia="Times New Roman" w:hAnsi="Times New Roman"/>
          <w:sz w:val="18"/>
          <w:szCs w:val="18"/>
        </w:rPr>
        <w:t xml:space="preserve">[4] Kandavel et al., “Wage Prediction for Gig Workers Using Machine Learning,” Proc. Int. Conf. Data Science, AI and Applied Intelligence (ICDSAAI), 2025.</w:t>
      </w:r>
    </w:p>
    <w:p>
      <w:pPr>
        <w:spacing w:after="80" w:line="240"/>
        <w:ind w:left="360" w:hanging="360"/>
        <w:jc w:val="both"/>
      </w:pPr>
      <w:r>
        <w:rPr>
          <w:rFonts w:ascii="Times New Roman" w:cs="Times New Roman" w:eastAsia="Times New Roman" w:hAnsi="Times New Roman"/>
          <w:sz w:val="18"/>
          <w:szCs w:val="18"/>
        </w:rPr>
        <w:t xml:space="preserve">[5] J. Weytjens, S. K. L. M. vanden Broucke, and J. De Weerdt, “Cash Flow Prediction: MLP and LSTM Compared to ARIMA and Prophet,” Electronic Commerce Research, Springer, 2021.</w:t>
      </w:r>
    </w:p>
    <w:p>
      <w:pPr>
        <w:spacing w:after="80" w:line="240"/>
        <w:ind w:left="360" w:hanging="360"/>
        <w:jc w:val="both"/>
      </w:pPr>
      <w:r>
        <w:rPr>
          <w:rFonts w:ascii="Times New Roman" w:cs="Times New Roman" w:eastAsia="Times New Roman" w:hAnsi="Times New Roman"/>
          <w:sz w:val="18"/>
          <w:szCs w:val="18"/>
        </w:rPr>
        <w:t xml:space="preserve">[6] S. J. Taylor and B. Letham, “Forecasting at Scale,” The American Statistician, vol. 72, no. 1, pp. 37–45, 2018.</w:t>
      </w:r>
    </w:p>
    <w:p>
      <w:pPr>
        <w:spacing w:after="80" w:line="240"/>
        <w:ind w:left="360" w:hanging="360"/>
        <w:jc w:val="both"/>
      </w:pPr>
      <w:r>
        <w:rPr>
          <w:rFonts w:ascii="Times New Roman" w:cs="Times New Roman" w:eastAsia="Times New Roman" w:hAnsi="Times New Roman"/>
          <w:sz w:val="18"/>
          <w:szCs w:val="18"/>
        </w:rPr>
        <w:t xml:space="preserve">[7] G. E. P. Box and G. M. Jenkins, Time Series Analysis: Forecasting and Control, Holden-Day, 1970.</w:t>
      </w:r>
    </w:p>
    <w:p>
      <w:pPr>
        <w:spacing w:after="80" w:line="240"/>
        <w:ind w:left="360" w:hanging="360"/>
        <w:jc w:val="both"/>
      </w:pPr>
      <w:r>
        <w:rPr>
          <w:rFonts w:ascii="Times New Roman" w:cs="Times New Roman" w:eastAsia="Times New Roman" w:hAnsi="Times New Roman"/>
          <w:sz w:val="18"/>
          <w:szCs w:val="18"/>
        </w:rPr>
        <w:t xml:space="preserve">[8] S. M. Lundberg and S.-I. Lee, “A Unified Approach to Interpreting Model Predictions,” Advances in Neural Information Processing Systems (NeurIPS), 2017.</w:t>
      </w:r>
    </w:p>
    <w:p>
      <w:pPr>
        <w:spacing w:after="80" w:line="240"/>
        <w:ind w:left="360" w:hanging="360"/>
        <w:jc w:val="both"/>
      </w:pPr>
      <w:r>
        <w:rPr>
          <w:rFonts w:ascii="Times New Roman" w:cs="Times New Roman" w:eastAsia="Times New Roman" w:hAnsi="Times New Roman"/>
          <w:sz w:val="18"/>
          <w:szCs w:val="18"/>
        </w:rPr>
        <w:t xml:space="preserve">[9] “Gig Economy and Its Impact on Individual Employment: An Empirical Analysis,” Humanities and Social Sciences Communications, Nature, 2025.</w:t>
      </w:r>
    </w:p>
    <w:p>
      <w:pPr>
        <w:spacing w:after="80" w:line="240"/>
        <w:ind w:left="360" w:hanging="360"/>
        <w:jc w:val="both"/>
      </w:pPr>
      <w:r>
        <w:rPr>
          <w:rFonts w:ascii="Times New Roman" w:cs="Times New Roman" w:eastAsia="Times New Roman" w:hAnsi="Times New Roman"/>
          <w:sz w:val="18"/>
          <w:szCs w:val="18"/>
        </w:rPr>
        <w:t xml:space="preserve">[10] “The Gig Economy Revisited: Synthesizing Knowledge and Pioneering Paths Forward,” Journal of the Knowledge Economy, Springer, 2026.</w:t>
      </w:r>
    </w:p>
    <w:p>
      <w:pPr>
        <w:spacing w:after="80" w:line="240"/>
        <w:ind w:left="360" w:hanging="360"/>
        <w:jc w:val="both"/>
      </w:pPr>
      <w:r>
        <w:rPr>
          <w:rFonts w:ascii="Times New Roman" w:cs="Times New Roman" w:eastAsia="Times New Roman" w:hAnsi="Times New Roman"/>
          <w:sz w:val="18"/>
          <w:szCs w:val="18"/>
        </w:rPr>
        <w:t xml:space="preserve">[11] NITI Aayog, “India’s Booming Gig and Platform Economy,” Government of India, 2022.</w:t>
      </w:r>
    </w:p>
    <w:sectPr>
      <w:pgSz w:w="11906" w:h="16838"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2026-08-17T10:25:16.501Z</dcterms:created>
  <dcterms:modified xsi:type="dcterms:W3CDTF">2026-08-17T10:25:16.516Z</dcterms:modified>
</cp:coreProperties>
</file>

<file path=docProps/custom.xml><?xml version="1.0" encoding="utf-8"?>
<Properties xmlns="http://schemas.openxmlformats.org/officeDocument/2006/custom-properties" xmlns:vt="http://schemas.openxmlformats.org/officeDocument/2006/docPropsVTypes"/>
</file>