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920695">
      <w:pPr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  <w:t>1.</w:t>
      </w: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System Architecture &amp; Methodology (Very Important)</w:t>
      </w:r>
    </w:p>
    <w:p w14:paraId="117EA1C7">
      <w:pPr>
        <w:rPr>
          <w:rFonts w:hint="default" w:ascii="Times New Roman" w:hAnsi="Times New Roman" w:eastAsia="SimSu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</w:rPr>
        <w:t>Figure 1: Overall System Architecture Diagram</w:t>
      </w:r>
    </w:p>
    <w:p w14:paraId="505DD68F">
      <w:pPr>
        <w:rPr>
          <w:rFonts w:hint="default" w:ascii="Times New Roman" w:hAnsi="Times New Roman" w:eastAsia="SimSu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</w:rPr>
        <w:t>Figure 2: Federated Learning Workflow</w:t>
      </w:r>
    </w:p>
    <w:p w14:paraId="78996EC3">
      <w:pPr>
        <w:rPr>
          <w:rFonts w:hint="default" w:ascii="Times New Roman" w:hAnsi="Times New Roman" w:eastAsia="SimSun" w:cs="Times New Roman"/>
          <w:b w:val="0"/>
          <w:bCs w:val="0"/>
          <w:sz w:val="32"/>
          <w:szCs w:val="32"/>
        </w:rPr>
      </w:pPr>
    </w:p>
    <w:p w14:paraId="0FCDB941">
      <w:pPr>
        <w:rPr>
          <w:rFonts w:hint="default" w:ascii="Times New Roman" w:hAnsi="Times New Roman" w:eastAsia="SimSun" w:cs="Times New Roman"/>
          <w:b w:val="0"/>
          <w:bCs w:val="0"/>
          <w:sz w:val="32"/>
          <w:szCs w:val="32"/>
        </w:rPr>
      </w:pPr>
    </w:p>
    <w:p w14:paraId="3DD0C395">
      <w:pPr>
        <w:numPr>
          <w:ilvl w:val="0"/>
          <w:numId w:val="1"/>
        </w:numPr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Dataset &amp; Data Understanding</w:t>
      </w:r>
    </w:p>
    <w:p w14:paraId="00C31CFB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</w:rPr>
        <w:t>Table 1: Dataset Description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000"/>
        <w:gridCol w:w="7527"/>
      </w:tblGrid>
      <w:tr w14:paraId="43040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00" w:type="dxa"/>
            <w:shd w:val="clear" w:color="auto" w:fill="E7E6E6" w:themeFill="background2"/>
          </w:tcPr>
          <w:p w14:paraId="3D7B874E">
            <w:pPr>
              <w:numPr>
                <w:numId w:val="0"/>
              </w:numPr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</w:rPr>
              <w:t>Feature Category</w:t>
            </w:r>
          </w:p>
        </w:tc>
        <w:tc>
          <w:tcPr>
            <w:tcW w:w="7527" w:type="dxa"/>
            <w:shd w:val="clear" w:color="auto" w:fill="E7E6E6" w:themeFill="background2"/>
          </w:tcPr>
          <w:p w14:paraId="359A3C48">
            <w:pPr>
              <w:numPr>
                <w:numId w:val="0"/>
              </w:numPr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</w:rPr>
              <w:t>Description</w:t>
            </w:r>
          </w:p>
        </w:tc>
      </w:tr>
      <w:tr w14:paraId="01CAC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00" w:type="dxa"/>
          </w:tcPr>
          <w:p w14:paraId="11CB88AD">
            <w:pPr>
              <w:numPr>
                <w:numId w:val="0"/>
              </w:numPr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</w:rPr>
              <w:t>Total Patients</w:t>
            </w:r>
          </w:p>
        </w:tc>
        <w:tc>
          <w:tcPr>
            <w:tcW w:w="7527" w:type="dxa"/>
          </w:tcPr>
          <w:p w14:paraId="7A84631A">
            <w:pPr>
              <w:numPr>
                <w:numId w:val="0"/>
              </w:numPr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</w:rPr>
              <w:t>101766</w:t>
            </w:r>
          </w:p>
        </w:tc>
      </w:tr>
      <w:tr w14:paraId="0DA14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00" w:type="dxa"/>
          </w:tcPr>
          <w:p w14:paraId="792A6457">
            <w:pPr>
              <w:numPr>
                <w:numId w:val="0"/>
              </w:numPr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  <w:lang w:val="en-US"/>
              </w:rPr>
              <w:t>Number of Features</w:t>
            </w:r>
          </w:p>
        </w:tc>
        <w:tc>
          <w:tcPr>
            <w:tcW w:w="7527" w:type="dxa"/>
          </w:tcPr>
          <w:p w14:paraId="75228C57">
            <w:pPr>
              <w:numPr>
                <w:numId w:val="0"/>
              </w:numPr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</w:rPr>
              <w:t>50</w:t>
            </w:r>
          </w:p>
        </w:tc>
      </w:tr>
      <w:tr w14:paraId="2AA44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00" w:type="dxa"/>
          </w:tcPr>
          <w:p w14:paraId="2EC9D88B">
            <w:pPr>
              <w:numPr>
                <w:numId w:val="0"/>
              </w:numPr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</w:rPr>
              <w:t>Numerical Feature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  <w:lang w:val="en-US"/>
              </w:rPr>
              <w:t>s Use</w:t>
            </w:r>
          </w:p>
        </w:tc>
        <w:tc>
          <w:tcPr>
            <w:tcW w:w="7527" w:type="dxa"/>
          </w:tcPr>
          <w:p w14:paraId="2A3F3577">
            <w:pPr>
              <w:numPr>
                <w:numId w:val="0"/>
              </w:numPr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</w:rPr>
              <w:t>'time_in_hospital', 'num_lab_procedures', 'num_procedures', 'num_medications', 'number_outpatient', 'number_emergency', 'number_inpatient', 'number_diagnoses'</w:t>
            </w:r>
          </w:p>
        </w:tc>
      </w:tr>
      <w:tr w14:paraId="460FC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00" w:type="dxa"/>
          </w:tcPr>
          <w:p w14:paraId="6FFFBB99">
            <w:pPr>
              <w:numPr>
                <w:numId w:val="0"/>
              </w:numPr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</w:rPr>
              <w:t>Categorical Features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  <w:lang w:val="en-US"/>
              </w:rPr>
              <w:t xml:space="preserve"> Use</w:t>
            </w:r>
          </w:p>
        </w:tc>
        <w:tc>
          <w:tcPr>
            <w:tcW w:w="7527" w:type="dxa"/>
          </w:tcPr>
          <w:p w14:paraId="27DEADBD">
            <w:pPr>
              <w:numPr>
                <w:numId w:val="0"/>
              </w:numPr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</w:rPr>
              <w:t xml:space="preserve">'race', 'gender', 'age', 'weight', 'diag_1', 'diag_2', 'diag_3', 'max_glu_serum', 'A1Cresult', 'metformin', 'repaglinide', 'nateglinide', 'chlorpropamide', 'glimepiride', 'acetohexamide', 'glipizide', 'glyburide', 'tolbutamide', 'pioglitazone', 'rosiglitazone', 'acarbose', 'miglitol', 'troglitazone', 'tolazamide', 'examide', 'citoglipton', 'insulin', 'glyburide-metformin', 'glipizide-metformin', 'glimepiride-pioglitazone', 'metformin-rosiglitazone', 'metformin-pioglitazone', 'change', 'diabetesMed', </w:t>
            </w:r>
          </w:p>
        </w:tc>
      </w:tr>
      <w:tr w14:paraId="4E1B3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00" w:type="dxa"/>
          </w:tcPr>
          <w:p w14:paraId="3D1CE0D0">
            <w:pPr>
              <w:numPr>
                <w:numId w:val="0"/>
              </w:numPr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</w:rPr>
              <w:t>Target Variable</w:t>
            </w:r>
          </w:p>
        </w:tc>
        <w:tc>
          <w:tcPr>
            <w:tcW w:w="7527" w:type="dxa"/>
          </w:tcPr>
          <w:p w14:paraId="1FEA4335">
            <w:pPr>
              <w:numPr>
                <w:numId w:val="0"/>
              </w:numPr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  <w:lang w:val="en-US"/>
              </w:rPr>
              <w:t>Readmission Category (&lt;30, &gt;30, No)</w:t>
            </w:r>
          </w:p>
        </w:tc>
      </w:tr>
      <w:tr w14:paraId="3ACA0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00" w:type="dxa"/>
          </w:tcPr>
          <w:p w14:paraId="5617055D">
            <w:pPr>
              <w:numPr>
                <w:numId w:val="0"/>
              </w:numPr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  <w:lang w:val="en-US"/>
              </w:rPr>
              <w:t>Coloumns Drop</w:t>
            </w:r>
          </w:p>
        </w:tc>
        <w:tc>
          <w:tcPr>
            <w:tcW w:w="7527" w:type="dxa"/>
          </w:tcPr>
          <w:p w14:paraId="2B310DE0">
            <w:pPr>
              <w:numPr>
                <w:numId w:val="0"/>
              </w:numPr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  <w:t xml:space="preserve">'encounter_id', 'patient_nbr', </w:t>
            </w:r>
          </w:p>
          <w:p w14:paraId="12DB11EB">
            <w:pPr>
              <w:numPr>
                <w:numId w:val="0"/>
              </w:numPr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  <w:t>'admission_type_id',</w:t>
            </w:r>
          </w:p>
          <w:p w14:paraId="2F5BE62B">
            <w:pPr>
              <w:numPr>
                <w:numId w:val="0"/>
              </w:numPr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  <w:t>'discharge_disposition_id', 'admission_source_id','medical_specialty',</w:t>
            </w:r>
          </w:p>
          <w:p w14:paraId="6800956E">
            <w:pPr>
              <w:numPr>
                <w:numId w:val="0"/>
              </w:numPr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  <w:t>    'payer_code'</w:t>
            </w:r>
          </w:p>
          <w:p w14:paraId="40E4CAB0">
            <w:pPr>
              <w:numPr>
                <w:numId w:val="0"/>
              </w:numPr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  <w:lang w:val="en-US"/>
              </w:rPr>
            </w:pPr>
          </w:p>
        </w:tc>
      </w:tr>
    </w:tbl>
    <w:p w14:paraId="4BDB327C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32"/>
          <w:szCs w:val="32"/>
        </w:rPr>
      </w:pPr>
    </w:p>
    <w:p w14:paraId="77D93C63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32"/>
          <w:szCs w:val="32"/>
        </w:rPr>
      </w:pPr>
    </w:p>
    <w:p w14:paraId="70F210A8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</w:rPr>
        <w:t>Figure 3: Class Distribution of Readmission</w:t>
      </w:r>
    </w:p>
    <w:p w14:paraId="354770CB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/>
        </w:rPr>
        <w:t xml:space="preserve">  Type: Pie chart</w:t>
      </w:r>
    </w:p>
    <w:p w14:paraId="70198C3A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84520" cy="520509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520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8DC6A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/>
        </w:rPr>
      </w:pPr>
    </w:p>
    <w:p w14:paraId="66652128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  <w:t>Data Preprocessing &amp; Feature Analysis</w:t>
      </w:r>
    </w:p>
    <w:p w14:paraId="513D50F1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/>
        </w:rPr>
        <w:t>Figure 4: Missing Value Analysis</w:t>
      </w:r>
    </w:p>
    <w:p w14:paraId="79823BBF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/>
        </w:rPr>
        <w:t>(Other columns 0 null values)</w:t>
      </w:r>
    </w:p>
    <w:p w14:paraId="38808E4A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946650" cy="2894965"/>
            <wp:effectExtent l="0" t="0" r="635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6650" cy="289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F272C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/>
        </w:rPr>
        <w:t>Type: Bar chart</w:t>
      </w:r>
    </w:p>
    <w:p w14:paraId="12FEACE0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/>
        </w:rPr>
        <w:t>Figure 5: Feature Correlation Heatmap</w:t>
      </w:r>
    </w:p>
    <w:p w14:paraId="660FE214">
      <w:pPr>
        <w:numPr>
          <w:numId w:val="0"/>
        </w:numPr>
        <w:ind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55005" cy="5193665"/>
            <wp:effectExtent l="0" t="0" r="571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5005" cy="519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D1F60">
      <w:pPr>
        <w:numPr>
          <w:numId w:val="0"/>
        </w:numPr>
        <w:ind w:leftChars="0"/>
        <w:rPr>
          <w:rFonts w:hint="default" w:ascii="Times New Roman" w:hAnsi="Times New Roman" w:cs="Times New Roman"/>
        </w:rPr>
      </w:pPr>
    </w:p>
    <w:p w14:paraId="0213E6D6">
      <w:pPr>
        <w:numPr>
          <w:numId w:val="0"/>
        </w:numPr>
        <w:ind w:leftChars="0"/>
        <w:rPr>
          <w:rFonts w:hint="default" w:ascii="Times New Roman" w:hAnsi="Times New Roman" w:cs="Times New Roman"/>
        </w:rPr>
      </w:pPr>
    </w:p>
    <w:p w14:paraId="09CAE4CC">
      <w:pPr>
        <w:numPr>
          <w:numId w:val="0"/>
        </w:numPr>
        <w:ind w:leftChars="0"/>
        <w:rPr>
          <w:rFonts w:hint="default" w:ascii="Times New Roman" w:hAnsi="Times New Roman" w:cs="Times New Roman"/>
        </w:rPr>
      </w:pPr>
    </w:p>
    <w:p w14:paraId="07EFE152">
      <w:pPr>
        <w:numPr>
          <w:numId w:val="0"/>
        </w:numPr>
        <w:ind w:leftChars="0"/>
        <w:rPr>
          <w:rFonts w:hint="default" w:ascii="Times New Roman" w:hAnsi="Times New Roman" w:cs="Times New Roman"/>
        </w:rPr>
      </w:pPr>
    </w:p>
    <w:p w14:paraId="1F2D231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/>
        </w:rPr>
        <w:t>Figure 6:  Feature Impacting readmission</w:t>
      </w:r>
    </w:p>
    <w:p w14:paraId="26688EFC">
      <w:pPr>
        <w:numPr>
          <w:numId w:val="0"/>
        </w:numPr>
        <w:ind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877560" cy="3688080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756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4DE2B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Federated Learning Experimental Setup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5341"/>
        <w:gridCol w:w="5341"/>
      </w:tblGrid>
      <w:tr w14:paraId="31C57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341" w:type="dxa"/>
            <w:shd w:val="clear" w:color="auto" w:fill="E7E6E6" w:themeFill="background2"/>
          </w:tcPr>
          <w:p w14:paraId="2E5454D6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Parameter</w:t>
            </w:r>
          </w:p>
        </w:tc>
        <w:tc>
          <w:tcPr>
            <w:tcW w:w="5341" w:type="dxa"/>
            <w:shd w:val="clear" w:color="auto" w:fill="E7E6E6" w:themeFill="background2"/>
          </w:tcPr>
          <w:p w14:paraId="0ADB6862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Value</w:t>
            </w:r>
          </w:p>
        </w:tc>
      </w:tr>
      <w:tr w14:paraId="15592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341" w:type="dxa"/>
          </w:tcPr>
          <w:p w14:paraId="17504FD8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Number of Clients</w:t>
            </w:r>
          </w:p>
        </w:tc>
        <w:tc>
          <w:tcPr>
            <w:tcW w:w="5341" w:type="dxa"/>
          </w:tcPr>
          <w:p w14:paraId="4ED78126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3</w:t>
            </w:r>
          </w:p>
        </w:tc>
      </w:tr>
      <w:tr w14:paraId="0AA97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341" w:type="dxa"/>
          </w:tcPr>
          <w:p w14:paraId="72D9B5B7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Model Type</w:t>
            </w:r>
          </w:p>
        </w:tc>
        <w:tc>
          <w:tcPr>
            <w:tcW w:w="5341" w:type="dxa"/>
          </w:tcPr>
          <w:p w14:paraId="2D7488E1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XGBoost</w:t>
            </w:r>
          </w:p>
        </w:tc>
      </w:tr>
      <w:tr w14:paraId="3C361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341" w:type="dxa"/>
          </w:tcPr>
          <w:p w14:paraId="10886D39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Aggregation Method</w:t>
            </w:r>
          </w:p>
        </w:tc>
        <w:tc>
          <w:tcPr>
            <w:tcW w:w="5341" w:type="dxa"/>
          </w:tcPr>
          <w:p w14:paraId="66AD32FD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Federated Averaging</w:t>
            </w:r>
          </w:p>
        </w:tc>
      </w:tr>
      <w:tr w14:paraId="2F024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341" w:type="dxa"/>
          </w:tcPr>
          <w:p w14:paraId="37F2B317">
            <w:pPr>
              <w:numPr>
                <w:numId w:val="0"/>
              </w:numPr>
              <w:outlineLvl w:val="9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Number of Rounds</w:t>
            </w:r>
          </w:p>
        </w:tc>
        <w:tc>
          <w:tcPr>
            <w:tcW w:w="5341" w:type="dxa"/>
          </w:tcPr>
          <w:p w14:paraId="2932AADA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2</w:t>
            </w:r>
          </w:p>
        </w:tc>
      </w:tr>
      <w:tr w14:paraId="5DA2F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341" w:type="dxa"/>
          </w:tcPr>
          <w:p w14:paraId="0C20B9D4">
            <w:pPr>
              <w:numPr>
                <w:numId w:val="0"/>
              </w:numPr>
              <w:outlineLvl w:val="9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Privacy Mechanism</w:t>
            </w:r>
          </w:p>
        </w:tc>
        <w:tc>
          <w:tcPr>
            <w:tcW w:w="5341" w:type="dxa"/>
          </w:tcPr>
          <w:p w14:paraId="68636A24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Model-only sharing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Weights</w:t>
            </w:r>
          </w:p>
        </w:tc>
      </w:tr>
    </w:tbl>
    <w:p w14:paraId="100D1F56">
      <w:pPr>
        <w:numPr>
          <w:numId w:val="0"/>
        </w:numPr>
        <w:ind w:leftChars="0"/>
        <w:rPr>
          <w:rFonts w:hint="default" w:ascii="Times New Roman" w:hAnsi="Times New Roman" w:cs="Times New Roman"/>
          <w:lang w:val="en-US"/>
        </w:rPr>
      </w:pPr>
    </w:p>
    <w:p w14:paraId="01580BA4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3DD5D016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Model Performance Evaluation (CORE SECTION)</w:t>
      </w:r>
    </w:p>
    <w:p w14:paraId="5245BD55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Figure 8: Confusion Matrix – Local Models</w:t>
      </w:r>
    </w:p>
    <w:p w14:paraId="63F798B7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Hospital-A</w:t>
      </w:r>
    </w:p>
    <w:p w14:paraId="0BABFE61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658110" cy="2118360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rcRect t="6371"/>
                    <a:stretch>
                      <a:fillRect/>
                    </a:stretch>
                  </pic:blipFill>
                  <pic:spPr>
                    <a:xfrm>
                      <a:off x="0" y="0"/>
                      <a:ext cx="265811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90E80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Hospital-B</w:t>
      </w:r>
    </w:p>
    <w:p w14:paraId="67000759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715260" cy="2230755"/>
            <wp:effectExtent l="0" t="0" r="1270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5260" cy="223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0AC1575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Hospital-C</w:t>
      </w:r>
    </w:p>
    <w:p w14:paraId="41EF5211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647AD21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1BB9622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542540" cy="2088515"/>
            <wp:effectExtent l="0" t="0" r="2540" b="146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2540" cy="208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A6D43">
      <w:pPr>
        <w:numPr>
          <w:numId w:val="0"/>
        </w:numPr>
        <w:ind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Figure 9: Confusion Matrix – Global Federated Model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443095" cy="3888105"/>
            <wp:effectExtent l="0" t="0" r="6985" b="133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3095" cy="388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FE3B2">
      <w:pPr>
        <w:numPr>
          <w:numId w:val="0"/>
        </w:numPr>
        <w:ind w:leftChars="0"/>
        <w:rPr>
          <w:rFonts w:hint="default" w:ascii="Times New Roman" w:hAnsi="Times New Roman" w:cs="Times New Roman"/>
        </w:rPr>
      </w:pPr>
    </w:p>
    <w:p w14:paraId="3C00BF10">
      <w:pPr>
        <w:numPr>
          <w:numId w:val="0"/>
        </w:numPr>
        <w:ind w:leftChars="0" w:firstLine="240" w:firstLineChars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Figure 10: Accuracy Comparison Plot</w:t>
      </w:r>
    </w:p>
    <w:p w14:paraId="4AD14592">
      <w:pPr>
        <w:numPr>
          <w:numId w:val="0"/>
        </w:numPr>
        <w:ind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29910" cy="3491865"/>
            <wp:effectExtent l="0" t="0" r="8890" b="133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9910" cy="349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17474">
      <w:pPr>
        <w:numPr>
          <w:numId w:val="0"/>
        </w:numPr>
        <w:ind w:leftChars="0"/>
        <w:rPr>
          <w:rFonts w:hint="default" w:ascii="Times New Roman" w:hAnsi="Times New Roman" w:cs="Times New Roman"/>
        </w:rPr>
      </w:pPr>
    </w:p>
    <w:p w14:paraId="79571B3E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Privacy &amp; Security Analysis (VERY IMPORTANT FOR TITLE)</w:t>
      </w:r>
    </w:p>
    <w:p w14:paraId="6AA4CEFF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</w:p>
    <w:p w14:paraId="3D5B6EE8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Figure 12: Centralized vs Federated Learning Comparison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560"/>
        <w:gridCol w:w="3561"/>
        <w:gridCol w:w="3561"/>
      </w:tblGrid>
      <w:tr w14:paraId="1A149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60" w:type="dxa"/>
          </w:tcPr>
          <w:p w14:paraId="6A29E9D0">
            <w:pPr>
              <w:numPr>
                <w:numId w:val="0"/>
              </w:numP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Aspect</w:t>
            </w:r>
          </w:p>
        </w:tc>
        <w:tc>
          <w:tcPr>
            <w:tcW w:w="3561" w:type="dxa"/>
          </w:tcPr>
          <w:p w14:paraId="7A53B760">
            <w:pPr>
              <w:numPr>
                <w:numId w:val="0"/>
              </w:numP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Centralized</w:t>
            </w:r>
          </w:p>
        </w:tc>
        <w:tc>
          <w:tcPr>
            <w:tcW w:w="3561" w:type="dxa"/>
          </w:tcPr>
          <w:p w14:paraId="08A9C2CE">
            <w:pPr>
              <w:numPr>
                <w:numId w:val="0"/>
              </w:numP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Federated</w:t>
            </w:r>
          </w:p>
        </w:tc>
      </w:tr>
      <w:tr w14:paraId="77F1C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60" w:type="dxa"/>
          </w:tcPr>
          <w:p w14:paraId="3FABADE6">
            <w:pPr>
              <w:numPr>
                <w:numId w:val="0"/>
              </w:numP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Data Sharing</w:t>
            </w:r>
          </w:p>
        </w:tc>
        <w:tc>
          <w:tcPr>
            <w:tcW w:w="3561" w:type="dxa"/>
          </w:tcPr>
          <w:p w14:paraId="0F3F2F76">
            <w:pPr>
              <w:numPr>
                <w:numId w:val="0"/>
              </w:numP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Yes</w:t>
            </w:r>
          </w:p>
        </w:tc>
        <w:tc>
          <w:tcPr>
            <w:tcW w:w="3561" w:type="dxa"/>
          </w:tcPr>
          <w:p w14:paraId="3F035A07">
            <w:pPr>
              <w:numPr>
                <w:numId w:val="0"/>
              </w:numP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No</w:t>
            </w:r>
          </w:p>
        </w:tc>
      </w:tr>
      <w:tr w14:paraId="0EA11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60" w:type="dxa"/>
          </w:tcPr>
          <w:p w14:paraId="77FF738C">
            <w:pPr>
              <w:numPr>
                <w:numId w:val="0"/>
              </w:numP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Privacy Risk</w:t>
            </w:r>
          </w:p>
        </w:tc>
        <w:tc>
          <w:tcPr>
            <w:tcW w:w="3561" w:type="dxa"/>
          </w:tcPr>
          <w:p w14:paraId="49F582D0">
            <w:pPr>
              <w:numPr>
                <w:numId w:val="0"/>
              </w:numP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High</w:t>
            </w:r>
          </w:p>
        </w:tc>
        <w:tc>
          <w:tcPr>
            <w:tcW w:w="3561" w:type="dxa"/>
          </w:tcPr>
          <w:p w14:paraId="7A0D6CAC">
            <w:pPr>
              <w:numPr>
                <w:numId w:val="0"/>
              </w:numP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Low</w:t>
            </w:r>
          </w:p>
        </w:tc>
      </w:tr>
      <w:tr w14:paraId="61929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60" w:type="dxa"/>
          </w:tcPr>
          <w:p w14:paraId="664C2883">
            <w:pPr>
              <w:numPr>
                <w:numId w:val="0"/>
              </w:numP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Regulatory Compliance</w:t>
            </w:r>
          </w:p>
        </w:tc>
        <w:tc>
          <w:tcPr>
            <w:tcW w:w="3561" w:type="dxa"/>
          </w:tcPr>
          <w:p w14:paraId="50142CAD">
            <w:pPr>
              <w:numPr>
                <w:numId w:val="0"/>
              </w:numP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Difficult</w:t>
            </w:r>
          </w:p>
        </w:tc>
        <w:tc>
          <w:tcPr>
            <w:tcW w:w="3561" w:type="dxa"/>
          </w:tcPr>
          <w:p w14:paraId="54853923">
            <w:pPr>
              <w:numPr>
                <w:numId w:val="0"/>
              </w:numP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Easy</w:t>
            </w:r>
          </w:p>
        </w:tc>
      </w:tr>
      <w:tr w14:paraId="42846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60" w:type="dxa"/>
          </w:tcPr>
          <w:p w14:paraId="524D2790">
            <w:pPr>
              <w:numPr>
                <w:numId w:val="0"/>
              </w:numP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Scalability</w:t>
            </w:r>
          </w:p>
        </w:tc>
        <w:tc>
          <w:tcPr>
            <w:tcW w:w="3561" w:type="dxa"/>
          </w:tcPr>
          <w:p w14:paraId="17FFF71B">
            <w:pPr>
              <w:numPr>
                <w:numId w:val="0"/>
              </w:numP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Limited</w:t>
            </w:r>
          </w:p>
        </w:tc>
        <w:tc>
          <w:tcPr>
            <w:tcW w:w="3561" w:type="dxa"/>
          </w:tcPr>
          <w:p w14:paraId="37A2C1FB">
            <w:pPr>
              <w:numPr>
                <w:numId w:val="0"/>
              </w:numP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High</w:t>
            </w:r>
          </w:p>
        </w:tc>
      </w:tr>
    </w:tbl>
    <w:p w14:paraId="1A9BDFC3">
      <w:pPr>
        <w:pStyle w:val="2"/>
        <w:keepNext w:val="0"/>
        <w:keepLines w:val="0"/>
        <w:widowControl/>
        <w:suppressLineNumbers w:val="0"/>
      </w:pPr>
      <w:r>
        <w:t>Figure 13: Privacy Preservation Illustration</w:t>
      </w:r>
    </w:p>
    <w:p w14:paraId="7E965B04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  <w:r>
        <w:drawing>
          <wp:inline distT="0" distB="0" distL="114300" distR="114300">
            <wp:extent cx="5151120" cy="51511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515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995FA9"/>
    <w:multiLevelType w:val="singleLevel"/>
    <w:tmpl w:val="EE995FA9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246A40"/>
    <w:rsid w:val="06D867B3"/>
    <w:rsid w:val="198C7285"/>
    <w:rsid w:val="1E880EA7"/>
    <w:rsid w:val="1F777F18"/>
    <w:rsid w:val="23FA7D8F"/>
    <w:rsid w:val="29255A35"/>
    <w:rsid w:val="2AD92954"/>
    <w:rsid w:val="2F3378FF"/>
    <w:rsid w:val="317177AC"/>
    <w:rsid w:val="31A32F06"/>
    <w:rsid w:val="33DC6471"/>
    <w:rsid w:val="363A1903"/>
    <w:rsid w:val="38393CBE"/>
    <w:rsid w:val="3ED93269"/>
    <w:rsid w:val="41A25579"/>
    <w:rsid w:val="423210C7"/>
    <w:rsid w:val="446708C5"/>
    <w:rsid w:val="501555F2"/>
    <w:rsid w:val="51B65454"/>
    <w:rsid w:val="55784979"/>
    <w:rsid w:val="55A72A15"/>
    <w:rsid w:val="565E4742"/>
    <w:rsid w:val="59AC10B0"/>
    <w:rsid w:val="5A5438D2"/>
    <w:rsid w:val="5C56724F"/>
    <w:rsid w:val="602F2164"/>
    <w:rsid w:val="60A71781"/>
    <w:rsid w:val="69246A40"/>
    <w:rsid w:val="69BE3F8A"/>
    <w:rsid w:val="6C34155C"/>
    <w:rsid w:val="6F644F7E"/>
    <w:rsid w:val="76292C01"/>
    <w:rsid w:val="782E23C1"/>
    <w:rsid w:val="78495E70"/>
    <w:rsid w:val="79624D62"/>
    <w:rsid w:val="7D705B5B"/>
    <w:rsid w:val="7DB87288"/>
    <w:rsid w:val="7F470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  <w:style w:type="table" w:styleId="8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2026-01-30T06:45:00Z</dcterms:created>
  <dc:creator>Nayan Jikar</dc:creator>
  <cp:lastModifiedBy>Nayan Jikar</cp:lastModifiedBy>
  <dcterms:modified xsi:type="dcterms:W3CDTF">2026-01-30T09:20:00Z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FA66E73163CF427D8A350637ABDFF8D0_11</vt:lpwstr>
  </property>
</Properties>
</file>