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Court Case Flow (Department Level)</w:t>
      </w: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A. Writ Petition (WP(C)) Process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 Filing of Writ Petition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 Writ Petition (WP(C)) is filed before the Hon'ble Court by the petitioner(s).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2. Service of Court Notice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petitioner serves a copy of the writ petition and the Court's notice upon the Standing Counsel representing the respondent(s), or directly upon the respondent Department, if so directed by the Court.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3. Receipt of Case Records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Standing Counsel forwards the writ petition, Court notice, and connected documents to the concerned respondent Department for necessary action.</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4. Preparation of Departmental Response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respondent Department examines the matter and prepares its response. Depending upon the nature of the case, either of the following procedures may be adopted:</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 xml:space="preserve">Option </w:t>
      </w:r>
      <w:r>
        <w:rPr>
          <w:rFonts w:ascii="Times New Roman" w:cs="Times New Roman" w:eastAsia="Times New Roman" w:hAnsi="Times New Roman"/>
          <w:b/>
          <w:bCs/>
          <w:sz w:val="24"/>
          <w:szCs w:val="24"/>
        </w:rPr>
        <w:t>A</w:t>
      </w:r>
      <w:r>
        <w:rPr>
          <w:rFonts w:ascii="Times New Roman" w:cs="Times New Roman" w:eastAsia="Times New Roman" w:hAnsi="Times New Roman"/>
          <w:b/>
          <w:bCs/>
          <w:sz w:val="24"/>
          <w:szCs w:val="24"/>
        </w:rPr>
        <w:t xml:space="preserve"> – Department-led Response</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Department calls for reports, comments, and relevant records from the Directorate and/or District Offices.</w:t>
      </w:r>
    </w:p>
    <w:p>
      <w:pPr>
        <w:pStyle w:val="style0"/>
        <w:numPr>
          <w:ilvl w:val="0"/>
          <w:numId w:val="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receipt of the required information, the Department examines the matter, finalizes its stand, and forwards instructions along with relevant records to the Standing Counsel for preparation and filing of the affidavit.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Option B – Directorate/District-led Response</w:t>
      </w:r>
    </w:p>
    <w:p>
      <w:pPr>
        <w:pStyle w:val="style0"/>
        <w:numPr>
          <w:ilvl w:val="0"/>
          <w:numId w:val="5"/>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Where the subject matter falls primarily within the jurisdiction of the Directorate or District Office, the Department may authorize the concerned authority to submit instructions directly to the Standing Counsel and file the affidavit based on the facts of the case, while keeping the Department informed.</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5. Filing of Affidavit</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Standing Counsel prepares and files the affidavit before the Hon'ble Court on behalf of the respondent(s) within the time prescribed by the Court.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6. Communication of Court Proceedings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each hearing,</w:t>
      </w:r>
      <w:r>
        <w:rPr>
          <w:rFonts w:cs="Times New Roman" w:eastAsia="Times New Roman" w:hAnsi="Times New Roman"/>
          <w:sz w:val="24"/>
          <w:szCs w:val="24"/>
          <w:lang w:val="en-US"/>
        </w:rPr>
        <w:t xml:space="preserve"> either </w:t>
      </w:r>
      <w:r>
        <w:rPr>
          <w:rFonts w:ascii="Times New Roman" w:cs="Times New Roman" w:eastAsia="Times New Roman" w:hAnsi="Times New Roman"/>
          <w:sz w:val="24"/>
          <w:szCs w:val="24"/>
        </w:rPr>
        <w:t xml:space="preserve"> the Standing Counsel communicates the outcome and the directions of the Court to the respondent Department</w:t>
      </w:r>
      <w:r>
        <w:rPr>
          <w:rFonts w:cs="Times New Roman" w:eastAsia="Times New Roman" w:hAnsi="Times New Roman"/>
          <w:sz w:val="24"/>
          <w:szCs w:val="24"/>
          <w:lang w:val="en-US"/>
        </w:rPr>
        <w:t xml:space="preserve"> and t</w:t>
      </w:r>
      <w:r>
        <w:rPr>
          <w:rFonts w:ascii="Times New Roman" w:cs="Times New Roman" w:eastAsia="Times New Roman" w:hAnsi="Times New Roman"/>
          <w:sz w:val="24"/>
          <w:szCs w:val="24"/>
        </w:rPr>
        <w:t>he Department may</w:t>
      </w:r>
      <w:r>
        <w:rPr>
          <w:rFonts w:cs="Times New Roman" w:eastAsia="Times New Roman" w:hAnsi="Times New Roman"/>
          <w:sz w:val="24"/>
          <w:szCs w:val="24"/>
          <w:lang w:val="en-US"/>
        </w:rPr>
        <w:t xml:space="preserve"> as far as pos</w:t>
      </w:r>
      <w:r>
        <w:rPr>
          <w:rFonts w:ascii="Times New Roman" w:cs="Times New Roman" w:eastAsia="Times New Roman" w:hAnsi="Times New Roman"/>
          <w:sz w:val="24"/>
          <w:szCs w:val="24"/>
        </w:rPr>
        <w:t>sible also monitor</w:t>
      </w:r>
      <w:r>
        <w:rPr>
          <w:rFonts w:cs="Times New Roman" w:eastAsia="Times New Roman" w:hAnsi="Times New Roman"/>
          <w:sz w:val="24"/>
          <w:szCs w:val="24"/>
          <w:lang w:val="en-US"/>
        </w:rPr>
        <w:t xml:space="preserve">s </w:t>
      </w:r>
      <w:r>
        <w:rPr>
          <w:rFonts w:ascii="Times New Roman" w:cs="Times New Roman" w:eastAsia="Times New Roman" w:hAnsi="Times New Roman"/>
          <w:sz w:val="24"/>
          <w:szCs w:val="24"/>
        </w:rPr>
        <w:t>the case status through the Court's official website</w:t>
      </w:r>
      <w:r>
        <w:rPr>
          <w:rFonts w:cs="Times New Roman" w:eastAsia="Times New Roman" w:hAnsi="Times New Roman"/>
          <w:sz w:val="24"/>
          <w:szCs w:val="24"/>
          <w:lang w:val="en-US"/>
        </w:rPr>
        <w:t xml:space="preserve"> to keep abreast with the directions of the Hon'ble Court.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7. Compliance with Further Directions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Where further affidavits, clarifications, or additional submissions are required by the Court:</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Department collects the necessary information from Directorate/district.</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required, views/comments of referral Departments (such as Finance, Personnel, Law/Judicial, etc.) are obtained.</w:t>
      </w:r>
    </w:p>
    <w:p>
      <w:pPr>
        <w:pStyle w:val="style0"/>
        <w:numPr>
          <w:ilvl w:val="0"/>
          <w:numId w:val="6"/>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Necessary instructions are furnished to the Standing Counsel for filing before the Court.</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8. Continuation of Proceedings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above process continues until the Hon'ble Court pronounces the final judgment/order.</w:t>
      </w:r>
    </w:p>
    <w:p>
      <w:pPr>
        <w:pStyle w:val="style0"/>
        <w:spacing w:after="0" w:lineRule="auto" w:line="240"/>
        <w:rPr>
          <w:rFonts w:ascii="Times New Roman" w:cs="Times New Roman" w:eastAsia="Times New Roman" w:hAnsi="Times New Roman"/>
          <w:sz w:val="24"/>
          <w:szCs w:val="24"/>
        </w:rPr>
      </w:pPr>
    </w:p>
    <w:p>
      <w:pPr>
        <w:pStyle w:val="style0"/>
        <w:spacing w:before="100" w:beforeAutospacing="true" w:after="100" w:afterAutospacing="true" w:lineRule="auto" w:line="240"/>
        <w:outlineLvl w:val="1"/>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B. Action </w:t>
      </w:r>
      <w:r>
        <w:rPr>
          <w:rFonts w:ascii="Times New Roman" w:cs="Times New Roman" w:eastAsia="Times New Roman" w:hAnsi="Times New Roman"/>
          <w:b/>
          <w:bCs/>
          <w:sz w:val="36"/>
          <w:szCs w:val="36"/>
        </w:rPr>
        <w:t>After</w:t>
      </w:r>
      <w:r>
        <w:rPr>
          <w:rFonts w:ascii="Times New Roman" w:cs="Times New Roman" w:eastAsia="Times New Roman" w:hAnsi="Times New Roman"/>
          <w:b/>
          <w:bCs/>
          <w:sz w:val="36"/>
          <w:szCs w:val="36"/>
        </w:rPr>
        <w:t xml:space="preserve"> Final Judgment/Order</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Upon receipt of the final judgment/order, the Department examines the directions issued by the Court and proceeds as follows: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 xml:space="preserve">Option </w:t>
      </w:r>
      <w:r>
        <w:rPr>
          <w:rFonts w:ascii="Times New Roman" w:cs="Times New Roman" w:eastAsia="Times New Roman" w:hAnsi="Times New Roman"/>
          <w:b/>
          <w:bCs/>
          <w:sz w:val="27"/>
          <w:szCs w:val="27"/>
        </w:rPr>
        <w:t>A</w:t>
      </w:r>
      <w:r>
        <w:rPr>
          <w:rFonts w:ascii="Times New Roman" w:cs="Times New Roman" w:eastAsia="Times New Roman" w:hAnsi="Times New Roman"/>
          <w:b/>
          <w:bCs/>
          <w:sz w:val="27"/>
          <w:szCs w:val="27"/>
        </w:rPr>
        <w:t xml:space="preserve"> – Compliance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the order is acceptable and capable of implementation:</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Department initiates action for compliance </w:t>
      </w:r>
      <w:r>
        <w:rPr>
          <w:rFonts w:cs="Times New Roman" w:eastAsia="Times New Roman" w:hAnsi="Times New Roman"/>
          <w:sz w:val="24"/>
          <w:szCs w:val="24"/>
          <w:lang w:val="en-US"/>
        </w:rPr>
        <w:t xml:space="preserve">as far as possible </w:t>
      </w:r>
      <w:r>
        <w:rPr>
          <w:rFonts w:ascii="Times New Roman" w:cs="Times New Roman" w:eastAsia="Times New Roman" w:hAnsi="Times New Roman"/>
          <w:sz w:val="24"/>
          <w:szCs w:val="24"/>
        </w:rPr>
        <w:t>within the timeline stipulated by the Court.</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Necessary directions may be issued to the Directorate and/or District Offices for implementation.</w:t>
      </w:r>
    </w:p>
    <w:p>
      <w:pPr>
        <w:pStyle w:val="style0"/>
        <w:numPr>
          <w:ilvl w:val="0"/>
          <w:numId w:val="7"/>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After compliance, the Standing Counsel is informed for apprising the Court, wherever necessary.</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Option B – Appeal/Review</w:t>
      </w:r>
    </w:p>
    <w:p>
      <w:pPr>
        <w:pStyle w:val="style0"/>
        <w:spacing w:before="100" w:beforeAutospacing="true" w:after="100" w:afterAutospacing="true"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the Department is of the view that the judgment/order requires challenge:</w:t>
      </w:r>
    </w:p>
    <w:p>
      <w:pPr>
        <w:pStyle w:val="style0"/>
        <w:numPr>
          <w:ilvl w:val="0"/>
          <w:numId w:val="8"/>
        </w:numPr>
        <w:spacing w:before="100" w:beforeAutospacing="true" w:after="100" w:afterAutospacing="true"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Department examines the legal and administrative implications within the Department and/or </w:t>
      </w:r>
      <w:r>
        <w:rPr>
          <w:rFonts w:ascii="Times New Roman" w:cs="Times New Roman" w:eastAsia="Times New Roman" w:hAnsi="Times New Roman"/>
          <w:sz w:val="24"/>
          <w:szCs w:val="24"/>
          <w:lang w:val="en-US"/>
        </w:rPr>
        <w:t xml:space="preserve">with views </w:t>
      </w:r>
      <w:r>
        <w:rPr>
          <w:rFonts w:ascii="Times New Roman" w:cs="Times New Roman" w:eastAsia="Times New Roman" w:hAnsi="Times New Roman"/>
          <w:sz w:val="24"/>
          <w:szCs w:val="24"/>
        </w:rPr>
        <w:t>from the Ld. Advocate General/Standing Counsel</w:t>
      </w:r>
    </w:p>
    <w:p>
      <w:pPr>
        <w:pStyle w:val="style0"/>
        <w:numPr>
          <w:ilvl w:val="0"/>
          <w:numId w:val="8"/>
        </w:numPr>
        <w:spacing w:before="100" w:beforeAutospacing="true" w:after="100" w:afterAutospacing="true"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Where necessary, the views of referral Departments (Finance, Personnel, Law/Judicial, etc.) are obtained.</w:t>
      </w:r>
    </w:p>
    <w:p>
      <w:pPr>
        <w:pStyle w:val="style0"/>
        <w:numPr>
          <w:ilvl w:val="0"/>
          <w:numId w:val="8"/>
        </w:numPr>
        <w:spacing w:before="100" w:beforeAutospacing="true" w:after="100" w:afterAutospacing="true"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Department instructs the Standing Counsel to file an Appeal, Review Petition, or other appropriate legal proceeding.</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lang w:val="en-US"/>
        </w:rPr>
        <w:t xml:space="preserve">STEP </w:t>
      </w:r>
      <w:r>
        <w:rPr>
          <w:rFonts w:ascii="Times New Roman" w:cs="Times New Roman" w:eastAsia="Times New Roman" w:hAnsi="Times New Roman"/>
          <w:b/>
          <w:bCs/>
          <w:sz w:val="27"/>
          <w:szCs w:val="27"/>
        </w:rPr>
        <w:t xml:space="preserve"> </w:t>
      </w:r>
      <w:r>
        <w:rPr>
          <w:rFonts w:ascii="Times New Roman" w:cs="Times New Roman" w:eastAsia="Times New Roman" w:hAnsi="Times New Roman"/>
          <w:b/>
          <w:bCs/>
          <w:sz w:val="27"/>
          <w:szCs w:val="27"/>
          <w:lang w:val="en-US"/>
        </w:rPr>
        <w:t>1</w:t>
      </w:r>
      <w:r>
        <w:rPr>
          <w:rFonts w:ascii="Times New Roman" w:cs="Times New Roman" w:eastAsia="Times New Roman" w:hAnsi="Times New Roman"/>
          <w:b/>
          <w:bCs/>
          <w:sz w:val="27"/>
          <w:szCs w:val="27"/>
        </w:rPr>
        <w:t>– Preparation of Appeal/Review</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Standing Counsel prepares the memorandum of appeal/review, affidavit, and other pleadings, forwards the affidavit to the competent authority for signature, and, upon receipt of the signed documents and instructions, </w:t>
      </w:r>
      <w:r>
        <w:rPr>
          <w:rFonts w:ascii="Times New Roman" w:cs="Times New Roman" w:eastAsia="Times New Roman" w:hAnsi="Times New Roman"/>
          <w:sz w:val="24"/>
          <w:szCs w:val="24"/>
        </w:rPr>
        <w:t>files</w:t>
      </w:r>
      <w:r>
        <w:rPr>
          <w:rFonts w:ascii="Times New Roman" w:cs="Times New Roman" w:eastAsia="Times New Roman" w:hAnsi="Times New Roman"/>
          <w:sz w:val="24"/>
          <w:szCs w:val="24"/>
        </w:rPr>
        <w:t xml:space="preserve"> the case before the appropriate Court.</w:t>
      </w:r>
    </w:p>
    <w:p>
      <w:pPr>
        <w:pStyle w:val="style0"/>
        <w:spacing w:before="100" w:beforeAutospacing="true" w:after="100" w:afterAutospacing="true" w:lineRule="auto" w:line="240"/>
        <w:outlineLvl w:val="2"/>
        <w:rPr/>
      </w:pPr>
      <w:r>
        <w:rPr>
          <w:rFonts w:ascii="Times New Roman" w:cs="Times New Roman" w:eastAsia="Times New Roman" w:hAnsi="Times New Roman" w:hint="default"/>
          <w:b/>
          <w:bCs/>
          <w:sz w:val="27"/>
          <w:szCs w:val="27"/>
          <w:lang w:val="en-US"/>
        </w:rPr>
        <w:t>STEP 2</w:t>
      </w:r>
      <w:r>
        <w:rPr>
          <w:rFonts w:ascii="Times New Roman" w:cs="Times New Roman" w:eastAsia="Times New Roman" w:hAnsi="Times New Roman" w:hint="default"/>
          <w:b/>
          <w:bCs/>
          <w:sz w:val="27"/>
          <w:szCs w:val="27"/>
        </w:rPr>
        <w:t>–</w:t>
      </w:r>
      <w:r>
        <w:rPr>
          <w:rFonts w:ascii="Times New Roman" w:cs="Times New Roman" w:eastAsia="Times New Roman" w:hAnsi="Times New Roman" w:hint="default"/>
          <w:b/>
          <w:bCs/>
          <w:sz w:val="27"/>
          <w:szCs w:val="27"/>
          <w:lang w:val="en-US"/>
        </w:rPr>
        <w:t xml:space="preserve"> Seeking of Status /Outcome of the Appeal/Review</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The Standing Counsel communicates the outcome and the directions of the Court to the  Department and the Department may as far as possible also monitors the case status through the Court's official website to keep abreast with the outcome.</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 xml:space="preserve">Option </w:t>
      </w:r>
      <w:r>
        <w:rPr>
          <w:rFonts w:cs="Times New Roman" w:eastAsia="Times New Roman" w:hAnsi="Times New Roman"/>
          <w:b/>
          <w:bCs/>
          <w:sz w:val="27"/>
          <w:szCs w:val="27"/>
          <w:lang w:val="en-US"/>
        </w:rPr>
        <w:t>C</w:t>
      </w:r>
      <w:r>
        <w:rPr>
          <w:rFonts w:ascii="Times New Roman" w:cs="Times New Roman" w:eastAsia="Times New Roman" w:hAnsi="Times New Roman"/>
          <w:b/>
          <w:bCs/>
          <w:sz w:val="27"/>
          <w:szCs w:val="27"/>
        </w:rPr>
        <w:t>– Subsequent Action</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the Appeal/Review is dismissed, the Department shall either:</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comply with the Court's order; or</w:t>
      </w:r>
    </w:p>
    <w:p>
      <w:pPr>
        <w:pStyle w:val="style0"/>
        <w:numPr>
          <w:ilvl w:val="0"/>
          <w:numId w:val="9"/>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pursue</w:t>
      </w:r>
      <w:r>
        <w:rPr>
          <w:rFonts w:ascii="Times New Roman" w:cs="Times New Roman" w:eastAsia="Times New Roman" w:hAnsi="Times New Roman"/>
          <w:sz w:val="24"/>
          <w:szCs w:val="24"/>
        </w:rPr>
        <w:t xml:space="preserve"> further legal remedies before the higher Court, wherever considered appropriate and legally sustainable.</w:t>
      </w:r>
    </w:p>
    <w:p>
      <w:pPr>
        <w:pStyle w:val="style0"/>
        <w:spacing w:after="0" w:lineRule="auto" w:line="240"/>
        <w:rPr>
          <w:rFonts w:ascii="Times New Roman" w:cs="Times New Roman" w:eastAsia="Times New Roman" w:hAnsi="Times New Roman"/>
          <w:sz w:val="24"/>
          <w:szCs w:val="24"/>
        </w:rPr>
      </w:pPr>
    </w:p>
    <w:p>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rPr>
      </w:pPr>
      <w:r>
        <w:rPr>
          <w:rFonts w:ascii="Times New Roman" w:cs="Times New Roman" w:eastAsia="Times New Roman" w:hAnsi="Times New Roman"/>
          <w:b/>
          <w:bCs/>
          <w:kern w:val="36"/>
          <w:sz w:val="48"/>
          <w:szCs w:val="48"/>
        </w:rPr>
        <w:t>C. Contempt Proceedings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9. Initiation of Contempt Proceedings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If the Department fails to comply with the Court's order within the stipulated period, or fails to obtain appropriate relief such as an appeal, review, stay order, or condonation of delay, the petitioner may initiate Contempt Proceedings against the concerned defaulting respondent(s).</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Contempt proceedings are generally instituted against name the competent officer(s) responsible for compliance of the Court's order.</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10. Receipt of Contempt Notice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Upon receipt of the Contempt Notice:</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concerned respondent submits the signed </w:t>
      </w:r>
      <w:r>
        <w:rPr>
          <w:rFonts w:ascii="Times New Roman" w:cs="Times New Roman" w:eastAsia="Times New Roman" w:hAnsi="Times New Roman"/>
          <w:sz w:val="24"/>
          <w:szCs w:val="24"/>
        </w:rPr>
        <w:t>Vakalatnama</w:t>
      </w:r>
      <w:r>
        <w:rPr>
          <w:rFonts w:ascii="Times New Roman" w:cs="Times New Roman" w:eastAsia="Times New Roman" w:hAnsi="Times New Roman"/>
          <w:sz w:val="24"/>
          <w:szCs w:val="24"/>
        </w:rPr>
        <w:t xml:space="preserve"> and other required documents in Assistance with his office to the Standing Counsel.</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Standing Counsel enters appearance before the Court.</w:t>
      </w:r>
    </w:p>
    <w:p>
      <w:pPr>
        <w:pStyle w:val="style0"/>
        <w:numPr>
          <w:ilvl w:val="0"/>
          <w:numId w:val="10"/>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 matter thereafter follows a hearing process similar to that of the original writ petition, including filing of affidavits, explanations, and compliance reports.</w:t>
      </w:r>
    </w:p>
    <w:p>
      <w:pPr>
        <w:pStyle w:val="style0"/>
        <w:spacing w:before="100" w:beforeAutospacing="true" w:after="100" w:afterAutospacing="true" w:lineRule="auto" w:line="240"/>
        <w:outlineLvl w:val="2"/>
        <w:rPr>
          <w:rFonts w:ascii="Times New Roman" w:cs="Times New Roman" w:eastAsia="Times New Roman" w:hAnsi="Times New Roman"/>
          <w:b/>
          <w:bCs/>
          <w:sz w:val="27"/>
          <w:szCs w:val="27"/>
        </w:rPr>
      </w:pPr>
      <w:r>
        <w:rPr>
          <w:rFonts w:ascii="Times New Roman" w:cs="Times New Roman" w:eastAsia="Times New Roman" w:hAnsi="Times New Roman"/>
          <w:b/>
          <w:bCs/>
          <w:sz w:val="27"/>
          <w:szCs w:val="27"/>
        </w:rPr>
        <w:t>11. Disposal of Contempt Case</w:t>
      </w:r>
    </w:p>
    <w:p>
      <w:pPr>
        <w:pStyle w:val="style0"/>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Based on the orders of the Hon'ble Court, the Department shall:</w:t>
      </w:r>
    </w:p>
    <w:p>
      <w:pPr>
        <w:pStyle w:val="style0"/>
        <w:numPr>
          <w:ilvl w:val="0"/>
          <w:numId w:val="11"/>
        </w:numPr>
        <w:spacing w:before="100" w:beforeAutospacing="true" w:after="100" w:afterAutospacing="true"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comply with the Court's directions within the stipulated period; or</w:t>
      </w:r>
    </w:p>
    <w:p>
      <w:pPr>
        <w:pStyle w:val="style0"/>
        <w:numPr>
          <w:ilvl w:val="0"/>
          <w:numId w:val="11"/>
        </w:numPr>
        <w:spacing w:before="100" w:beforeAutospacing="true" w:after="100" w:afterAutospacing="true" w:lineRule="auto" w:line="2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where</w:t>
      </w:r>
      <w:r>
        <w:rPr>
          <w:rFonts w:ascii="Times New Roman" w:cs="Times New Roman" w:eastAsia="Times New Roman" w:hAnsi="Times New Roman"/>
          <w:sz w:val="24"/>
          <w:szCs w:val="24"/>
        </w:rPr>
        <w:t xml:space="preserve"> legally permissible and administratively approved, appropriate remedies </w:t>
      </w:r>
      <w:r>
        <w:rPr>
          <w:rFonts w:ascii="Times New Roman" w:cs="Times New Roman" w:eastAsia="Times New Roman" w:hAnsi="Times New Roman"/>
          <w:sz w:val="24"/>
          <w:szCs w:val="24"/>
          <w:lang w:val="en-US"/>
        </w:rPr>
        <w:t xml:space="preserve">are sought </w:t>
      </w:r>
      <w:r>
        <w:rPr>
          <w:rFonts w:ascii="Times New Roman" w:cs="Times New Roman" w:eastAsia="Times New Roman" w:hAnsi="Times New Roman"/>
          <w:sz w:val="24"/>
          <w:szCs w:val="24"/>
        </w:rPr>
        <w:t>before the higher Court after obtaining necessary approvals and the views of the concerned referral Departments</w:t>
      </w:r>
      <w:r>
        <w:rPr>
          <w:rFonts w:ascii="Times New Roman" w:cs="Times New Roman" w:eastAsia="Times New Roman" w:hAnsi="Times New Roman"/>
          <w:sz w:val="24"/>
          <w:szCs w:val="24"/>
          <w:lang w:val="en-US"/>
        </w:rPr>
        <w:t xml:space="preserve"> and legal opinion from Ld. Advocate General or Standing Counsels are also sought as and where deemed necessary</w:t>
      </w:r>
    </w:p>
    <w:p>
      <w:pPr>
        <w:pStyle w:val="style0"/>
        <w:rPr>
          <w:b/>
          <w:bCs/>
          <w:sz w:val="24"/>
          <w:lang w:val="en-IN"/>
        </w:rPr>
      </w:pPr>
    </w:p>
    <w:p>
      <w:pPr>
        <w:pStyle w:val="style0"/>
        <w:rPr>
          <w:b/>
          <w:bCs/>
          <w:sz w:val="24"/>
          <w:lang w:val="en-US"/>
        </w:rPr>
      </w:pPr>
      <w:r>
        <w:rPr>
          <w:b/>
          <w:bCs/>
          <w:sz w:val="24"/>
          <w:lang w:val="en-US"/>
        </w:rPr>
        <w:t>Code for search in causelist</w:t>
      </w:r>
    </w:p>
    <w:p>
      <w:pPr>
        <w:pStyle w:val="style0"/>
        <w:rPr>
          <w:b/>
          <w:bCs/>
          <w:sz w:val="24"/>
          <w:lang w:val="en-US"/>
        </w:rPr>
      </w:pPr>
      <w:r>
        <w:rPr>
          <w:b/>
          <w:bCs/>
          <w:sz w:val="24"/>
          <w:lang w:val="en-US"/>
        </w:rPr>
        <w:t>SC, SEC. EDU</w:t>
      </w:r>
    </w:p>
    <w:p>
      <w:pPr>
        <w:pStyle w:val="style0"/>
        <w:rPr>
          <w:b/>
          <w:bCs/>
          <w:sz w:val="24"/>
          <w:lang w:val="en-US"/>
        </w:rPr>
      </w:pPr>
      <w:r>
        <w:rPr>
          <w:b/>
          <w:bCs/>
          <w:sz w:val="24"/>
          <w:lang w:val="en-US"/>
        </w:rPr>
        <w:t>SC, ELEM, EDU</w:t>
      </w:r>
    </w:p>
    <w:p>
      <w:pPr>
        <w:pStyle w:val="style0"/>
        <w:rPr>
          <w:b/>
          <w:bCs/>
          <w:sz w:val="24"/>
          <w:lang w:val="en-US"/>
        </w:rPr>
      </w:pPr>
      <w:r>
        <w:rPr>
          <w:b/>
          <w:bCs/>
          <w:sz w:val="24"/>
          <w:lang w:val="en-US"/>
        </w:rPr>
        <w:t>For contempt case search is made usually in following party name:</w:t>
      </w:r>
    </w:p>
    <w:p>
      <w:pPr>
        <w:pStyle w:val="style0"/>
        <w:rPr>
          <w:b/>
          <w:bCs/>
          <w:sz w:val="24"/>
          <w:lang w:val="en-US"/>
        </w:rPr>
      </w:pPr>
      <w:r>
        <w:rPr>
          <w:b/>
          <w:bCs/>
          <w:sz w:val="24"/>
          <w:lang w:val="en-US"/>
        </w:rPr>
        <w:t xml:space="preserve">1. NARAYAN KONWAR </w:t>
      </w:r>
    </w:p>
    <w:p>
      <w:pPr>
        <w:pStyle w:val="style0"/>
        <w:rPr>
          <w:b/>
          <w:bCs/>
          <w:sz w:val="24"/>
          <w:lang w:val="en-US"/>
        </w:rPr>
      </w:pPr>
      <w:r>
        <w:rPr>
          <w:b/>
          <w:bCs/>
          <w:sz w:val="24"/>
          <w:lang w:val="en-US"/>
        </w:rPr>
        <w:t xml:space="preserve">2. SURANJANA SENAPATI </w:t>
      </w:r>
    </w:p>
    <w:p>
      <w:pPr>
        <w:pStyle w:val="style0"/>
        <w:rPr>
          <w:b/>
          <w:bCs/>
          <w:sz w:val="24"/>
          <w:lang w:val="en-US"/>
        </w:rPr>
      </w:pPr>
      <w:r>
        <w:rPr>
          <w:b/>
          <w:bCs/>
          <w:sz w:val="24"/>
          <w:lang w:val="en-US"/>
        </w:rPr>
        <w:t>3. MAMTA HOJAI</w:t>
      </w:r>
    </w:p>
    <w:p>
      <w:pPr>
        <w:pStyle w:val="style0"/>
        <w:rPr>
          <w:b/>
          <w:bCs/>
          <w:sz w:val="24"/>
          <w:lang w:val="en-US"/>
        </w:rPr>
      </w:pPr>
      <w:r>
        <w:rPr>
          <w:b/>
          <w:bCs/>
          <w:sz w:val="24"/>
          <w:lang w:val="en-US"/>
        </w:rPr>
        <w:t>4. PRITAM SAIKIA/PREETOM SAIKIA</w:t>
      </w:r>
    </w:p>
    <w:p>
      <w:pPr>
        <w:pStyle w:val="style0"/>
        <w:rPr>
          <w:b/>
          <w:bCs/>
          <w:sz w:val="24"/>
          <w:lang w:val="en-US"/>
        </w:rPr>
      </w:pPr>
      <w:r>
        <w:rPr>
          <w:b/>
          <w:bCs/>
          <w:sz w:val="24"/>
          <w:lang w:val="en-US"/>
        </w:rPr>
        <w:t>5. P JIDUNG</w:t>
      </w:r>
    </w:p>
    <w:p>
      <w:pPr>
        <w:pStyle w:val="style0"/>
        <w:rPr>
          <w:b/>
          <w:bCs/>
          <w:sz w:val="24"/>
          <w:lang w:val="en-US"/>
        </w:rPr>
      </w:pPr>
      <w:r>
        <w:rPr>
          <w:b/>
          <w:bCs/>
          <w:sz w:val="24"/>
          <w:lang w:val="en-US"/>
        </w:rPr>
        <w:t xml:space="preserve">6. BIJOYA CHOUDHARY </w:t>
      </w:r>
    </w:p>
    <w:p>
      <w:pPr>
        <w:pStyle w:val="style0"/>
        <w:rPr>
          <w:b/>
          <w:bCs/>
          <w:sz w:val="24"/>
          <w:lang w:val="en-IN"/>
        </w:rPr>
      </w:pPr>
    </w:p>
    <w:p>
      <w:pPr>
        <w:pStyle w:val="style0"/>
        <w:rPr>
          <w:b/>
          <w:bCs/>
          <w:sz w:val="24"/>
          <w:lang w:val="en-IN"/>
        </w:rPr>
      </w:pPr>
    </w:p>
    <w:p>
      <w:pPr>
        <w:pStyle w:val="style0"/>
        <w:numPr>
          <w:ilvl w:val="0"/>
          <w:numId w:val="0"/>
        </w:numPr>
        <w:rPr>
          <w:lang w:val="en-IN"/>
        </w:rPr>
      </w:pPr>
    </w:p>
    <w:sectPr>
      <w:pgSz w:w="11907" w:h="16839" w:orient="portrait" w:code="9"/>
      <w:pgMar w:top="1440" w:right="1325"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Vrinda">
    <w:altName w:val="Vrinda"/>
    <w:panose1 w:val="020b0502040000020203"/>
    <w:charset w:val="00"/>
    <w:family w:val="swiss"/>
    <w:pitch w:val="variable"/>
    <w:sig w:usb0="00010003" w:usb1="00000000"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5CCD904"/>
    <w:lvl w:ilvl="0" w:tplc="BB821C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1"/>
    <w:multiLevelType w:val="multilevel"/>
    <w:tmpl w:val="45CAA4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2B0DC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BB8C88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57942CDA"/>
    <w:lvl w:ilvl="0" w:tplc="B95EE3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multilevel"/>
    <w:tmpl w:val="F3C43E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64380C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6DF619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3E189C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7A7AFF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81DEBA98"/>
    <w:lvl w:ilvl="0" w:tplc="6EE495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10"/>
  </w:num>
  <w:num w:numId="5">
    <w:abstractNumId w:val="9"/>
  </w:num>
  <w:num w:numId="6">
    <w:abstractNumId w:val="6"/>
  </w:num>
  <w:num w:numId="7">
    <w:abstractNumId w:val="5"/>
  </w:num>
  <w:num w:numId="8">
    <w:abstractNumId w:val="2"/>
  </w:num>
  <w:num w:numId="9">
    <w:abstractNumId w:val="8"/>
  </w:num>
  <w:num w:numId="10">
    <w:abstractNumId w:val="7"/>
  </w:num>
  <w:num w:numId="11">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seFELayout/>
  </w:compat>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Vrinda" w:eastAsia="宋体" w:hAnsi="Calibri"/>
        <w:sz w:val="22"/>
        <w:szCs w:val="28"/>
        <w:lang w:val="en-US" w:bidi="bn-IN"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customStyle="1" w:styleId="style4097">
    <w:name w:val="Heading 1 Char_a57b1086-bfda-4981-ade2-9df0ef3c00b4"/>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2 Char_b47d7e38-1147-4527-a8a0-159b5ce88851"/>
    <w:basedOn w:val="style65"/>
    <w:next w:val="style4098"/>
    <w:link w:val="style2"/>
    <w:uiPriority w:val="9"/>
    <w:rPr>
      <w:rFonts w:ascii="Times New Roman" w:cs="Times New Roman" w:eastAsia="Times New Roman" w:hAnsi="Times New Roman"/>
      <w:b/>
      <w:bCs/>
      <w:sz w:val="36"/>
      <w:szCs w:val="36"/>
    </w:rPr>
  </w:style>
  <w:style w:type="character" w:customStyle="1" w:styleId="style4099">
    <w:name w:val="Heading 3 Char_d5d54b24-0386-471f-a409-afb640c8537e"/>
    <w:basedOn w:val="style65"/>
    <w:next w:val="style4099"/>
    <w:link w:val="style3"/>
    <w:uiPriority w:val="9"/>
    <w:rPr>
      <w:rFonts w:ascii="Times New Roman" w:cs="Times New Roman" w:eastAsia="Times New Roman" w:hAnsi="Times New Roman"/>
      <w:b/>
      <w:bCs/>
      <w:sz w:val="27"/>
      <w:szCs w:val="27"/>
    </w:rPr>
  </w:style>
  <w:style w:type="paragraph" w:customStyle="1" w:styleId="style4100">
    <w:name w:val="isselectedend"/>
    <w:basedOn w:val="style0"/>
    <w:next w:val="style4100"/>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Words>877</Words>
  <Pages>1</Pages>
  <Characters>5163</Characters>
  <Application>WPS Office</Application>
  <DocSecurity>0</DocSecurity>
  <Paragraphs>75</Paragraphs>
  <ScaleCrop>false</ScaleCrop>
  <Company>HP Inc.</Company>
  <LinksUpToDate>false</LinksUpToDate>
  <CharactersWithSpaces>5981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2026-07-01T04:30:00Z</dcterms:created>
  <dc:creator>J. Rajkhowa</dc:creator>
  <lastModifiedBy>CPH2467</lastModifiedBy>
  <dcterms:modified xsi:type="dcterms:W3CDTF">2026-07-01T13:03:10Z</dcterms:modified>
  <revision>3</revision>
</coreProperties>
</file>

<file path=docProps/custom.xml><?xml version="1.0" encoding="utf-8"?>
<Properties xmlns="http://schemas.openxmlformats.org/officeDocument/2006/custom-properties" xmlns:vt="http://schemas.openxmlformats.org/officeDocument/2006/docPropsVTypes"/>
</file>