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5E35A1" w:val="clear"/>
            <w:tcMar>
              <w:top w:type="dxa" w:w="0"/>
              <w:left w:type="dxa" w:w="0"/>
              <w:bottom w:type="dxa" w:w="0"/>
              <w:right w:type="dxa" w:w="0"/>
            </w:tcMar>
          </w:tcPr>
          <w:p>
            <w:pPr>
              <w:spacing w:after="60" w:before="60"/>
            </w:pPr>
            <w:r>
              <w:t xml:space="preserve"/>
            </w:r>
          </w:p>
        </w:tc>
      </w:tr>
    </w:tbl>
    <w:p>
      <w:pPr>
        <w:spacing w:after="0" w:before="360"/>
      </w:pPr>
      <w:r>
        <w:t xml:space="preserve"/>
      </w:r>
    </w:p>
    <w:p>
      <w:pPr>
        <w:spacing w:after="80" w:before="0"/>
        <w:jc w:val="center"/>
      </w:pPr>
      <w:r>
        <w:rPr>
          <w:rFonts w:ascii="Calibri Light" w:cs="Calibri Light" w:eastAsia="Calibri Light" w:hAnsi="Calibri Light"/>
          <w:b/>
          <w:bCs/>
          <w:color w:val="5E35A1"/>
          <w:sz w:val="96"/>
          <w:szCs w:val="96"/>
        </w:rPr>
        <w:t xml:space="preserve">BioHeal</w:t>
      </w:r>
    </w:p>
    <w:p>
      <w:pPr>
        <w:spacing w:after="200" w:before="0"/>
        <w:jc w:val="center"/>
      </w:pPr>
      <w:r>
        <w:rPr>
          <w:rFonts w:ascii="Calibri" w:cs="Calibri" w:eastAsia="Calibri" w:hAnsi="Calibri"/>
          <w:i/>
          <w:iCs/>
          <w:color w:val="A78BFA"/>
          <w:sz w:val="22"/>
          <w:szCs w:val="22"/>
        </w:rPr>
        <w:t xml:space="preserve">bioheal.co.in</w:t>
      </w:r>
    </w:p>
    <w:p>
      <w:pPr>
        <w:spacing w:after="120" w:before="0"/>
        <w:jc w:val="center"/>
      </w:pPr>
      <w:r>
        <w:rPr>
          <w:rFonts w:ascii="Calibri Light" w:cs="Calibri Light" w:eastAsia="Calibri Light" w:hAnsi="Calibri Light"/>
          <w:b w:val="false"/>
          <w:bCs w:val="false"/>
          <w:color w:val="374151"/>
          <w:sz w:val="48"/>
          <w:szCs w:val="48"/>
        </w:rPr>
        <w:t xml:space="preserve">Complete Brand Vision Document</w:t>
      </w:r>
    </w:p>
    <w:p>
      <w:pPr>
        <w:spacing w:after="0" w:before="80"/>
        <w:jc w:val="center"/>
      </w:pPr>
      <w:r>
        <w:rPr>
          <w:rFonts w:ascii="Calibri Light" w:cs="Calibri Light" w:eastAsia="Calibri Light" w:hAnsi="Calibri Light"/>
          <w:i/>
          <w:iCs/>
          <w:color w:val="8B5CF6"/>
          <w:sz w:val="24"/>
          <w:szCs w:val="24"/>
        </w:rPr>
        <w:t xml:space="preserve">Functional Medicine  ·  Lifestyle Transformation  ·  Root-Cause Healing</w:t>
      </w:r>
    </w:p>
    <w:p>
      <w:pPr>
        <w:spacing w:after="0" w:before="2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7200"/>
            <w:tcBorders>
              <w:top w:val="single" w:color="8B5CF6" w:sz="6"/>
              <w:left w:val="none" w:sz="0"/>
              <w:bottom w:val="single" w:color="8B5CF6" w:sz="6"/>
              <w:right w:val="none" w:sz="0"/>
            </w:tcBorders>
            <w:shd w:fill="F5F3FF" w:val="clear"/>
            <w:tcMar>
              <w:top w:type="dxa" w:w="160"/>
              <w:left w:type="dxa" w:w="240"/>
              <w:bottom w:type="dxa" w:w="160"/>
              <w:right w:type="dxa" w:w="240"/>
            </w:tcMar>
          </w:tcPr>
          <w:p>
            <w:pPr>
              <w:jc w:val="center"/>
            </w:pPr>
            <w:r>
              <w:rPr>
                <w:rFonts w:ascii="Calibri Light" w:cs="Calibri Light" w:eastAsia="Calibri Light" w:hAnsi="Calibri Light"/>
                <w:b/>
                <w:bCs/>
                <w:i/>
                <w:iCs/>
                <w:color w:val="5E35A1"/>
                <w:sz w:val="28"/>
                <w:szCs w:val="28"/>
              </w:rPr>
              <w:t xml:space="preserve">“Healing Through Lifestyle, Guided by Science”</w:t>
            </w:r>
          </w:p>
        </w:tc>
      </w:tr>
    </w:tbl>
    <w:p>
      <w:pPr>
        <w:spacing w:after="0" w:before="20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5E35A1" w:val="clear"/>
            <w:tcMar>
              <w:top w:type="dxa" w:w="0"/>
              <w:left w:type="dxa" w:w="0"/>
              <w:bottom w:type="dxa" w:w="0"/>
              <w:right w:type="dxa" w:w="0"/>
            </w:tcMar>
          </w:tcPr>
          <w:p>
            <w:pPr>
              <w:spacing w:after="40" w:before="40"/>
            </w:pPr>
            <w:r>
              <w:t xml:space="preserve"/>
            </w:r>
          </w:p>
        </w:tc>
      </w:tr>
    </w:tbl>
    <w:p>
      <w:r>
        <w:br w:type="page"/>
      </w:r>
    </w:p>
    <w:p>
      <w:pPr>
        <w:pStyle w:val="Heading1"/>
      </w:pPr>
      <w:r>
        <w:rPr>
          <w:rFonts w:ascii="Calibri Light" w:cs="Calibri Light" w:eastAsia="Calibri Light" w:hAnsi="Calibri Light"/>
          <w:b/>
          <w:bCs/>
          <w:color w:val="5E35A1"/>
          <w:sz w:val="40"/>
          <w:szCs w:val="40"/>
        </w:rPr>
        <w:t xml:space="preserve">1. What is BioHeal?</w:t>
      </w:r>
    </w:p>
    <w:p>
      <w:pPr>
        <w:pBdr>
          <w:bottom w:val="single" w:color="DDD6FE" w:sz="6" w:space="1"/>
        </w:pBdr>
        <w:spacing w:after="200" w:before="200"/>
      </w:pPr>
      <w:r>
        <w:t xml:space="preserve"/>
      </w:r>
    </w:p>
    <w:p>
      <w:pPr>
        <w:pStyle w:val="BodyText"/>
      </w:pPr>
      <w:r>
        <w:rPr>
          <w:rFonts w:ascii="Calibri" w:cs="Calibri" w:eastAsia="Calibri" w:hAnsi="Calibri"/>
          <w:color w:val="374151"/>
          <w:sz w:val="22"/>
          <w:szCs w:val="22"/>
        </w:rPr>
        <w:t xml:space="preserve">BioHeal is a Functional Medicine &amp; Lifestyle Health space dedicated to uncovering the root causes of chronic illness and guiding individuals toward lasting health through personalised lifestyle interventions — not just symptom management.</w:t>
      </w:r>
    </w:p>
    <w:p>
      <w:pPr>
        <w:spacing w:after="0" w:before="100"/>
      </w:pPr>
      <w:r>
        <w:t xml:space="preserve"/>
      </w:r>
    </w:p>
    <w:p>
      <w:pPr>
        <w:pStyle w:val="BodyText"/>
      </w:pPr>
      <w:r>
        <w:rPr>
          <w:rFonts w:ascii="Calibri" w:cs="Calibri" w:eastAsia="Calibri" w:hAnsi="Calibri"/>
          <w:color w:val="374151"/>
          <w:sz w:val="22"/>
          <w:szCs w:val="22"/>
        </w:rPr>
        <w:t xml:space="preserve">We help people of all ages — adults and children alike — understand their health as a connected whole and make sustainable improvements through evidence-informed guidance.</w:t>
      </w:r>
    </w:p>
    <w:p>
      <w:pPr>
        <w:spacing w:after="0" w:before="100"/>
      </w:pPr>
      <w:r>
        <w:t xml:space="preserve"/>
      </w:r>
    </w:p>
    <w:p>
      <w:pPr>
        <w:pStyle w:val="Quote"/>
      </w:pPr>
      <w:r>
        <w:rPr>
          <w:rFonts w:ascii="Calibri Light" w:cs="Calibri Light" w:eastAsia="Calibri Light" w:hAnsi="Calibri Light"/>
          <w:b/>
          <w:bCs/>
          <w:i/>
          <w:iCs/>
          <w:color w:val="5E35A1"/>
          <w:sz w:val="24"/>
          <w:szCs w:val="24"/>
        </w:rPr>
        <w:t xml:space="preserve">Tagline: “Healing Through Lifestyle, Guided by Science”</w:t>
      </w:r>
    </w:p>
    <w:p>
      <w:pPr>
        <w:pStyle w:val="Heading2"/>
      </w:pPr>
      <w:r>
        <w:rPr>
          <w:rFonts w:ascii="Calibri" w:cs="Calibri" w:eastAsia="Calibri" w:hAnsi="Calibri"/>
          <w:b/>
          <w:bCs/>
          <w:color w:val="8B5CF6"/>
          <w:sz w:val="28"/>
          <w:szCs w:val="28"/>
        </w:rPr>
        <w:t xml:space="preserve">BioHeal is:</w:t>
      </w:r>
    </w:p>
    <w:p>
      <w:pPr>
        <w:pStyle w:val="ListParagraph"/>
        <w:numPr>
          <w:ilvl w:val="0"/>
          <w:numId w:val="2"/>
        </w:numPr>
      </w:pPr>
      <w:r>
        <w:rPr>
          <w:rFonts w:ascii="Calibri" w:cs="Calibri" w:eastAsia="Calibri" w:hAnsi="Calibri"/>
          <w:color w:val="374151"/>
          <w:sz w:val="22"/>
          <w:szCs w:val="22"/>
        </w:rPr>
        <w:t xml:space="preserve">A space that identifies root causes of chronic illness</w:t>
      </w:r>
    </w:p>
    <w:p>
      <w:pPr>
        <w:pStyle w:val="ListParagraph"/>
        <w:numPr>
          <w:ilvl w:val="0"/>
          <w:numId w:val="2"/>
        </w:numPr>
      </w:pPr>
      <w:r>
        <w:rPr>
          <w:rFonts w:ascii="Calibri" w:cs="Calibri" w:eastAsia="Calibri" w:hAnsi="Calibri"/>
          <w:color w:val="374151"/>
          <w:sz w:val="22"/>
          <w:szCs w:val="22"/>
        </w:rPr>
        <w:t xml:space="preserve">A lifestyle health companion that builds sustainable, personalised protocols</w:t>
      </w:r>
    </w:p>
    <w:p>
      <w:pPr>
        <w:pStyle w:val="ListParagraph"/>
        <w:numPr>
          <w:ilvl w:val="0"/>
          <w:numId w:val="2"/>
        </w:numPr>
      </w:pPr>
      <w:r>
        <w:rPr>
          <w:rFonts w:ascii="Calibri" w:cs="Calibri" w:eastAsia="Calibri" w:hAnsi="Calibri"/>
          <w:color w:val="374151"/>
          <w:sz w:val="22"/>
          <w:szCs w:val="22"/>
        </w:rPr>
        <w:t xml:space="preserve">A bridge between clinical rigour and holistic wellness</w:t>
      </w:r>
    </w:p>
    <w:p>
      <w:pPr>
        <w:pStyle w:val="ListParagraph"/>
        <w:numPr>
          <w:ilvl w:val="0"/>
          <w:numId w:val="2"/>
        </w:numPr>
      </w:pPr>
      <w:r>
        <w:rPr>
          <w:rFonts w:ascii="Calibri" w:cs="Calibri" w:eastAsia="Calibri" w:hAnsi="Calibri"/>
          <w:color w:val="374151"/>
          <w:sz w:val="22"/>
          <w:szCs w:val="22"/>
        </w:rPr>
        <w:t xml:space="preserve">An education-first approach that empowers people to understand their own biology</w:t>
      </w:r>
    </w:p>
    <w:p>
      <w:pPr>
        <w:pStyle w:val="Heading2"/>
      </w:pPr>
      <w:r>
        <w:rPr>
          <w:rFonts w:ascii="Calibri" w:cs="Calibri" w:eastAsia="Calibri" w:hAnsi="Calibri"/>
          <w:b/>
          <w:bCs/>
          <w:color w:val="8B5CF6"/>
          <w:sz w:val="28"/>
          <w:szCs w:val="28"/>
        </w:rPr>
        <w:t xml:space="preserve">BioHeal is NOT:</w:t>
      </w:r>
    </w:p>
    <w:p>
      <w:pPr>
        <w:pStyle w:val="ListParagraph"/>
        <w:numPr>
          <w:ilvl w:val="0"/>
          <w:numId w:val="3"/>
        </w:numPr>
      </w:pPr>
      <w:r>
        <w:rPr>
          <w:rFonts w:ascii="Calibri" w:cs="Calibri" w:eastAsia="Calibri" w:hAnsi="Calibri"/>
          <w:color w:val="374151"/>
          <w:sz w:val="22"/>
          <w:szCs w:val="22"/>
        </w:rPr>
        <w:t xml:space="preserve">A hospital, diagnostic laboratory, or pharmacy</w:t>
      </w:r>
    </w:p>
    <w:p>
      <w:pPr>
        <w:pStyle w:val="ListParagraph"/>
        <w:numPr>
          <w:ilvl w:val="0"/>
          <w:numId w:val="3"/>
        </w:numPr>
      </w:pPr>
      <w:r>
        <w:rPr>
          <w:rFonts w:ascii="Calibri" w:cs="Calibri" w:eastAsia="Calibri" w:hAnsi="Calibri"/>
          <w:color w:val="374151"/>
          <w:sz w:val="22"/>
          <w:szCs w:val="22"/>
        </w:rPr>
        <w:t xml:space="preserve">A conventional medical clinic</w:t>
      </w:r>
    </w:p>
    <w:p>
      <w:pPr>
        <w:pStyle w:val="ListParagraph"/>
        <w:numPr>
          <w:ilvl w:val="0"/>
          <w:numId w:val="3"/>
        </w:numPr>
      </w:pPr>
      <w:r>
        <w:rPr>
          <w:rFonts w:ascii="Calibri" w:cs="Calibri" w:eastAsia="Calibri" w:hAnsi="Calibri"/>
          <w:color w:val="374151"/>
          <w:sz w:val="22"/>
          <w:szCs w:val="22"/>
        </w:rPr>
        <w:t xml:space="preserve">A quick-fix or fad-diet service</w:t>
      </w:r>
    </w:p>
    <w:p>
      <w:pPr>
        <w:pStyle w:val="ListParagraph"/>
        <w:numPr>
          <w:ilvl w:val="0"/>
          <w:numId w:val="3"/>
        </w:numPr>
      </w:pPr>
      <w:r>
        <w:rPr>
          <w:rFonts w:ascii="Calibri" w:cs="Calibri" w:eastAsia="Calibri" w:hAnsi="Calibri"/>
          <w:color w:val="374151"/>
          <w:sz w:val="22"/>
          <w:szCs w:val="22"/>
        </w:rPr>
        <w:t xml:space="preserve">A replacement for emergency or acute medical care</w:t>
      </w:r>
    </w:p>
    <w:p>
      <w:pPr>
        <w:pStyle w:val="Heading1"/>
      </w:pPr>
      <w:r>
        <w:rPr>
          <w:rFonts w:ascii="Calibri Light" w:cs="Calibri Light" w:eastAsia="Calibri Light" w:hAnsi="Calibri Light"/>
          <w:b/>
          <w:bCs/>
          <w:color w:val="5E35A1"/>
          <w:sz w:val="40"/>
          <w:szCs w:val="40"/>
        </w:rPr>
        <w:t xml:space="preserve">2. The Problem We Solve</w:t>
      </w:r>
    </w:p>
    <w:p>
      <w:pPr>
        <w:pBdr>
          <w:bottom w:val="single" w:color="DDD6FE" w:sz="6" w:space="1"/>
        </w:pBdr>
        <w:spacing w:after="200" w:before="200"/>
      </w:pPr>
      <w:r>
        <w:t xml:space="preserve"/>
      </w:r>
    </w:p>
    <w:p>
      <w:pPr>
        <w:pStyle w:val="BodyText"/>
      </w:pPr>
      <w:r>
        <w:rPr>
          <w:rFonts w:ascii="Calibri" w:cs="Calibri" w:eastAsia="Calibri" w:hAnsi="Calibri"/>
          <w:color w:val="374151"/>
          <w:sz w:val="22"/>
          <w:szCs w:val="22"/>
        </w:rPr>
        <w:t xml:space="preserve">Modern healthcare is brilliant at acute care — emergencies, surgeries, infections. But for chronic, lifestyle-driven conditions, the conventional model falls short:</w:t>
      </w:r>
    </w:p>
    <w:p>
      <w:pPr>
        <w:spacing w:after="0" w:before="80"/>
      </w:pPr>
      <w:r>
        <w:t xml:space="preserve"/>
      </w:r>
    </w:p>
    <w:p>
      <w:pPr>
        <w:pStyle w:val="ListParagraph"/>
        <w:numPr>
          <w:ilvl w:val="0"/>
          <w:numId w:val="4"/>
        </w:numPr>
      </w:pPr>
      <w:r>
        <w:rPr>
          <w:rFonts w:ascii="Calibri" w:cs="Calibri" w:eastAsia="Calibri" w:hAnsi="Calibri"/>
          <w:color w:val="374151"/>
          <w:sz w:val="22"/>
          <w:szCs w:val="22"/>
        </w:rPr>
        <w:t xml:space="preserve">Patients are treated for symptoms, not causes</w:t>
      </w:r>
    </w:p>
    <w:p>
      <w:pPr>
        <w:pStyle w:val="ListParagraph"/>
        <w:numPr>
          <w:ilvl w:val="0"/>
          <w:numId w:val="4"/>
        </w:numPr>
      </w:pPr>
      <w:r>
        <w:rPr>
          <w:rFonts w:ascii="Calibri" w:cs="Calibri" w:eastAsia="Calibri" w:hAnsi="Calibri"/>
          <w:color w:val="374151"/>
          <w:sz w:val="22"/>
          <w:szCs w:val="22"/>
        </w:rPr>
        <w:t xml:space="preserve">Consultations last 5–10 minutes with no time for context</w:t>
      </w:r>
    </w:p>
    <w:p>
      <w:pPr>
        <w:pStyle w:val="ListParagraph"/>
        <w:numPr>
          <w:ilvl w:val="0"/>
          <w:numId w:val="4"/>
        </w:numPr>
      </w:pPr>
      <w:r>
        <w:rPr>
          <w:rFonts w:ascii="Calibri" w:cs="Calibri" w:eastAsia="Calibri" w:hAnsi="Calibri"/>
          <w:color w:val="374151"/>
          <w:sz w:val="22"/>
          <w:szCs w:val="22"/>
        </w:rPr>
        <w:t xml:space="preserve">Lab results are declared “normal” while patients still suffer</w:t>
      </w:r>
    </w:p>
    <w:p>
      <w:pPr>
        <w:pStyle w:val="ListParagraph"/>
        <w:numPr>
          <w:ilvl w:val="0"/>
          <w:numId w:val="4"/>
        </w:numPr>
      </w:pPr>
      <w:r>
        <w:rPr>
          <w:rFonts w:ascii="Calibri" w:cs="Calibri" w:eastAsia="Calibri" w:hAnsi="Calibri"/>
          <w:color w:val="374151"/>
          <w:sz w:val="22"/>
          <w:szCs w:val="22"/>
        </w:rPr>
        <w:t xml:space="preserve">Medications manage conditions but rarely resolve them</w:t>
      </w:r>
    </w:p>
    <w:p>
      <w:pPr>
        <w:pStyle w:val="ListParagraph"/>
        <w:numPr>
          <w:ilvl w:val="0"/>
          <w:numId w:val="4"/>
        </w:numPr>
      </w:pPr>
      <w:r>
        <w:rPr>
          <w:rFonts w:ascii="Calibri" w:cs="Calibri" w:eastAsia="Calibri" w:hAnsi="Calibri"/>
          <w:color w:val="374151"/>
          <w:sz w:val="22"/>
          <w:szCs w:val="22"/>
        </w:rPr>
        <w:t xml:space="preserve">Once treatment stops, the same disease returns — because the root was never addressed</w:t>
      </w:r>
    </w:p>
    <w:p>
      <w:pPr>
        <w:pStyle w:val="ListParagraph"/>
        <w:numPr>
          <w:ilvl w:val="0"/>
          <w:numId w:val="4"/>
        </w:numPr>
      </w:pPr>
      <w:r>
        <w:rPr>
          <w:rFonts w:ascii="Calibri" w:cs="Calibri" w:eastAsia="Calibri" w:hAnsi="Calibri"/>
          <w:color w:val="374151"/>
          <w:sz w:val="22"/>
          <w:szCs w:val="22"/>
        </w:rPr>
        <w:t xml:space="preserve">Children with recurring issues are put on long-term medications without investigating underlying triggers</w:t>
      </w:r>
    </w:p>
    <w:p>
      <w:pPr>
        <w:spacing w:after="0" w:before="120"/>
      </w:pPr>
      <w:r>
        <w:t xml:space="preserve"/>
      </w:r>
    </w:p>
    <w:p>
      <w:pPr>
        <w:pStyle w:val="BodyText"/>
      </w:pPr>
      <w:r>
        <w:rPr>
          <w:rFonts w:ascii="Calibri" w:cs="Calibri" w:eastAsia="Calibri" w:hAnsi="Calibri"/>
          <w:b/>
          <w:bCs/>
          <w:color w:val="1F2937"/>
          <w:sz w:val="22"/>
          <w:szCs w:val="22"/>
        </w:rPr>
        <w:t xml:space="preserve">The result: </w:t>
      </w:r>
      <w:r>
        <w:rPr>
          <w:rFonts w:ascii="Calibri" w:cs="Calibri" w:eastAsia="Calibri" w:hAnsi="Calibri"/>
          <w:color w:val="374151"/>
          <w:sz w:val="22"/>
          <w:szCs w:val="22"/>
        </w:rPr>
        <w:t xml:space="preserve">People of all ages cycle through doctors, medications, and diets — never truly healing, never understanding why they’re unwell.</w:t>
      </w:r>
    </w:p>
    <w:p>
      <w:pPr>
        <w:spacing w:after="0" w:before="100"/>
      </w:pPr>
      <w:r>
        <w:t xml:space="preserve"/>
      </w:r>
    </w:p>
    <w:p>
      <w:pPr>
        <w:pStyle w:val="BodyText"/>
      </w:pPr>
      <w:r>
        <w:rPr>
          <w:rFonts w:ascii="Calibri" w:cs="Calibri" w:eastAsia="Calibri" w:hAnsi="Calibri"/>
          <w:color w:val="374151"/>
          <w:sz w:val="22"/>
          <w:szCs w:val="22"/>
        </w:rPr>
        <w:t xml:space="preserve">BioHeal doesn’t replace conventional medicine. We complement it — adding the layers of investigation, nutrition, lifestyle, and time that a 10-minute appointment simply cannot provide.</w:t>
      </w:r>
    </w:p>
    <w:p>
      <w:pPr>
        <w:pStyle w:val="Heading1"/>
      </w:pPr>
      <w:r>
        <w:rPr>
          <w:rFonts w:ascii="Calibri Light" w:cs="Calibri Light" w:eastAsia="Calibri Light" w:hAnsi="Calibri Light"/>
          <w:b/>
          <w:bCs/>
          <w:color w:val="5E35A1"/>
          <w:sz w:val="40"/>
          <w:szCs w:val="40"/>
        </w:rPr>
        <w:t xml:space="preserve">3. Our Philosophy — The Three Pillars</w:t>
      </w:r>
    </w:p>
    <w:p>
      <w:pPr>
        <w:pBdr>
          <w:bottom w:val="single" w:color="DDD6FE"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Pillar</w:t>
            </w:r>
          </w:p>
        </w:tc>
        <w:tc>
          <w:tcPr>
            <w:tcW w:type="dxa" w:w="260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Core Belief</w:t>
            </w:r>
          </w:p>
        </w:tc>
        <w:tc>
          <w:tcPr>
            <w:tcW w:type="dxa" w:w="516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What This Means in Practice</w:t>
            </w:r>
          </w:p>
        </w:tc>
      </w:tr>
      <w:tr>
        <w:tc>
          <w:tcPr>
            <w:tcW w:type="dxa" w:w="1600"/>
            <w:tcBorders>
              <w:top w:val="single" w:color="DDD6FE" w:sz="4"/>
              <w:left w:val="single" w:color="DDD6FE" w:sz="4"/>
              <w:bottom w:val="single" w:color="DDD6FE" w:sz="4"/>
              <w:right w:val="single" w:color="DDD6FE" w:sz="4"/>
            </w:tcBorders>
            <w:shd w:fill="EDE9FE" w:val="clear"/>
            <w:tcMar>
              <w:top w:type="dxa" w:w="120"/>
              <w:left w:type="dxa" w:w="140"/>
              <w:bottom w:type="dxa" w:w="120"/>
              <w:right w:type="dxa" w:w="140"/>
            </w:tcMar>
          </w:tcPr>
          <w:p>
            <w:r>
              <w:rPr>
                <w:rFonts w:ascii="Calibri" w:cs="Calibri" w:eastAsia="Calibri" w:hAnsi="Calibri"/>
                <w:b/>
                <w:bCs/>
                <w:color w:val="5E35A1"/>
                <w:sz w:val="20"/>
                <w:szCs w:val="20"/>
              </w:rPr>
              <w:t xml:space="preserve">Root-Cause Approach</w:t>
            </w:r>
          </w:p>
        </w:tc>
        <w:tc>
          <w:tcPr>
            <w:tcW w:type="dxa" w:w="2600"/>
            <w:tcBorders>
              <w:top w:val="single" w:color="DDD6FE" w:sz="4"/>
              <w:left w:val="single" w:color="DDD6FE" w:sz="4"/>
              <w:bottom w:val="single" w:color="DDD6FE" w:sz="4"/>
              <w:right w:val="single" w:color="DDD6FE" w:sz="4"/>
            </w:tcBorders>
            <w:shd w:fill="F5F3FF" w:val="clear"/>
            <w:tcMar>
              <w:top w:type="dxa" w:w="120"/>
              <w:left w:type="dxa" w:w="140"/>
              <w:bottom w:type="dxa" w:w="120"/>
              <w:right w:type="dxa" w:w="140"/>
            </w:tcMar>
          </w:tcPr>
          <w:p>
            <w:r>
              <w:rPr>
                <w:rFonts w:ascii="Calibri" w:cs="Calibri" w:eastAsia="Calibri" w:hAnsi="Calibri"/>
                <w:i/>
                <w:iCs/>
                <w:color w:val="374151"/>
                <w:sz w:val="20"/>
                <w:szCs w:val="20"/>
              </w:rPr>
              <w:t xml:space="preserve">We look beyond symptoms to identify underlying imbalances — hormonal, nutritional, or environmental.</w:t>
            </w:r>
          </w:p>
        </w:tc>
        <w:tc>
          <w:tcPr>
            <w:tcW w:type="dxa" w:w="5160"/>
            <w:tcBorders>
              <w:top w:val="single" w:color="DDD6FE" w:sz="4"/>
              <w:left w:val="single" w:color="DDD6FE" w:sz="4"/>
              <w:bottom w:val="single" w:color="DDD6FE" w:sz="4"/>
              <w:right w:val="single" w:color="DDD6FE" w:sz="4"/>
            </w:tcBorders>
            <w:shd w:fill="FFFFFF" w:val="clear"/>
            <w:tcMar>
              <w:top w:type="dxa" w:w="120"/>
              <w:left w:type="dxa" w:w="140"/>
              <w:bottom w:type="dxa" w:w="120"/>
              <w:right w:type="dxa" w:w="140"/>
            </w:tcMar>
          </w:tcPr>
          <w:p>
            <w:r>
              <w:rPr>
                <w:rFonts w:ascii="Calibri" w:cs="Calibri" w:eastAsia="Calibri" w:hAnsi="Calibri"/>
                <w:color w:val="374151"/>
                <w:sz w:val="20"/>
                <w:szCs w:val="20"/>
              </w:rPr>
              <w:t xml:space="preserve">Detailed health history analysis, timeline mapping, and advanced lab interpretation to find what others miss.</w:t>
            </w:r>
          </w:p>
        </w:tc>
      </w:tr>
      <w:tr>
        <w:tc>
          <w:tcPr>
            <w:tcW w:type="dxa" w:w="1600"/>
            <w:tcBorders>
              <w:top w:val="single" w:color="DDD6FE" w:sz="4"/>
              <w:left w:val="single" w:color="DDD6FE" w:sz="4"/>
              <w:bottom w:val="single" w:color="DDD6FE" w:sz="4"/>
              <w:right w:val="single" w:color="DDD6FE" w:sz="4"/>
            </w:tcBorders>
            <w:shd w:fill="EDE9FE" w:val="clear"/>
            <w:tcMar>
              <w:top w:type="dxa" w:w="120"/>
              <w:left w:type="dxa" w:w="140"/>
              <w:bottom w:type="dxa" w:w="120"/>
              <w:right w:type="dxa" w:w="140"/>
            </w:tcMar>
          </w:tcPr>
          <w:p>
            <w:r>
              <w:rPr>
                <w:rFonts w:ascii="Calibri" w:cs="Calibri" w:eastAsia="Calibri" w:hAnsi="Calibri"/>
                <w:b/>
                <w:bCs/>
                <w:color w:val="5E35A1"/>
                <w:sz w:val="20"/>
                <w:szCs w:val="20"/>
              </w:rPr>
              <w:t xml:space="preserve">Lifestyle as Medicine</w:t>
            </w:r>
          </w:p>
        </w:tc>
        <w:tc>
          <w:tcPr>
            <w:tcW w:type="dxa" w:w="2600"/>
            <w:tcBorders>
              <w:top w:val="single" w:color="DDD6FE" w:sz="4"/>
              <w:left w:val="single" w:color="DDD6FE" w:sz="4"/>
              <w:bottom w:val="single" w:color="DDD6FE" w:sz="4"/>
              <w:right w:val="single" w:color="DDD6FE" w:sz="4"/>
            </w:tcBorders>
            <w:shd w:fill="FAF5FF" w:val="clear"/>
            <w:tcMar>
              <w:top w:type="dxa" w:w="120"/>
              <w:left w:type="dxa" w:w="140"/>
              <w:bottom w:type="dxa" w:w="120"/>
              <w:right w:type="dxa" w:w="140"/>
            </w:tcMar>
          </w:tcPr>
          <w:p>
            <w:r>
              <w:rPr>
                <w:rFonts w:ascii="Calibri" w:cs="Calibri" w:eastAsia="Calibri" w:hAnsi="Calibri"/>
                <w:i/>
                <w:iCs/>
                <w:color w:val="374151"/>
                <w:sz w:val="20"/>
                <w:szCs w:val="20"/>
              </w:rPr>
              <w:t xml:space="preserve">Nutrition, movement, sleep, and stress management become your primary tools for healing.</w:t>
            </w:r>
          </w:p>
        </w:tc>
        <w:tc>
          <w:tcPr>
            <w:tcW w:type="dxa" w:w="5160"/>
            <w:tcBorders>
              <w:top w:val="single" w:color="DDD6FE" w:sz="4"/>
              <w:left w:val="single" w:color="DDD6FE" w:sz="4"/>
              <w:bottom w:val="single" w:color="DDD6FE" w:sz="4"/>
              <w:right w:val="single" w:color="DDD6FE" w:sz="4"/>
            </w:tcBorders>
            <w:shd w:fill="FFFFFF" w:val="clear"/>
            <w:tcMar>
              <w:top w:type="dxa" w:w="120"/>
              <w:left w:type="dxa" w:w="140"/>
              <w:bottom w:type="dxa" w:w="120"/>
              <w:right w:type="dxa" w:w="140"/>
            </w:tcMar>
          </w:tcPr>
          <w:p>
            <w:r>
              <w:rPr>
                <w:rFonts w:ascii="Calibri" w:cs="Calibri" w:eastAsia="Calibri" w:hAnsi="Calibri"/>
                <w:color w:val="374151"/>
                <w:sz w:val="20"/>
                <w:szCs w:val="20"/>
              </w:rPr>
              <w:t xml:space="preserve">Food, sleep, stress regulation, movement, and environment form the core of every protocol. Medications and supplements play a supporting role, not the lead.</w:t>
            </w:r>
          </w:p>
        </w:tc>
      </w:tr>
      <w:tr>
        <w:tc>
          <w:tcPr>
            <w:tcW w:type="dxa" w:w="1600"/>
            <w:tcBorders>
              <w:top w:val="single" w:color="DDD6FE" w:sz="4"/>
              <w:left w:val="single" w:color="DDD6FE" w:sz="4"/>
              <w:bottom w:val="single" w:color="DDD6FE" w:sz="4"/>
              <w:right w:val="single" w:color="DDD6FE" w:sz="4"/>
            </w:tcBorders>
            <w:shd w:fill="EDE9FE" w:val="clear"/>
            <w:tcMar>
              <w:top w:type="dxa" w:w="120"/>
              <w:left w:type="dxa" w:w="140"/>
              <w:bottom w:type="dxa" w:w="120"/>
              <w:right w:type="dxa" w:w="140"/>
            </w:tcMar>
          </w:tcPr>
          <w:p>
            <w:r>
              <w:rPr>
                <w:rFonts w:ascii="Calibri" w:cs="Calibri" w:eastAsia="Calibri" w:hAnsi="Calibri"/>
                <w:b/>
                <w:bCs/>
                <w:color w:val="5E35A1"/>
                <w:sz w:val="20"/>
                <w:szCs w:val="20"/>
              </w:rPr>
              <w:t xml:space="preserve">Personalised Care</w:t>
            </w:r>
          </w:p>
        </w:tc>
        <w:tc>
          <w:tcPr>
            <w:tcW w:type="dxa" w:w="2600"/>
            <w:tcBorders>
              <w:top w:val="single" w:color="DDD6FE" w:sz="4"/>
              <w:left w:val="single" w:color="DDD6FE" w:sz="4"/>
              <w:bottom w:val="single" w:color="DDD6FE" w:sz="4"/>
              <w:right w:val="single" w:color="DDD6FE" w:sz="4"/>
            </w:tcBorders>
            <w:shd w:fill="F5F3FF" w:val="clear"/>
            <w:tcMar>
              <w:top w:type="dxa" w:w="120"/>
              <w:left w:type="dxa" w:w="140"/>
              <w:bottom w:type="dxa" w:w="120"/>
              <w:right w:type="dxa" w:w="140"/>
            </w:tcMar>
          </w:tcPr>
          <w:p>
            <w:r>
              <w:rPr>
                <w:rFonts w:ascii="Calibri" w:cs="Calibri" w:eastAsia="Calibri" w:hAnsi="Calibri"/>
                <w:i/>
                <w:iCs/>
                <w:color w:val="374151"/>
                <w:sz w:val="20"/>
                <w:szCs w:val="20"/>
              </w:rPr>
              <w:t xml:space="preserve">Every individual is unique. Your plan is built around your genetics, environment, history, and goals.</w:t>
            </w:r>
          </w:p>
        </w:tc>
        <w:tc>
          <w:tcPr>
            <w:tcW w:type="dxa" w:w="5160"/>
            <w:tcBorders>
              <w:top w:val="single" w:color="DDD6FE" w:sz="4"/>
              <w:left w:val="single" w:color="DDD6FE" w:sz="4"/>
              <w:bottom w:val="single" w:color="DDD6FE" w:sz="4"/>
              <w:right w:val="single" w:color="DDD6FE" w:sz="4"/>
            </w:tcBorders>
            <w:shd w:fill="FFFFFF" w:val="clear"/>
            <w:tcMar>
              <w:top w:type="dxa" w:w="120"/>
              <w:left w:type="dxa" w:w="140"/>
              <w:bottom w:type="dxa" w:w="120"/>
              <w:right w:type="dxa" w:w="140"/>
            </w:tcMar>
          </w:tcPr>
          <w:p>
            <w:r>
              <w:rPr>
                <w:rFonts w:ascii="Calibri" w:cs="Calibri" w:eastAsia="Calibri" w:hAnsi="Calibri"/>
                <w:color w:val="374151"/>
                <w:sz w:val="20"/>
                <w:szCs w:val="20"/>
              </w:rPr>
              <w:t xml:space="preserve">No two bodies are the same. A child's gut issue requires a different approach than an adult's. We design around the individual — their biology, their life, their capacity for change.</w:t>
            </w:r>
          </w:p>
        </w:tc>
      </w:tr>
    </w:tbl>
    <w:p>
      <w:pPr>
        <w:pStyle w:val="Heading2"/>
      </w:pPr>
      <w:r>
        <w:rPr>
          <w:rFonts w:ascii="Calibri" w:cs="Calibri" w:eastAsia="Calibri" w:hAnsi="Calibri"/>
          <w:b/>
          <w:bCs/>
          <w:color w:val="8B5CF6"/>
          <w:sz w:val="28"/>
          <w:szCs w:val="28"/>
        </w:rPr>
        <w:t xml:space="preserve">Extended Philosophy</w:t>
      </w:r>
    </w:p>
    <w:p>
      <w:pPr>
        <w:pStyle w:val="Heading3"/>
      </w:pPr>
      <w:r>
        <w:rPr>
          <w:rFonts w:ascii="Calibri" w:cs="Calibri" w:eastAsia="Calibri" w:hAnsi="Calibri"/>
          <w:b/>
          <w:bCs/>
          <w:color w:val="6D28D9"/>
          <w:sz w:val="24"/>
          <w:szCs w:val="24"/>
        </w:rPr>
        <w:t xml:space="preserve">4.1 The Body as a Connected System</w:t>
      </w:r>
    </w:p>
    <w:p>
      <w:pPr>
        <w:pStyle w:val="BodyText"/>
      </w:pPr>
      <w:r>
        <w:rPr>
          <w:rFonts w:ascii="Calibri" w:cs="Calibri" w:eastAsia="Calibri" w:hAnsi="Calibri"/>
          <w:color w:val="374151"/>
          <w:sz w:val="22"/>
          <w:szCs w:val="22"/>
        </w:rPr>
        <w:t xml:space="preserve">Your gut affects your hormones. Your stress affects your gut. Your sleep affects your metabolism. Everything is interconnected. We look at the system, not the organ.</w:t>
      </w:r>
    </w:p>
    <w:p>
      <w:pPr>
        <w:pStyle w:val="Heading3"/>
      </w:pPr>
      <w:r>
        <w:rPr>
          <w:rFonts w:ascii="Calibri" w:cs="Calibri" w:eastAsia="Calibri" w:hAnsi="Calibri"/>
          <w:b/>
          <w:bCs/>
          <w:color w:val="6D28D9"/>
          <w:sz w:val="24"/>
          <w:szCs w:val="24"/>
        </w:rPr>
        <w:t xml:space="preserve">4.2 Sustainability Over Speed</w:t>
      </w:r>
    </w:p>
    <w:p>
      <w:pPr>
        <w:pStyle w:val="BodyText"/>
      </w:pPr>
      <w:r>
        <w:rPr>
          <w:rFonts w:ascii="Calibri" w:cs="Calibri" w:eastAsia="Calibri" w:hAnsi="Calibri"/>
          <w:color w:val="374151"/>
          <w:sz w:val="22"/>
          <w:szCs w:val="22"/>
        </w:rPr>
        <w:t xml:space="preserve">We don’t promise 30-day transformations. We build habits, educate deeply, and create changes that last years — not weeks. This is precisely why functional medicine succeeds where conventional “treat and discharge” fails.</w:t>
      </w:r>
    </w:p>
    <w:p>
      <w:pPr>
        <w:pStyle w:val="Heading3"/>
      </w:pPr>
      <w:r>
        <w:rPr>
          <w:rFonts w:ascii="Calibri" w:cs="Calibri" w:eastAsia="Calibri" w:hAnsi="Calibri"/>
          <w:b/>
          <w:bCs/>
          <w:color w:val="6D28D9"/>
          <w:sz w:val="24"/>
          <w:szCs w:val="24"/>
        </w:rPr>
        <w:t xml:space="preserve">4.3 Education as Empowerment</w:t>
      </w:r>
    </w:p>
    <w:p>
      <w:pPr>
        <w:pStyle w:val="BodyText"/>
      </w:pPr>
      <w:r>
        <w:rPr>
          <w:rFonts w:ascii="Calibri" w:cs="Calibri" w:eastAsia="Calibri" w:hAnsi="Calibri"/>
          <w:color w:val="374151"/>
          <w:sz w:val="22"/>
          <w:szCs w:val="22"/>
        </w:rPr>
        <w:t xml:space="preserve">We don’t just tell you what to do. We help you understand why — so you become an active participant in your own health (or your child’s health), not a passive recipient of instructions.</w:t>
      </w:r>
    </w:p>
    <w:p>
      <w:pPr>
        <w:pStyle w:val="Heading3"/>
      </w:pPr>
      <w:r>
        <w:rPr>
          <w:rFonts w:ascii="Calibri" w:cs="Calibri" w:eastAsia="Calibri" w:hAnsi="Calibri"/>
          <w:b/>
          <w:bCs/>
          <w:color w:val="6D28D9"/>
          <w:sz w:val="24"/>
          <w:szCs w:val="24"/>
        </w:rPr>
        <w:t xml:space="preserve">4.4 Evidence-Informed, Not Dogmatic</w:t>
      </w:r>
    </w:p>
    <w:p>
      <w:pPr>
        <w:pStyle w:val="BodyText"/>
      </w:pPr>
      <w:r>
        <w:rPr>
          <w:rFonts w:ascii="Calibri" w:cs="Calibri" w:eastAsia="Calibri" w:hAnsi="Calibri"/>
          <w:color w:val="374151"/>
          <w:sz w:val="22"/>
          <w:szCs w:val="22"/>
        </w:rPr>
        <w:t xml:space="preserve">We follow the science — but we also respect clinical experience, patient individuality, and emerging research. We’re rigorous without being rigid.</w:t>
      </w:r>
    </w:p>
    <w:p>
      <w:pPr>
        <w:pStyle w:val="Heading3"/>
      </w:pPr>
      <w:r>
        <w:rPr>
          <w:rFonts w:ascii="Calibri" w:cs="Calibri" w:eastAsia="Calibri" w:hAnsi="Calibri"/>
          <w:b/>
          <w:bCs/>
          <w:color w:val="6D28D9"/>
          <w:sz w:val="24"/>
          <w:szCs w:val="24"/>
        </w:rPr>
        <w:t xml:space="preserve">4.5 All Ages, All Stages</w:t>
      </w:r>
    </w:p>
    <w:p>
      <w:pPr>
        <w:pStyle w:val="BodyText"/>
      </w:pPr>
      <w:r>
        <w:rPr>
          <w:rFonts w:ascii="Calibri" w:cs="Calibri" w:eastAsia="Calibri" w:hAnsi="Calibri"/>
          <w:color w:val="374151"/>
          <w:sz w:val="22"/>
          <w:szCs w:val="22"/>
        </w:rPr>
        <w:t xml:space="preserve">Chronic health concerns don’t discriminate by age. Children with recurring allergies, gut issues, attention difficulties, or immune challenges deserve the same root-cause investigation as adults with PCOS or diabetes.</w:t>
      </w:r>
    </w:p>
    <w:p>
      <w:pPr>
        <w:pStyle w:val="Heading3"/>
      </w:pPr>
      <w:r>
        <w:rPr>
          <w:rFonts w:ascii="Calibri" w:cs="Calibri" w:eastAsia="Calibri" w:hAnsi="Calibri"/>
          <w:b/>
          <w:bCs/>
          <w:color w:val="6D28D9"/>
          <w:sz w:val="24"/>
          <w:szCs w:val="24"/>
        </w:rPr>
        <w:t xml:space="preserve">4.6 Complementary, Not Combative</w:t>
      </w:r>
    </w:p>
    <w:p>
      <w:pPr>
        <w:pStyle w:val="BodyText"/>
      </w:pPr>
      <w:r>
        <w:rPr>
          <w:rFonts w:ascii="Calibri" w:cs="Calibri" w:eastAsia="Calibri" w:hAnsi="Calibri"/>
          <w:color w:val="374151"/>
          <w:sz w:val="22"/>
          <w:szCs w:val="22"/>
        </w:rPr>
        <w:t xml:space="preserve">We respect conventional medicine. Your doctors have done important work. We build on that foundation — adding the layers that most clinical settings don’t have the time for.</w:t>
      </w:r>
    </w:p>
    <w:p>
      <w:pPr>
        <w:pStyle w:val="Heading1"/>
      </w:pPr>
      <w:r>
        <w:rPr>
          <w:rFonts w:ascii="Calibri Light" w:cs="Calibri Light" w:eastAsia="Calibri Light" w:hAnsi="Calibri Light"/>
          <w:b/>
          <w:bCs/>
          <w:color w:val="5E35A1"/>
          <w:sz w:val="40"/>
          <w:szCs w:val="40"/>
        </w:rPr>
        <w:t xml:space="preserve">5. Origin Story</w:t>
      </w:r>
    </w:p>
    <w:p>
      <w:pPr>
        <w:pBdr>
          <w:bottom w:val="single" w:color="DDD6FE" w:sz="6" w:space="1"/>
        </w:pBdr>
        <w:spacing w:after="200" w:before="200"/>
      </w:pPr>
      <w:r>
        <w:t xml:space="preserve"/>
      </w:r>
    </w:p>
    <w:p>
      <w:pPr>
        <w:pStyle w:val="Heading2"/>
      </w:pPr>
      <w:r>
        <w:rPr>
          <w:rFonts w:ascii="Calibri" w:cs="Calibri" w:eastAsia="Calibri" w:hAnsi="Calibri"/>
          <w:b/>
          <w:bCs/>
          <w:color w:val="8B5CF6"/>
          <w:sz w:val="28"/>
          <w:szCs w:val="28"/>
        </w:rPr>
        <w:t xml:space="preserve">Why BioHeal Exists</w:t>
      </w:r>
    </w:p>
    <w:p>
      <w:pPr>
        <w:pStyle w:val="Quote"/>
      </w:pPr>
      <w:r>
        <w:rPr>
          <w:rFonts w:ascii="Calibri Light" w:cs="Calibri Light" w:eastAsia="Calibri Light" w:hAnsi="Calibri Light"/>
          <w:i/>
          <w:iCs/>
          <w:color w:val="5E35A1"/>
          <w:sz w:val="24"/>
          <w:szCs w:val="24"/>
        </w:rPr>
        <w:t xml:space="preserve">“You’ve been treated. But have you been healed?”</w:t>
      </w:r>
    </w:p>
    <w:p>
      <w:pPr>
        <w:spacing w:after="0" w:before="80"/>
      </w:pPr>
      <w:r>
        <w:t xml:space="preserve"/>
      </w:r>
    </w:p>
    <w:p>
      <w:pPr>
        <w:pStyle w:val="BodyText"/>
      </w:pPr>
      <w:r>
        <w:rPr>
          <w:rFonts w:ascii="Calibri" w:cs="Calibri" w:eastAsia="Calibri" w:hAnsi="Calibri"/>
          <w:color w:val="374151"/>
          <w:sz w:val="22"/>
          <w:szCs w:val="22"/>
        </w:rPr>
        <w:t xml:space="preserve">You followed the prescription. You took the medication. Your doctor said you were better. But months later, the same symptoms returned — the fatigue, the bloating, the weight that won’t budge, the hormones that won’t balance.</w:t>
      </w:r>
    </w:p>
    <w:p>
      <w:pPr>
        <w:spacing w:after="0" w:before="80"/>
      </w:pPr>
      <w:r>
        <w:t xml:space="preserve"/>
      </w:r>
    </w:p>
    <w:p>
      <w:pPr>
        <w:pStyle w:val="BodyText"/>
      </w:pPr>
      <w:r>
        <w:rPr>
          <w:rFonts w:ascii="Calibri" w:cs="Calibri" w:eastAsia="Calibri" w:hAnsi="Calibri"/>
          <w:color w:val="374151"/>
          <w:sz w:val="22"/>
          <w:szCs w:val="22"/>
        </w:rPr>
        <w:t xml:space="preserve">Why? Because no one asked why the problem appeared in the first place. No one looked at your nutrition, your sleep, your stress, your environment. No one connected the dots between your gut symptoms and your hormonal imbalance. No one gave you a sustainable plan for after the prescription ran out.</w:t>
      </w:r>
    </w:p>
    <w:p>
      <w:pPr>
        <w:spacing w:after="0" w:before="80"/>
      </w:pPr>
      <w:r>
        <w:t xml:space="preserve"/>
      </w:r>
    </w:p>
    <w:p>
      <w:pPr>
        <w:pStyle w:val="BodyText"/>
      </w:pPr>
      <w:r>
        <w:rPr>
          <w:rFonts w:ascii="Calibri" w:cs="Calibri" w:eastAsia="Calibri" w:hAnsi="Calibri"/>
          <w:b/>
          <w:bCs/>
          <w:color w:val="1F2937"/>
          <w:sz w:val="22"/>
          <w:szCs w:val="22"/>
        </w:rPr>
        <w:t xml:space="preserve">This is the frustration that birthed BioHeal.</w:t>
      </w:r>
    </w:p>
    <w:p>
      <w:pPr>
        <w:spacing w:after="0" w:before="80"/>
      </w:pPr>
      <w:r>
        <w:t xml:space="preserve"/>
      </w:r>
    </w:p>
    <w:p>
      <w:pPr>
        <w:pStyle w:val="BodyText"/>
      </w:pPr>
      <w:r>
        <w:rPr>
          <w:rFonts w:ascii="Calibri" w:cs="Calibri" w:eastAsia="Calibri" w:hAnsi="Calibri"/>
          <w:color w:val="374151"/>
          <w:sz w:val="22"/>
          <w:szCs w:val="22"/>
        </w:rPr>
        <w:t xml:space="preserve">After years of medical training and working within hospital systems, a pattern became impossible to ignore: the conventional model treats disease, but it doesn’t create health. People are managed, not healed. Conditions are suppressed, not resolved. And without a curated, sustainable lifestyle foundation — the same disease comes back. Every time.</w:t>
      </w:r>
    </w:p>
    <w:p>
      <w:pPr>
        <w:spacing w:after="0" w:before="80"/>
      </w:pPr>
      <w:r>
        <w:t xml:space="preserve"/>
      </w:r>
    </w:p>
    <w:p>
      <w:pPr>
        <w:pStyle w:val="BodyText"/>
      </w:pPr>
      <w:r>
        <w:rPr>
          <w:rFonts w:ascii="Calibri" w:cs="Calibri" w:eastAsia="Calibri" w:hAnsi="Calibri"/>
          <w:color w:val="374151"/>
          <w:sz w:val="22"/>
          <w:szCs w:val="22"/>
        </w:rPr>
        <w:t xml:space="preserve">Functional medicine addresses this gap. It asks the deeper questions. It looks at the full timeline. It sees the person — not just the lab report. And most importantly, it builds a foundation of health that prevents the same problems from returning.</w:t>
      </w:r>
    </w:p>
    <w:p>
      <w:pPr>
        <w:spacing w:after="0" w:before="80"/>
      </w:pPr>
      <w:r>
        <w:t xml:space="preserve"/>
      </w:r>
    </w:p>
    <w:p>
      <w:pPr>
        <w:pStyle w:val="BodyText"/>
      </w:pPr>
      <w:r>
        <w:rPr>
          <w:rFonts w:ascii="Calibri" w:cs="Calibri" w:eastAsia="Calibri" w:hAnsi="Calibri"/>
          <w:b/>
          <w:bCs/>
          <w:color w:val="1F2937"/>
          <w:sz w:val="22"/>
          <w:szCs w:val="22"/>
        </w:rPr>
        <w:t xml:space="preserve">BioHeal exists to bring this approach to people who deserve better than the “treat and repeat” cycle. </w:t>
      </w:r>
      <w:r>
        <w:rPr>
          <w:rFonts w:ascii="Calibri" w:cs="Calibri" w:eastAsia="Calibri" w:hAnsi="Calibri"/>
          <w:color w:val="374151"/>
          <w:sz w:val="22"/>
          <w:szCs w:val="22"/>
        </w:rPr>
        <w:t xml:space="preserve">To help them understand their own biology, make informed choices, and build lasting wellness — healing through lifestyle, guided by science.</w:t>
      </w:r>
    </w:p>
    <w:p>
      <w:pPr>
        <w:pStyle w:val="Heading1"/>
      </w:pPr>
      <w:r>
        <w:rPr>
          <w:rFonts w:ascii="Calibri Light" w:cs="Calibri Light" w:eastAsia="Calibri Light" w:hAnsi="Calibri Light"/>
          <w:b/>
          <w:bCs/>
          <w:color w:val="5E35A1"/>
          <w:sz w:val="40"/>
          <w:szCs w:val="40"/>
        </w:rPr>
        <w:t xml:space="preserve">6. Brand Identity</w:t>
      </w:r>
    </w:p>
    <w:p>
      <w:pPr>
        <w:pBdr>
          <w:bottom w:val="single" w:color="DDD6FE" w:sz="6" w:space="1"/>
        </w:pBdr>
        <w:spacing w:after="200" w:before="200"/>
      </w:pPr>
      <w:r>
        <w:t xml:space="preserve"/>
      </w:r>
    </w:p>
    <w:p>
      <w:pPr>
        <w:pStyle w:val="Heading2"/>
      </w:pPr>
      <w:r>
        <w:rPr>
          <w:rFonts w:ascii="Calibri" w:cs="Calibri" w:eastAsia="Calibri" w:hAnsi="Calibri"/>
          <w:b/>
          <w:bCs/>
          <w:color w:val="8B5CF6"/>
          <w:sz w:val="28"/>
          <w:szCs w:val="28"/>
        </w:rPr>
        <w:t xml:space="preserve">6.1 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Trait</w:t>
            </w:r>
          </w:p>
        </w:tc>
        <w:tc>
          <w:tcPr>
            <w:tcW w:type="dxa" w:w="736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Expression</w:t>
            </w:r>
          </w:p>
        </w:tc>
      </w:tr>
      <w:tr>
        <w:tc>
          <w:tcPr>
            <w:tcW w:type="dxa" w:w="200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bCs/>
                <w:color w:val="5E35A1"/>
                <w:sz w:val="20"/>
                <w:szCs w:val="20"/>
              </w:rPr>
              <w:t xml:space="preserve">Scientific</w:t>
            </w:r>
          </w:p>
        </w:tc>
        <w:tc>
          <w:tcPr>
            <w:tcW w:type="dxa" w:w="736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We use evidence, data, and clinical reasoning — never guesswork</w:t>
            </w:r>
          </w:p>
        </w:tc>
      </w:tr>
      <w:tr>
        <w:tc>
          <w:tcPr>
            <w:tcW w:type="dxa" w:w="2000"/>
            <w:tcBorders>
              <w:top w:val="single" w:color="DDD6FE" w:sz="4"/>
              <w:left w:val="single" w:color="DDD6FE" w:sz="4"/>
              <w:bottom w:val="single" w:color="DDD6FE" w:sz="4"/>
              <w:right w:val="single" w:color="DDD6FE" w:sz="4"/>
            </w:tcBorders>
            <w:shd w:fill="EDE9FE" w:val="clear"/>
            <w:tcMar>
              <w:top w:type="dxa" w:w="100"/>
              <w:left w:type="dxa" w:w="140"/>
              <w:bottom w:type="dxa" w:w="100"/>
              <w:right w:type="dxa" w:w="140"/>
            </w:tcMar>
          </w:tcPr>
          <w:p>
            <w:r>
              <w:rPr>
                <w:rFonts w:ascii="Calibri" w:cs="Calibri" w:eastAsia="Calibri" w:hAnsi="Calibri"/>
                <w:b/>
                <w:bCs/>
                <w:color w:val="5E35A1"/>
                <w:sz w:val="20"/>
                <w:szCs w:val="20"/>
              </w:rPr>
              <w:t xml:space="preserve">Compassionate</w:t>
            </w:r>
          </w:p>
        </w:tc>
        <w:tc>
          <w:tcPr>
            <w:tcW w:type="dxa" w:w="736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We listen deeply, judge never, and meet people where they are</w:t>
            </w:r>
          </w:p>
        </w:tc>
      </w:tr>
      <w:tr>
        <w:tc>
          <w:tcPr>
            <w:tcW w:type="dxa" w:w="200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bCs/>
                <w:color w:val="5E35A1"/>
                <w:sz w:val="20"/>
                <w:szCs w:val="20"/>
              </w:rPr>
              <w:t xml:space="preserve">Holistic</w:t>
            </w:r>
          </w:p>
        </w:tc>
        <w:tc>
          <w:tcPr>
            <w:tcW w:type="dxa" w:w="736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We see the whole person — body, mind, lifestyle, environment</w:t>
            </w:r>
          </w:p>
        </w:tc>
      </w:tr>
      <w:tr>
        <w:tc>
          <w:tcPr>
            <w:tcW w:type="dxa" w:w="2000"/>
            <w:tcBorders>
              <w:top w:val="single" w:color="DDD6FE" w:sz="4"/>
              <w:left w:val="single" w:color="DDD6FE" w:sz="4"/>
              <w:bottom w:val="single" w:color="DDD6FE" w:sz="4"/>
              <w:right w:val="single" w:color="DDD6FE" w:sz="4"/>
            </w:tcBorders>
            <w:shd w:fill="EDE9FE" w:val="clear"/>
            <w:tcMar>
              <w:top w:type="dxa" w:w="100"/>
              <w:left w:type="dxa" w:w="140"/>
              <w:bottom w:type="dxa" w:w="100"/>
              <w:right w:type="dxa" w:w="140"/>
            </w:tcMar>
          </w:tcPr>
          <w:p>
            <w:r>
              <w:rPr>
                <w:rFonts w:ascii="Calibri" w:cs="Calibri" w:eastAsia="Calibri" w:hAnsi="Calibri"/>
                <w:b/>
                <w:bCs/>
                <w:color w:val="5E35A1"/>
                <w:sz w:val="20"/>
                <w:szCs w:val="20"/>
              </w:rPr>
              <w:t xml:space="preserve">Premium</w:t>
            </w:r>
          </w:p>
        </w:tc>
        <w:tc>
          <w:tcPr>
            <w:tcW w:type="dxa" w:w="736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Our care is thoughtful, unhurried, and deeply personalised</w:t>
            </w:r>
          </w:p>
        </w:tc>
      </w:tr>
      <w:tr>
        <w:tc>
          <w:tcPr>
            <w:tcW w:type="dxa" w:w="200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bCs/>
                <w:color w:val="5E35A1"/>
                <w:sz w:val="20"/>
                <w:szCs w:val="20"/>
              </w:rPr>
              <w:t xml:space="preserve">Calm</w:t>
            </w:r>
          </w:p>
        </w:tc>
        <w:tc>
          <w:tcPr>
            <w:tcW w:type="dxa" w:w="736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Our presence is reassuring — not clinical, not intimidating</w:t>
            </w:r>
          </w:p>
        </w:tc>
      </w:tr>
      <w:tr>
        <w:tc>
          <w:tcPr>
            <w:tcW w:type="dxa" w:w="2000"/>
            <w:tcBorders>
              <w:top w:val="single" w:color="DDD6FE" w:sz="4"/>
              <w:left w:val="single" w:color="DDD6FE" w:sz="4"/>
              <w:bottom w:val="single" w:color="DDD6FE" w:sz="4"/>
              <w:right w:val="single" w:color="DDD6FE" w:sz="4"/>
            </w:tcBorders>
            <w:shd w:fill="EDE9FE" w:val="clear"/>
            <w:tcMar>
              <w:top w:type="dxa" w:w="100"/>
              <w:left w:type="dxa" w:w="140"/>
              <w:bottom w:type="dxa" w:w="100"/>
              <w:right w:type="dxa" w:w="140"/>
            </w:tcMar>
          </w:tcPr>
          <w:p>
            <w:r>
              <w:rPr>
                <w:rFonts w:ascii="Calibri" w:cs="Calibri" w:eastAsia="Calibri" w:hAnsi="Calibri"/>
                <w:b/>
                <w:bCs/>
                <w:color w:val="5E35A1"/>
                <w:sz w:val="20"/>
                <w:szCs w:val="20"/>
              </w:rPr>
              <w:t xml:space="preserve">Trustworthy</w:t>
            </w:r>
          </w:p>
        </w:tc>
        <w:tc>
          <w:tcPr>
            <w:tcW w:type="dxa" w:w="736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We’re transparent about what we can and cannot do</w:t>
            </w:r>
          </w:p>
        </w:tc>
      </w:tr>
      <w:tr>
        <w:tc>
          <w:tcPr>
            <w:tcW w:type="dxa" w:w="200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bCs/>
                <w:color w:val="5E35A1"/>
                <w:sz w:val="20"/>
                <w:szCs w:val="20"/>
              </w:rPr>
              <w:t xml:space="preserve">Empowering</w:t>
            </w:r>
          </w:p>
        </w:tc>
        <w:tc>
          <w:tcPr>
            <w:tcW w:type="dxa" w:w="736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We educate, not dictate — building health literacy in every interaction</w:t>
            </w:r>
          </w:p>
        </w:tc>
      </w:tr>
    </w:tbl>
    <w:p>
      <w:pPr>
        <w:pStyle w:val="Heading2"/>
      </w:pPr>
      <w:r>
        <w:rPr>
          <w:rFonts w:ascii="Calibri" w:cs="Calibri" w:eastAsia="Calibri" w:hAnsi="Calibri"/>
          <w:b/>
          <w:bCs/>
          <w:color w:val="8B5CF6"/>
          <w:sz w:val="28"/>
          <w:szCs w:val="28"/>
        </w:rPr>
        <w:t xml:space="preserve">6.2 Visual Identity</w:t>
      </w:r>
    </w:p>
    <w:p>
      <w:pPr>
        <w:pStyle w:val="Heading3"/>
      </w:pPr>
      <w:r>
        <w:rPr>
          <w:rFonts w:ascii="Calibri" w:cs="Calibri" w:eastAsia="Calibri" w:hAnsi="Calibri"/>
          <w:b/>
          <w:bCs/>
          <w:color w:val="6D28D9"/>
          <w:sz w:val="24"/>
          <w:szCs w:val="24"/>
        </w:rPr>
        <w:t xml:space="preserve">Colour Palette</w:t>
      </w:r>
    </w:p>
    <w:p>
      <w:pPr>
        <w:pStyle w:val="ListParagraph"/>
        <w:numPr>
          <w:ilvl w:val="0"/>
          <w:numId w:val="4"/>
        </w:numPr>
      </w:pPr>
      <w:r>
        <w:rPr>
          <w:rFonts w:ascii="Calibri" w:cs="Calibri" w:eastAsia="Calibri" w:hAnsi="Calibri"/>
          <w:color w:val="374151"/>
          <w:sz w:val="22"/>
          <w:szCs w:val="22"/>
        </w:rPr>
        <w:t xml:space="preserve">Primary: Purple &amp; Lavender — wisdom, healing, premium, calm</w:t>
      </w:r>
    </w:p>
    <w:p>
      <w:pPr>
        <w:pStyle w:val="ListParagraph"/>
        <w:numPr>
          <w:ilvl w:val="0"/>
          <w:numId w:val="4"/>
        </w:numPr>
      </w:pPr>
      <w:r>
        <w:rPr>
          <w:rFonts w:ascii="Calibri" w:cs="Calibri" w:eastAsia="Calibri" w:hAnsi="Calibri"/>
          <w:color w:val="374151"/>
          <w:sz w:val="22"/>
          <w:szCs w:val="22"/>
        </w:rPr>
        <w:t xml:space="preserve">Background: Clean whites with soft gradients</w:t>
      </w:r>
    </w:p>
    <w:p>
      <w:pPr>
        <w:pStyle w:val="ListParagraph"/>
        <w:numPr>
          <w:ilvl w:val="0"/>
          <w:numId w:val="4"/>
        </w:numPr>
      </w:pPr>
      <w:r>
        <w:rPr>
          <w:rFonts w:ascii="Calibri" w:cs="Calibri" w:eastAsia="Calibri" w:hAnsi="Calibri"/>
          <w:color w:val="374151"/>
          <w:sz w:val="22"/>
          <w:szCs w:val="22"/>
        </w:rPr>
        <w:t xml:space="preserve">Accents: Soft sage green — nature, growth, renewal</w:t>
      </w:r>
    </w:p>
    <w:p>
      <w:pPr>
        <w:pStyle w:val="Heading3"/>
      </w:pPr>
      <w:r>
        <w:rPr>
          <w:rFonts w:ascii="Calibri" w:cs="Calibri" w:eastAsia="Calibri" w:hAnsi="Calibri"/>
          <w:b/>
          <w:bCs/>
          <w:color w:val="6D28D9"/>
          <w:sz w:val="24"/>
          <w:szCs w:val="24"/>
        </w:rPr>
        <w:t xml:space="preserve">Visual Style Principles</w:t>
      </w:r>
    </w:p>
    <w:p>
      <w:pPr>
        <w:pStyle w:val="ListParagraph"/>
        <w:numPr>
          <w:ilvl w:val="0"/>
          <w:numId w:val="4"/>
        </w:numPr>
      </w:pPr>
      <w:r>
        <w:rPr>
          <w:rFonts w:ascii="Calibri" w:cs="Calibri" w:eastAsia="Calibri" w:hAnsi="Calibri"/>
          <w:color w:val="374151"/>
          <w:sz w:val="22"/>
          <w:szCs w:val="22"/>
        </w:rPr>
        <w:t xml:space="preserve">Minimalist, airy layouts with generous white space — elegant but not hollow or empty</w:t>
      </w:r>
    </w:p>
    <w:p>
      <w:pPr>
        <w:pStyle w:val="ListParagraph"/>
        <w:numPr>
          <w:ilvl w:val="0"/>
          <w:numId w:val="4"/>
        </w:numPr>
      </w:pPr>
      <w:r>
        <w:rPr>
          <w:rFonts w:ascii="Calibri" w:cs="Calibri" w:eastAsia="Calibri" w:hAnsi="Calibri"/>
          <w:color w:val="374151"/>
          <w:sz w:val="22"/>
          <w:szCs w:val="22"/>
        </w:rPr>
        <w:t xml:space="preserve">Every section should feel purposeful and content-rich while maintaining breathing room</w:t>
      </w:r>
    </w:p>
    <w:p>
      <w:pPr>
        <w:pStyle w:val="ListParagraph"/>
        <w:numPr>
          <w:ilvl w:val="0"/>
          <w:numId w:val="4"/>
        </w:numPr>
      </w:pPr>
      <w:r>
        <w:rPr>
          <w:rFonts w:ascii="Calibri" w:cs="Calibri" w:eastAsia="Calibri" w:hAnsi="Calibri"/>
          <w:color w:val="374151"/>
          <w:sz w:val="22"/>
          <w:szCs w:val="22"/>
        </w:rPr>
        <w:t xml:space="preserve">Soft gradients and organic, nature-inspired shapes</w:t>
      </w:r>
    </w:p>
    <w:p>
      <w:pPr>
        <w:pStyle w:val="ListParagraph"/>
        <w:numPr>
          <w:ilvl w:val="0"/>
          <w:numId w:val="4"/>
        </w:numPr>
      </w:pPr>
      <w:r>
        <w:rPr>
          <w:rFonts w:ascii="Calibri" w:cs="Calibri" w:eastAsia="Calibri" w:hAnsi="Calibri"/>
          <w:color w:val="374151"/>
          <w:sz w:val="22"/>
          <w:szCs w:val="22"/>
        </w:rPr>
        <w:t xml:space="preserve">Rounded corners — nothing sharp or clinical</w:t>
      </w:r>
    </w:p>
    <w:p>
      <w:pPr>
        <w:pStyle w:val="ListParagraph"/>
        <w:numPr>
          <w:ilvl w:val="0"/>
          <w:numId w:val="4"/>
        </w:numPr>
      </w:pPr>
      <w:r>
        <w:rPr>
          <w:rFonts w:ascii="Calibri" w:cs="Calibri" w:eastAsia="Calibri" w:hAnsi="Calibri"/>
          <w:color w:val="374151"/>
          <w:sz w:val="22"/>
          <w:szCs w:val="22"/>
        </w:rPr>
        <w:t xml:space="preserve">Elegant illustrations over stock photography</w:t>
      </w:r>
    </w:p>
    <w:p>
      <w:pPr>
        <w:pStyle w:val="ListParagraph"/>
        <w:numPr>
          <w:ilvl w:val="0"/>
          <w:numId w:val="4"/>
        </w:numPr>
      </w:pPr>
      <w:r>
        <w:rPr>
          <w:rFonts w:ascii="Calibri" w:cs="Calibri" w:eastAsia="Calibri" w:hAnsi="Calibri"/>
          <w:color w:val="374151"/>
          <w:sz w:val="22"/>
          <w:szCs w:val="22"/>
        </w:rPr>
        <w:t xml:space="preserve">Modern typography: Plus Jakarta Sans + Inter + Playfair Display</w:t>
      </w:r>
    </w:p>
    <w:p>
      <w:pPr>
        <w:pStyle w:val="ListParagraph"/>
        <w:numPr>
          <w:ilvl w:val="0"/>
          <w:numId w:val="4"/>
        </w:numPr>
      </w:pPr>
      <w:r>
        <w:rPr>
          <w:rFonts w:ascii="Calibri" w:cs="Calibri" w:eastAsia="Calibri" w:hAnsi="Calibri"/>
          <w:color w:val="374151"/>
          <w:sz w:val="22"/>
          <w:szCs w:val="22"/>
        </w:rPr>
        <w:t xml:space="preserve">Subtle animations that feel calming, not distracting</w:t>
      </w:r>
    </w:p>
    <w:p>
      <w:pPr>
        <w:pStyle w:val="ListParagraph"/>
        <w:numPr>
          <w:ilvl w:val="0"/>
          <w:numId w:val="4"/>
        </w:numPr>
      </w:pPr>
      <w:r>
        <w:rPr>
          <w:rFonts w:ascii="Calibri" w:cs="Calibri" w:eastAsia="Calibri" w:hAnsi="Calibri"/>
          <w:color w:val="374151"/>
          <w:sz w:val="22"/>
          <w:szCs w:val="22"/>
        </w:rPr>
        <w:t xml:space="preserve">Content density balanced with visual rest</w:t>
      </w:r>
    </w:p>
    <w:p>
      <w:pPr>
        <w:spacing w:after="0" w:before="120"/>
      </w:pPr>
      <w:r>
        <w:t xml:space="preserve"/>
      </w:r>
    </w:p>
    <w:p>
      <w:pPr>
        <w:spacing w:after="160" w:before="120"/>
        <w:ind w:left="560"/>
      </w:pPr>
      <w:r>
        <w:rPr>
          <w:rFonts w:ascii="Calibri" w:cs="Calibri" w:eastAsia="Calibri" w:hAnsi="Calibri"/>
          <w:b/>
          <w:bCs/>
          <w:color w:val="5E35A1"/>
          <w:sz w:val="22"/>
          <w:szCs w:val="22"/>
        </w:rPr>
        <w:t xml:space="preserve">Design Principle: </w:t>
      </w:r>
      <w:r>
        <w:rPr>
          <w:rFonts w:ascii="Calibri" w:cs="Calibri" w:eastAsia="Calibri" w:hAnsi="Calibri"/>
          <w:i/>
          <w:iCs/>
          <w:color w:val="374151"/>
          <w:sz w:val="22"/>
          <w:szCs w:val="22"/>
        </w:rPr>
        <w:t xml:space="preserve">“Every pixel earns its place.” White space is intentional — it directs attention and creates calm — but it’s always in service of content, not a substitute for it.</w:t>
      </w:r>
    </w:p>
    <w:p>
      <w:pPr>
        <w:pStyle w:val="Heading3"/>
      </w:pPr>
      <w:r>
        <w:rPr>
          <w:rFonts w:ascii="Calibri" w:cs="Calibri" w:eastAsia="Calibri" w:hAnsi="Calibri"/>
          <w:b/>
          <w:bCs/>
          <w:color w:val="6D28D9"/>
          <w:sz w:val="24"/>
          <w:szCs w:val="24"/>
        </w:rPr>
        <w:t xml:space="preserve">Absolutely Avoid</w:t>
      </w:r>
    </w:p>
    <w:p>
      <w:pPr>
        <w:pStyle w:val="ListParagraph"/>
        <w:numPr>
          <w:ilvl w:val="0"/>
          <w:numId w:val="3"/>
        </w:numPr>
      </w:pPr>
      <w:r>
        <w:rPr>
          <w:rFonts w:ascii="Calibri" w:cs="Calibri" w:eastAsia="Calibri" w:hAnsi="Calibri"/>
          <w:color w:val="374151"/>
          <w:sz w:val="22"/>
          <w:szCs w:val="22"/>
        </w:rPr>
        <w:t xml:space="preserve">Hospital imagery, white coats, stethoscopes</w:t>
      </w:r>
    </w:p>
    <w:p>
      <w:pPr>
        <w:pStyle w:val="ListParagraph"/>
        <w:numPr>
          <w:ilvl w:val="0"/>
          <w:numId w:val="3"/>
        </w:numPr>
      </w:pPr>
      <w:r>
        <w:rPr>
          <w:rFonts w:ascii="Calibri" w:cs="Calibri" w:eastAsia="Calibri" w:hAnsi="Calibri"/>
          <w:color w:val="374151"/>
          <w:sz w:val="22"/>
          <w:szCs w:val="22"/>
        </w:rPr>
        <w:t xml:space="preserve">Medical crosses, syringes, pills, blood collection</w:t>
      </w:r>
    </w:p>
    <w:p>
      <w:pPr>
        <w:pStyle w:val="ListParagraph"/>
        <w:numPr>
          <w:ilvl w:val="0"/>
          <w:numId w:val="3"/>
        </w:numPr>
      </w:pPr>
      <w:r>
        <w:rPr>
          <w:rFonts w:ascii="Calibri" w:cs="Calibri" w:eastAsia="Calibri" w:hAnsi="Calibri"/>
          <w:color w:val="374151"/>
          <w:sz w:val="22"/>
          <w:szCs w:val="22"/>
        </w:rPr>
        <w:t xml:space="preserve">Laboratory equipment, clinical blue aesthetics</w:t>
      </w:r>
    </w:p>
    <w:p>
      <w:pPr>
        <w:pStyle w:val="ListParagraph"/>
        <w:numPr>
          <w:ilvl w:val="0"/>
          <w:numId w:val="3"/>
        </w:numPr>
      </w:pPr>
      <w:r>
        <w:rPr>
          <w:rFonts w:ascii="Calibri" w:cs="Calibri" w:eastAsia="Calibri" w:hAnsi="Calibri"/>
          <w:color w:val="374151"/>
          <w:sz w:val="22"/>
          <w:szCs w:val="22"/>
        </w:rPr>
        <w:t xml:space="preserve">Emergency or urgency themes</w:t>
      </w:r>
    </w:p>
    <w:p>
      <w:pPr>
        <w:pStyle w:val="ListParagraph"/>
        <w:numPr>
          <w:ilvl w:val="0"/>
          <w:numId w:val="3"/>
        </w:numPr>
      </w:pPr>
      <w:r>
        <w:rPr>
          <w:rFonts w:ascii="Calibri" w:cs="Calibri" w:eastAsia="Calibri" w:hAnsi="Calibri"/>
          <w:color w:val="374151"/>
          <w:sz w:val="22"/>
          <w:szCs w:val="22"/>
        </w:rPr>
        <w:t xml:space="preserve">Before/after body transformation photos</w:t>
      </w:r>
    </w:p>
    <w:p>
      <w:pPr>
        <w:pStyle w:val="ListParagraph"/>
        <w:numPr>
          <w:ilvl w:val="0"/>
          <w:numId w:val="3"/>
        </w:numPr>
      </w:pPr>
      <w:r>
        <w:rPr>
          <w:rFonts w:ascii="Calibri" w:cs="Calibri" w:eastAsia="Calibri" w:hAnsi="Calibri"/>
          <w:color w:val="374151"/>
          <w:sz w:val="22"/>
          <w:szCs w:val="22"/>
        </w:rPr>
        <w:t xml:space="preserve">Hollow sections with just a heading and one line of text</w:t>
      </w:r>
    </w:p>
    <w:p>
      <w:pPr>
        <w:pStyle w:val="ListParagraph"/>
        <w:numPr>
          <w:ilvl w:val="0"/>
          <w:numId w:val="3"/>
        </w:numPr>
      </w:pPr>
      <w:r>
        <w:rPr>
          <w:rFonts w:ascii="Calibri" w:cs="Calibri" w:eastAsia="Calibri" w:hAnsi="Calibri"/>
          <w:color w:val="374151"/>
          <w:sz w:val="22"/>
          <w:szCs w:val="22"/>
        </w:rPr>
        <w:t xml:space="preserve">Generic stock photos of any kind</w:t>
      </w:r>
    </w:p>
    <w:p>
      <w:pPr>
        <w:pStyle w:val="Heading1"/>
      </w:pPr>
      <w:r>
        <w:rPr>
          <w:rFonts w:ascii="Calibri Light" w:cs="Calibri Light" w:eastAsia="Calibri Light" w:hAnsi="Calibri Light"/>
          <w:b/>
          <w:bCs/>
          <w:color w:val="5E35A1"/>
          <w:sz w:val="40"/>
          <w:szCs w:val="40"/>
        </w:rPr>
        <w:t xml:space="preserve">7. Brand Voice &amp; Messaging</w:t>
      </w:r>
    </w:p>
    <w:p>
      <w:pPr>
        <w:pBdr>
          <w:bottom w:val="single" w:color="DDD6FE" w:sz="6" w:space="1"/>
        </w:pBdr>
        <w:spacing w:after="200" w:before="200"/>
      </w:pPr>
      <w:r>
        <w:t xml:space="preserve"/>
      </w:r>
    </w:p>
    <w:p>
      <w:pPr>
        <w:pStyle w:val="Heading2"/>
      </w:pPr>
      <w:r>
        <w:rPr>
          <w:rFonts w:ascii="Calibri" w:cs="Calibri" w:eastAsia="Calibri" w:hAnsi="Calibri"/>
          <w:b/>
          <w:bCs/>
          <w:color w:val="8B5CF6"/>
          <w:sz w:val="28"/>
          <w:szCs w:val="28"/>
        </w:rPr>
        <w:t xml:space="preserve">7.1 How BioHeal Speaks</w:t>
      </w:r>
    </w:p>
    <w:p>
      <w:pPr>
        <w:pStyle w:val="BodyText"/>
      </w:pPr>
      <w:r>
        <w:rPr>
          <w:rFonts w:ascii="Calibri" w:cs="Calibri" w:eastAsia="Calibri" w:hAnsi="Calibri"/>
          <w:color w:val="374151"/>
          <w:sz w:val="22"/>
          <w:szCs w:val="22"/>
        </w:rPr>
        <w:t xml:space="preserve">BioHeal speaks like a thoughtful companion who also happens to have deep expertise. Not a doctor lecturing from behind a desk. Not a wellness influencer making promises. Something in between — grounded, warm, and quietly confident.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Context</w:t>
            </w:r>
          </w:p>
        </w:tc>
        <w:tc>
          <w:tcPr>
            <w:tcW w:type="dxa" w:w="200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Voice</w:t>
            </w:r>
          </w:p>
        </w:tc>
        <w:tc>
          <w:tcPr>
            <w:tcW w:type="dxa" w:w="516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Example</w:t>
            </w:r>
          </w:p>
        </w:tc>
      </w:tr>
      <w:tr>
        <w:tc>
          <w:tcPr>
            <w:tcW w:type="dxa" w:w="220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bCs/>
                <w:color w:val="374151"/>
                <w:sz w:val="20"/>
                <w:szCs w:val="20"/>
              </w:rPr>
              <w:t xml:space="preserve">Homepage / Landing pages</w:t>
            </w:r>
          </w:p>
        </w:tc>
        <w:tc>
          <w:tcPr>
            <w:tcW w:type="dxa" w:w="200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BioHeal as a guide, speaking to “you”</w:t>
            </w:r>
          </w:p>
        </w:tc>
        <w:tc>
          <w:tcPr>
            <w:tcW w:type="dxa" w:w="516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i/>
                <w:iCs/>
                <w:color w:val="5E35A1"/>
                <w:sz w:val="20"/>
                <w:szCs w:val="20"/>
              </w:rPr>
              <w:t xml:space="preserve">“Your body has been trying to tell you something. We’re here to help you listen.”</w:t>
            </w:r>
          </w:p>
        </w:tc>
      </w:tr>
      <w:tr>
        <w:tc>
          <w:tcPr>
            <w:tcW w:type="dxa" w:w="220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bCs/>
                <w:color w:val="374151"/>
                <w:sz w:val="20"/>
                <w:szCs w:val="20"/>
              </w:rPr>
              <w:t xml:space="preserve">Educational content (blog, social)</w:t>
            </w:r>
          </w:p>
        </w:tc>
        <w:tc>
          <w:tcPr>
            <w:tcW w:type="dxa" w:w="200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BioHeal as a knowledgeable companion</w:t>
            </w:r>
          </w:p>
        </w:tc>
        <w:tc>
          <w:tcPr>
            <w:tcW w:type="dxa" w:w="516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i/>
                <w:iCs/>
                <w:color w:val="5E35A1"/>
                <w:sz w:val="20"/>
                <w:szCs w:val="20"/>
              </w:rPr>
              <w:t xml:space="preserve">“Here’s what most people don’t know about thyroid labs...”</w:t>
            </w:r>
          </w:p>
        </w:tc>
      </w:tr>
      <w:tr>
        <w:tc>
          <w:tcPr>
            <w:tcW w:type="dxa" w:w="220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bCs/>
                <w:color w:val="374151"/>
                <w:sz w:val="20"/>
                <w:szCs w:val="20"/>
              </w:rPr>
              <w:t xml:space="preserve">About / Story pages</w:t>
            </w:r>
          </w:p>
        </w:tc>
        <w:tc>
          <w:tcPr>
            <w:tcW w:type="dxa" w:w="200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Personal, founder-led</w:t>
            </w:r>
          </w:p>
        </w:tc>
        <w:tc>
          <w:tcPr>
            <w:tcW w:type="dxa" w:w="516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i/>
                <w:iCs/>
                <w:color w:val="5E35A1"/>
                <w:sz w:val="20"/>
                <w:szCs w:val="20"/>
              </w:rPr>
              <w:t xml:space="preserve">“I kept seeing the same pattern — people treated, but never truly healed.”</w:t>
            </w:r>
          </w:p>
        </w:tc>
      </w:tr>
      <w:tr>
        <w:tc>
          <w:tcPr>
            <w:tcW w:type="dxa" w:w="220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bCs/>
                <w:color w:val="374151"/>
                <w:sz w:val="20"/>
                <w:szCs w:val="20"/>
              </w:rPr>
              <w:t xml:space="preserve">Service descriptions</w:t>
            </w:r>
          </w:p>
        </w:tc>
        <w:tc>
          <w:tcPr>
            <w:tcW w:type="dxa" w:w="200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Warm and clear, BioHeal as “we”</w:t>
            </w:r>
          </w:p>
        </w:tc>
        <w:tc>
          <w:tcPr>
            <w:tcW w:type="dxa" w:w="516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i/>
                <w:iCs/>
                <w:color w:val="5E35A1"/>
                <w:sz w:val="20"/>
                <w:szCs w:val="20"/>
              </w:rPr>
              <w:t xml:space="preserve">“We take the time to understand your full story — not just your symptoms.”</w:t>
            </w:r>
          </w:p>
        </w:tc>
      </w:tr>
      <w:tr>
        <w:tc>
          <w:tcPr>
            <w:tcW w:type="dxa" w:w="220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bCs/>
                <w:color w:val="374151"/>
                <w:sz w:val="20"/>
                <w:szCs w:val="20"/>
              </w:rPr>
              <w:t xml:space="preserve">CTAs and invitations</w:t>
            </w:r>
          </w:p>
        </w:tc>
        <w:tc>
          <w:tcPr>
            <w:tcW w:type="dxa" w:w="200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Gentle, never pushy</w:t>
            </w:r>
          </w:p>
        </w:tc>
        <w:tc>
          <w:tcPr>
            <w:tcW w:type="dxa" w:w="516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i/>
                <w:iCs/>
                <w:color w:val="5E35A1"/>
                <w:sz w:val="20"/>
                <w:szCs w:val="20"/>
              </w:rPr>
              <w:t xml:space="preserve">“Whenever you’re ready, we’d love to hear your story.”</w:t>
            </w:r>
          </w:p>
        </w:tc>
      </w:tr>
    </w:tbl>
    <w:p>
      <w:pPr>
        <w:pStyle w:val="Heading2"/>
      </w:pPr>
      <w:r>
        <w:rPr>
          <w:rFonts w:ascii="Calibri" w:cs="Calibri" w:eastAsia="Calibri" w:hAnsi="Calibri"/>
          <w:b/>
          <w:bCs/>
          <w:color w:val="8B5CF6"/>
          <w:sz w:val="28"/>
          <w:szCs w:val="28"/>
        </w:rPr>
        <w:t xml:space="preserve">7.2 Emotional Register</w:t>
      </w:r>
    </w:p>
    <w:p>
      <w:pPr>
        <w:pStyle w:val="BodyText"/>
      </w:pPr>
      <w:r>
        <w:rPr>
          <w:rFonts w:ascii="Calibri" w:cs="Calibri" w:eastAsia="Calibri" w:hAnsi="Calibri"/>
          <w:b/>
          <w:bCs/>
          <w:color w:val="1F2937"/>
          <w:sz w:val="22"/>
          <w:szCs w:val="22"/>
        </w:rPr>
        <w:t xml:space="preserve">Primary emotion to evoke: Curiosity + Hope</w:t>
      </w:r>
    </w:p>
    <w:p>
      <w:pPr>
        <w:pStyle w:val="Quote"/>
      </w:pPr>
      <w:r>
        <w:rPr>
          <w:rFonts w:ascii="Calibri Light" w:cs="Calibri Light" w:eastAsia="Calibri Light" w:hAnsi="Calibri Light"/>
          <w:i/>
          <w:iCs/>
          <w:color w:val="5E35A1"/>
          <w:sz w:val="24"/>
          <w:szCs w:val="24"/>
        </w:rPr>
        <w:t xml:space="preserve">“Maybe there’s another way.”</w:t>
      </w:r>
    </w:p>
    <w:p>
      <w:pPr>
        <w:pStyle w:val="BodyText"/>
      </w:pPr>
      <w:r>
        <w:rPr>
          <w:rFonts w:ascii="Calibri" w:cs="Calibri" w:eastAsia="Calibri" w:hAnsi="Calibri"/>
          <w:color w:val="374151"/>
          <w:sz w:val="22"/>
          <w:szCs w:val="22"/>
        </w:rPr>
        <w:t xml:space="preserve">Every piece of BioHeal communication should leave the reader feeling:</w:t>
      </w:r>
    </w:p>
    <w:p>
      <w:pPr>
        <w:spacing w:after="0" w:before="80"/>
      </w:pPr>
      <w:r>
        <w:t xml:space="preserve"/>
      </w:r>
    </w:p>
    <w:p>
      <w:pPr>
        <w:pStyle w:val="ListParagraph"/>
        <w:numPr>
          <w:ilvl w:val="0"/>
          <w:numId w:val="4"/>
        </w:numPr>
      </w:pPr>
      <w:r>
        <w:rPr>
          <w:rFonts w:ascii="Calibri" w:cs="Calibri" w:eastAsia="Calibri" w:hAnsi="Calibri"/>
          <w:b/>
          <w:bCs/>
          <w:color w:val="5E35A1"/>
          <w:sz w:val="22"/>
          <w:szCs w:val="22"/>
        </w:rPr>
        <w:t xml:space="preserve">Seen — </w:t>
      </w:r>
      <w:r>
        <w:rPr>
          <w:rFonts w:ascii="Calibri" w:cs="Calibri" w:eastAsia="Calibri" w:hAnsi="Calibri"/>
          <w:color w:val="374151"/>
          <w:sz w:val="22"/>
          <w:szCs w:val="22"/>
        </w:rPr>
        <w:t xml:space="preserve">"They understand what I’ve been going through"</w:t>
      </w:r>
    </w:p>
    <w:p>
      <w:pPr>
        <w:pStyle w:val="ListParagraph"/>
        <w:numPr>
          <w:ilvl w:val="0"/>
          <w:numId w:val="4"/>
        </w:numPr>
      </w:pPr>
      <w:r>
        <w:rPr>
          <w:rFonts w:ascii="Calibri" w:cs="Calibri" w:eastAsia="Calibri" w:hAnsi="Calibri"/>
          <w:b/>
          <w:bCs/>
          <w:color w:val="5E35A1"/>
          <w:sz w:val="22"/>
          <w:szCs w:val="22"/>
        </w:rPr>
        <w:t xml:space="preserve">Curious — </w:t>
      </w:r>
      <w:r>
        <w:rPr>
          <w:rFonts w:ascii="Calibri" w:cs="Calibri" w:eastAsia="Calibri" w:hAnsi="Calibri"/>
          <w:color w:val="374151"/>
          <w:sz w:val="22"/>
          <w:szCs w:val="22"/>
        </w:rPr>
        <w:t xml:space="preserve">"I didn’t know this was possible"</w:t>
      </w:r>
    </w:p>
    <w:p>
      <w:pPr>
        <w:pStyle w:val="ListParagraph"/>
        <w:numPr>
          <w:ilvl w:val="0"/>
          <w:numId w:val="4"/>
        </w:numPr>
      </w:pPr>
      <w:r>
        <w:rPr>
          <w:rFonts w:ascii="Calibri" w:cs="Calibri" w:eastAsia="Calibri" w:hAnsi="Calibri"/>
          <w:b/>
          <w:bCs/>
          <w:color w:val="5E35A1"/>
          <w:sz w:val="22"/>
          <w:szCs w:val="22"/>
        </w:rPr>
        <w:t xml:space="preserve">Hopeful — </w:t>
      </w:r>
      <w:r>
        <w:rPr>
          <w:rFonts w:ascii="Calibri" w:cs="Calibri" w:eastAsia="Calibri" w:hAnsi="Calibri"/>
          <w:color w:val="374151"/>
          <w:sz w:val="22"/>
          <w:szCs w:val="22"/>
        </w:rPr>
        <w:t xml:space="preserve">"Maybe I don’t have to keep living like this"</w:t>
      </w:r>
    </w:p>
    <w:p>
      <w:pPr>
        <w:pStyle w:val="ListParagraph"/>
        <w:numPr>
          <w:ilvl w:val="0"/>
          <w:numId w:val="4"/>
        </w:numPr>
      </w:pPr>
      <w:r>
        <w:rPr>
          <w:rFonts w:ascii="Calibri" w:cs="Calibri" w:eastAsia="Calibri" w:hAnsi="Calibri"/>
          <w:b/>
          <w:bCs/>
          <w:color w:val="5E35A1"/>
          <w:sz w:val="22"/>
          <w:szCs w:val="22"/>
        </w:rPr>
        <w:t xml:space="preserve">Safe — </w:t>
      </w:r>
      <w:r>
        <w:rPr>
          <w:rFonts w:ascii="Calibri" w:cs="Calibri" w:eastAsia="Calibri" w:hAnsi="Calibri"/>
          <w:color w:val="374151"/>
          <w:sz w:val="22"/>
          <w:szCs w:val="22"/>
        </w:rPr>
        <w:t xml:space="preserve">"These people won’t judge me or rush me"</w:t>
      </w:r>
    </w:p>
    <w:p>
      <w:pPr>
        <w:spacing w:after="0" w:before="160"/>
      </w:pPr>
      <w:r>
        <w:t xml:space="preserve"/>
      </w:r>
    </w:p>
    <w:p>
      <w:pPr>
        <w:pStyle w:val="Heading3"/>
      </w:pPr>
      <w:r>
        <w:rPr>
          <w:rFonts w:ascii="Calibri" w:cs="Calibri" w:eastAsia="Calibri" w:hAnsi="Calibri"/>
          <w:b/>
          <w:bCs/>
          <w:color w:val="6D28D9"/>
          <w:sz w:val="24"/>
          <w:szCs w:val="24"/>
        </w:rPr>
        <w:t xml:space="preserve">Emotional Arc of a Website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Stage</w:t>
            </w:r>
          </w:p>
        </w:tc>
        <w:tc>
          <w:tcPr>
            <w:tcW w:type="dxa" w:w="234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Visitor Experience</w:t>
            </w:r>
          </w:p>
        </w:tc>
        <w:tc>
          <w:tcPr>
            <w:tcW w:type="dxa" w:w="234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Emotional Outcome</w:t>
            </w:r>
          </w:p>
        </w:tc>
        <w:tc>
          <w:tcPr>
            <w:tcW w:type="dxa" w:w="234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Example Signal</w:t>
            </w:r>
          </w:p>
        </w:tc>
      </w:tr>
      <w:tr>
        <w:tc>
          <w:tcPr>
            <w:tcW w:type="dxa" w:w="234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bCs/>
                <w:color w:val="5E35A1"/>
                <w:sz w:val="20"/>
                <w:szCs w:val="20"/>
              </w:rPr>
              <w:t xml:space="preserve">Landing</w:t>
            </w:r>
          </w:p>
        </w:tc>
        <w:tc>
          <w:tcPr>
            <w:tcW w:type="dxa" w:w="234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First impression</w:t>
            </w:r>
          </w:p>
        </w:tc>
        <w:tc>
          <w:tcPr>
            <w:tcW w:type="dxa" w:w="234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"This sounds like me"</w:t>
            </w:r>
          </w:p>
        </w:tc>
        <w:tc>
          <w:tcPr>
            <w:tcW w:type="dxa" w:w="234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Validation &amp; recognition</w:t>
            </w:r>
          </w:p>
        </w:tc>
      </w:tr>
      <w:tr>
        <w:tc>
          <w:tcPr>
            <w:tcW w:type="dxa" w:w="2340"/>
            <w:tcBorders>
              <w:top w:val="single" w:color="DDD6FE" w:sz="4"/>
              <w:left w:val="single" w:color="DDD6FE" w:sz="4"/>
              <w:bottom w:val="single" w:color="DDD6FE" w:sz="4"/>
              <w:right w:val="single" w:color="DDD6FE" w:sz="4"/>
            </w:tcBorders>
            <w:shd w:fill="EDE9FE" w:val="clear"/>
            <w:tcMar>
              <w:top w:type="dxa" w:w="100"/>
              <w:left w:type="dxa" w:w="140"/>
              <w:bottom w:type="dxa" w:w="100"/>
              <w:right w:type="dxa" w:w="140"/>
            </w:tcMar>
          </w:tcPr>
          <w:p>
            <w:r>
              <w:rPr>
                <w:rFonts w:ascii="Calibri" w:cs="Calibri" w:eastAsia="Calibri" w:hAnsi="Calibri"/>
                <w:b/>
                <w:bCs/>
                <w:color w:val="5E35A1"/>
                <w:sz w:val="20"/>
                <w:szCs w:val="20"/>
              </w:rPr>
              <w:t xml:space="preserve">Scrolling</w:t>
            </w:r>
          </w:p>
        </w:tc>
        <w:tc>
          <w:tcPr>
            <w:tcW w:type="dxa" w:w="234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Discovery</w:t>
            </w:r>
          </w:p>
        </w:tc>
        <w:tc>
          <w:tcPr>
            <w:tcW w:type="dxa" w:w="234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"I didn’t know this"</w:t>
            </w:r>
          </w:p>
        </w:tc>
        <w:tc>
          <w:tcPr>
            <w:tcW w:type="dxa" w:w="234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Curiosity ignited</w:t>
            </w:r>
          </w:p>
        </w:tc>
      </w:tr>
      <w:tr>
        <w:tc>
          <w:tcPr>
            <w:tcW w:type="dxa" w:w="234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bCs/>
                <w:color w:val="5E35A1"/>
                <w:sz w:val="20"/>
                <w:szCs w:val="20"/>
              </w:rPr>
              <w:t xml:space="preserve">Reading Deeper</w:t>
            </w:r>
          </w:p>
        </w:tc>
        <w:tc>
          <w:tcPr>
            <w:tcW w:type="dxa" w:w="234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Engagement</w:t>
            </w:r>
          </w:p>
        </w:tc>
        <w:tc>
          <w:tcPr>
            <w:tcW w:type="dxa" w:w="234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"This feels different"</w:t>
            </w:r>
          </w:p>
        </w:tc>
        <w:tc>
          <w:tcPr>
            <w:tcW w:type="dxa" w:w="234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Hope building</w:t>
            </w:r>
          </w:p>
        </w:tc>
      </w:tr>
      <w:tr>
        <w:tc>
          <w:tcPr>
            <w:tcW w:type="dxa" w:w="2340"/>
            <w:tcBorders>
              <w:top w:val="single" w:color="DDD6FE" w:sz="4"/>
              <w:left w:val="single" w:color="DDD6FE" w:sz="4"/>
              <w:bottom w:val="single" w:color="DDD6FE" w:sz="4"/>
              <w:right w:val="single" w:color="DDD6FE" w:sz="4"/>
            </w:tcBorders>
            <w:shd w:fill="EDE9FE" w:val="clear"/>
            <w:tcMar>
              <w:top w:type="dxa" w:w="100"/>
              <w:left w:type="dxa" w:w="140"/>
              <w:bottom w:type="dxa" w:w="100"/>
              <w:right w:type="dxa" w:w="140"/>
            </w:tcMar>
          </w:tcPr>
          <w:p>
            <w:r>
              <w:rPr>
                <w:rFonts w:ascii="Calibri" w:cs="Calibri" w:eastAsia="Calibri" w:hAnsi="Calibri"/>
                <w:b/>
                <w:bCs/>
                <w:color w:val="5E35A1"/>
                <w:sz w:val="20"/>
                <w:szCs w:val="20"/>
              </w:rPr>
              <w:t xml:space="preserve">Reaching CTA</w:t>
            </w:r>
          </w:p>
        </w:tc>
        <w:tc>
          <w:tcPr>
            <w:tcW w:type="dxa" w:w="234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Decision point</w:t>
            </w:r>
          </w:p>
        </w:tc>
        <w:tc>
          <w:tcPr>
            <w:tcW w:type="dxa" w:w="234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"I want to explore this"</w:t>
            </w:r>
          </w:p>
        </w:tc>
        <w:tc>
          <w:tcPr>
            <w:tcW w:type="dxa" w:w="234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Gentle motivation</w:t>
            </w:r>
          </w:p>
        </w:tc>
      </w:tr>
    </w:tbl>
    <w:p>
      <w:pPr>
        <w:spacing w:after="0" w:before="120"/>
      </w:pPr>
      <w:r>
        <w:t xml:space="preserve"/>
      </w:r>
    </w:p>
    <w:p>
      <w:pPr>
        <w:pStyle w:val="BodyText"/>
      </w:pPr>
      <w:r>
        <w:rPr>
          <w:rFonts w:ascii="Calibri" w:cs="Calibri" w:eastAsia="Calibri" w:hAnsi="Calibri"/>
          <w:color w:val="374151"/>
          <w:sz w:val="22"/>
          <w:szCs w:val="22"/>
        </w:rPr>
        <w:t xml:space="preserve">We never create urgency. We never use fear. We open a door and let people walk through it when they’re ready.</w:t>
      </w:r>
    </w:p>
    <w:p>
      <w:pPr>
        <w:pStyle w:val="Heading2"/>
      </w:pPr>
      <w:r>
        <w:rPr>
          <w:rFonts w:ascii="Calibri" w:cs="Calibri" w:eastAsia="Calibri" w:hAnsi="Calibri"/>
          <w:b/>
          <w:bCs/>
          <w:color w:val="8B5CF6"/>
          <w:sz w:val="28"/>
          <w:szCs w:val="28"/>
        </w:rPr>
        <w:t xml:space="preserve">7.3 Tone Principles</w:t>
      </w:r>
    </w:p>
    <w:p>
      <w:pPr>
        <w:spacing w:after="60" w:before="160"/>
      </w:pPr>
      <w:r>
        <w:rPr>
          <w:rFonts w:ascii="Calibri" w:cs="Calibri" w:eastAsia="Calibri" w:hAnsi="Calibri"/>
          <w:b/>
          <w:bCs/>
          <w:color w:val="5E35A1"/>
          <w:sz w:val="22"/>
          <w:szCs w:val="22"/>
        </w:rPr>
        <w:t xml:space="preserve">Gentle, Not Passive</w:t>
      </w:r>
    </w:p>
    <w:p>
      <w:pPr>
        <w:spacing w:after="120" w:before="0"/>
        <w:ind w:left="360"/>
      </w:pPr>
      <w:r>
        <w:rPr>
          <w:rFonts w:ascii="Calibri" w:cs="Calibri" w:eastAsia="Calibri" w:hAnsi="Calibri"/>
          <w:color w:val="374151"/>
          <w:sz w:val="22"/>
          <w:szCs w:val="22"/>
        </w:rPr>
        <w:t xml:space="preserve">We’re inviting, but not vague. We have a clear point of view — we just deliver it with warmth.</w:t>
      </w:r>
    </w:p>
    <w:p>
      <w:pPr>
        <w:spacing w:after="60" w:before="160"/>
      </w:pPr>
      <w:r>
        <w:rPr>
          <w:rFonts w:ascii="Calibri" w:cs="Calibri" w:eastAsia="Calibri" w:hAnsi="Calibri"/>
          <w:b/>
          <w:bCs/>
          <w:color w:val="5E35A1"/>
          <w:sz w:val="22"/>
          <w:szCs w:val="22"/>
        </w:rPr>
        <w:t xml:space="preserve">Empathic, Not Pitying</w:t>
      </w:r>
    </w:p>
    <w:p>
      <w:pPr>
        <w:spacing w:after="120" w:before="0"/>
        <w:ind w:left="360"/>
      </w:pPr>
      <w:r>
        <w:rPr>
          <w:rFonts w:ascii="Calibri" w:cs="Calibri" w:eastAsia="Calibri" w:hAnsi="Calibri"/>
          <w:color w:val="374151"/>
          <w:sz w:val="22"/>
          <w:szCs w:val="22"/>
        </w:rPr>
        <w:t xml:space="preserve">We acknowledge struggle without making people feel broken.</w:t>
      </w:r>
    </w:p>
    <w:p>
      <w:pPr>
        <w:spacing w:after="60" w:before="160"/>
      </w:pPr>
      <w:r>
        <w:rPr>
          <w:rFonts w:ascii="Calibri" w:cs="Calibri" w:eastAsia="Calibri" w:hAnsi="Calibri"/>
          <w:b/>
          <w:bCs/>
          <w:color w:val="5E35A1"/>
          <w:sz w:val="22"/>
          <w:szCs w:val="22"/>
        </w:rPr>
        <w:t xml:space="preserve">Confident, Not Arrogant</w:t>
      </w:r>
    </w:p>
    <w:p>
      <w:pPr>
        <w:spacing w:after="120" w:before="0"/>
        <w:ind w:left="360"/>
      </w:pPr>
      <w:r>
        <w:rPr>
          <w:rFonts w:ascii="Calibri" w:cs="Calibri" w:eastAsia="Calibri" w:hAnsi="Calibri"/>
          <w:color w:val="374151"/>
          <w:sz w:val="22"/>
          <w:szCs w:val="22"/>
        </w:rPr>
        <w:t xml:space="preserve">We know our approach works. We don’t need to shout about it.</w:t>
      </w:r>
    </w:p>
    <w:p>
      <w:pPr>
        <w:spacing w:after="60" w:before="160"/>
      </w:pPr>
      <w:r>
        <w:rPr>
          <w:rFonts w:ascii="Calibri" w:cs="Calibri" w:eastAsia="Calibri" w:hAnsi="Calibri"/>
          <w:b/>
          <w:bCs/>
          <w:color w:val="5E35A1"/>
          <w:sz w:val="22"/>
          <w:szCs w:val="22"/>
        </w:rPr>
        <w:t xml:space="preserve">Scientific, Not Cold</w:t>
      </w:r>
    </w:p>
    <w:p>
      <w:pPr>
        <w:spacing w:after="120" w:before="0"/>
        <w:ind w:left="360"/>
      </w:pPr>
      <w:r>
        <w:rPr>
          <w:rFonts w:ascii="Calibri" w:cs="Calibri" w:eastAsia="Calibri" w:hAnsi="Calibri"/>
          <w:color w:val="374151"/>
          <w:sz w:val="22"/>
          <w:szCs w:val="22"/>
        </w:rPr>
        <w:t xml:space="preserve">We reference evidence and reasoning, but always in service of the human in front of us.</w:t>
      </w:r>
    </w:p>
    <w:p>
      <w:pPr>
        <w:spacing w:after="60" w:before="160"/>
      </w:pPr>
      <w:r>
        <w:rPr>
          <w:rFonts w:ascii="Calibri" w:cs="Calibri" w:eastAsia="Calibri" w:hAnsi="Calibri"/>
          <w:b/>
          <w:bCs/>
          <w:color w:val="5E35A1"/>
          <w:sz w:val="22"/>
          <w:szCs w:val="22"/>
        </w:rPr>
        <w:t xml:space="preserve">Inviting, Not Selling</w:t>
      </w:r>
    </w:p>
    <w:p>
      <w:pPr>
        <w:spacing w:after="120" w:before="0"/>
        <w:ind w:left="360"/>
      </w:pPr>
      <w:r>
        <w:rPr>
          <w:rFonts w:ascii="Calibri" w:cs="Calibri" w:eastAsia="Calibri" w:hAnsi="Calibri"/>
          <w:color w:val="374151"/>
          <w:sz w:val="22"/>
          <w:szCs w:val="22"/>
        </w:rPr>
        <w:t xml:space="preserve">We never pressure. We offer. We welcome. We let the work speak.</w:t>
      </w:r>
    </w:p>
    <w:p>
      <w:pPr>
        <w:spacing w:after="60" w:before="160"/>
      </w:pPr>
      <w:r>
        <w:rPr>
          <w:rFonts w:ascii="Calibri" w:cs="Calibri" w:eastAsia="Calibri" w:hAnsi="Calibri"/>
          <w:b/>
          <w:bCs/>
          <w:color w:val="5E35A1"/>
          <w:sz w:val="22"/>
          <w:szCs w:val="22"/>
        </w:rPr>
        <w:t xml:space="preserve">Complementary, Not Combative</w:t>
      </w:r>
    </w:p>
    <w:p>
      <w:pPr>
        <w:spacing w:after="120" w:before="0"/>
        <w:ind w:left="360"/>
      </w:pPr>
      <w:r>
        <w:rPr>
          <w:rFonts w:ascii="Calibri" w:cs="Calibri" w:eastAsia="Calibri" w:hAnsi="Calibri"/>
          <w:color w:val="374151"/>
          <w:sz w:val="22"/>
          <w:szCs w:val="22"/>
        </w:rPr>
        <w:t xml:space="preserve">We respect conventional medicine. We simply address what it wasn’t designed to.</w:t>
      </w:r>
    </w:p>
    <w:p>
      <w:pPr>
        <w:pStyle w:val="Heading2"/>
      </w:pPr>
      <w:r>
        <w:rPr>
          <w:rFonts w:ascii="Calibri" w:cs="Calibri" w:eastAsia="Calibri" w:hAnsi="Calibri"/>
          <w:b/>
          <w:bCs/>
          <w:color w:val="8B5CF6"/>
          <w:sz w:val="28"/>
          <w:szCs w:val="28"/>
        </w:rPr>
        <w:t xml:space="preserve">7.4 Language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Instead of...</w:t>
            </w:r>
          </w:p>
        </w:tc>
        <w:tc>
          <w:tcPr>
            <w:tcW w:type="dxa" w:w="468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BioHeal says...</w:t>
            </w:r>
          </w:p>
        </w:tc>
      </w:tr>
      <w:tr>
        <w:tc>
          <w:tcPr>
            <w:tcW w:type="dxa" w:w="468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Practice</w:t>
            </w:r>
          </w:p>
        </w:tc>
        <w:tc>
          <w:tcPr>
            <w:tcW w:type="dxa" w:w="468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Space / approach / way of working</w:t>
            </w:r>
          </w:p>
        </w:tc>
      </w:tr>
      <w:tr>
        <w:tc>
          <w:tcPr>
            <w:tcW w:type="dxa" w:w="468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Patients</w:t>
            </w:r>
          </w:p>
        </w:tc>
        <w:tc>
          <w:tcPr>
            <w:tcW w:type="dxa" w:w="468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Clients / individuals / people we work with</w:t>
            </w:r>
          </w:p>
        </w:tc>
      </w:tr>
      <w:tr>
        <w:tc>
          <w:tcPr>
            <w:tcW w:type="dxa" w:w="468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Treatment plan</w:t>
            </w:r>
          </w:p>
        </w:tc>
        <w:tc>
          <w:tcPr>
            <w:tcW w:type="dxa" w:w="468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Personalised protocol / your roadmap / your plan</w:t>
            </w:r>
          </w:p>
        </w:tc>
      </w:tr>
      <w:tr>
        <w:tc>
          <w:tcPr>
            <w:tcW w:type="dxa" w:w="468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Diagnose</w:t>
            </w:r>
          </w:p>
        </w:tc>
        <w:tc>
          <w:tcPr>
            <w:tcW w:type="dxa" w:w="468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Identify / uncover / understand</w:t>
            </w:r>
          </w:p>
        </w:tc>
      </w:tr>
      <w:tr>
        <w:tc>
          <w:tcPr>
            <w:tcW w:type="dxa" w:w="468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Cure</w:t>
            </w:r>
          </w:p>
        </w:tc>
        <w:tc>
          <w:tcPr>
            <w:tcW w:type="dxa" w:w="468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Heal / restore / rebalance</w:t>
            </w:r>
          </w:p>
        </w:tc>
      </w:tr>
      <w:tr>
        <w:tc>
          <w:tcPr>
            <w:tcW w:type="dxa" w:w="468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Fix</w:t>
            </w:r>
          </w:p>
        </w:tc>
        <w:tc>
          <w:tcPr>
            <w:tcW w:type="dxa" w:w="468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Support / guide / address</w:t>
            </w:r>
          </w:p>
        </w:tc>
      </w:tr>
      <w:tr>
        <w:tc>
          <w:tcPr>
            <w:tcW w:type="dxa" w:w="468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Problems</w:t>
            </w:r>
          </w:p>
        </w:tc>
        <w:tc>
          <w:tcPr>
            <w:tcW w:type="dxa" w:w="468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Concerns / challenges / patterns</w:t>
            </w:r>
          </w:p>
        </w:tc>
      </w:tr>
      <w:tr>
        <w:tc>
          <w:tcPr>
            <w:tcW w:type="dxa" w:w="468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Compliance</w:t>
            </w:r>
          </w:p>
        </w:tc>
        <w:tc>
          <w:tcPr>
            <w:tcW w:type="dxa" w:w="468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Consistency / commitment / showing up for yourself</w:t>
            </w:r>
          </w:p>
        </w:tc>
      </w:tr>
      <w:tr>
        <w:tc>
          <w:tcPr>
            <w:tcW w:type="dxa" w:w="468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Intake form</w:t>
            </w:r>
          </w:p>
        </w:tc>
        <w:tc>
          <w:tcPr>
            <w:tcW w:type="dxa" w:w="468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Your health story / getting to know you</w:t>
            </w:r>
          </w:p>
        </w:tc>
      </w:tr>
      <w:tr>
        <w:tc>
          <w:tcPr>
            <w:tcW w:type="dxa" w:w="468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Sessions</w:t>
            </w:r>
          </w:p>
        </w:tc>
        <w:tc>
          <w:tcPr>
            <w:tcW w:type="dxa" w:w="468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Conversations / consultations / time together</w:t>
            </w:r>
          </w:p>
        </w:tc>
      </w:tr>
      <w:tr>
        <w:tc>
          <w:tcPr>
            <w:tcW w:type="dxa" w:w="468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Package / Program</w:t>
            </w:r>
          </w:p>
        </w:tc>
        <w:tc>
          <w:tcPr>
            <w:tcW w:type="dxa" w:w="468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Journey / engagement / path</w:t>
            </w:r>
          </w:p>
        </w:tc>
      </w:tr>
    </w:tbl>
    <w:p>
      <w:pPr>
        <w:spacing w:after="0" w:before="160"/>
      </w:pPr>
      <w:r>
        <w:t xml:space="preserve"/>
      </w:r>
    </w:p>
    <w:p>
      <w:pPr>
        <w:pStyle w:val="Heading3"/>
      </w:pPr>
      <w:r>
        <w:rPr>
          <w:rFonts w:ascii="Calibri" w:cs="Calibri" w:eastAsia="Calibri" w:hAnsi="Calibri"/>
          <w:b/>
          <w:bCs/>
          <w:color w:val="6D28D9"/>
          <w:sz w:val="24"/>
          <w:szCs w:val="24"/>
        </w:rPr>
        <w:t xml:space="preserve">Words That Define BioHeal’s Vocabulary</w:t>
      </w:r>
    </w:p>
    <w:p>
      <w:pPr>
        <w:spacing w:after="120" w:before="80"/>
        <w:ind w:left="360"/>
      </w:pPr>
      <w:r>
        <w:rPr>
          <w:rFonts w:ascii="Calibri" w:cs="Calibri" w:eastAsia="Calibri" w:hAnsi="Calibri"/>
          <w:i/>
          <w:iCs/>
          <w:color w:val="5E35A1"/>
          <w:sz w:val="22"/>
          <w:szCs w:val="22"/>
        </w:rPr>
        <w:t xml:space="preserve">Root cause · Connected · Sustainable · Personalised · Evidence-informed · Lifestyle · Whole-person · Nourish · Restore · Understand · Uncover · Guided · Lasting · Biology · Foundation · Companion · Journey</w:t>
      </w:r>
    </w:p>
    <w:p>
      <w:pPr>
        <w:pStyle w:val="Heading3"/>
      </w:pPr>
      <w:r>
        <w:rPr>
          <w:rFonts w:ascii="Calibri" w:cs="Calibri" w:eastAsia="Calibri" w:hAnsi="Calibri"/>
          <w:b/>
          <w:bCs/>
          <w:color w:val="6D28D9"/>
          <w:sz w:val="24"/>
          <w:szCs w:val="24"/>
        </w:rPr>
        <w:t xml:space="preserve">Words We Avoid</w:t>
      </w:r>
    </w:p>
    <w:p>
      <w:pPr>
        <w:spacing w:after="120" w:before="80"/>
        <w:ind w:left="360"/>
      </w:pPr>
      <w:r>
        <w:rPr>
          <w:rFonts w:ascii="Calibri" w:cs="Calibri" w:eastAsia="Calibri" w:hAnsi="Calibri"/>
          <w:i/>
          <w:iCs/>
          <w:color w:val="DC2626"/>
          <w:sz w:val="22"/>
          <w:szCs w:val="22"/>
        </w:rPr>
        <w:t xml:space="preserve">Revolutionary · Breakthrough · Miracle · Cure · Fix · Hack · Detox (unless contextualised) · Anti-ageing · Biohack · Hustle · Grind · Urgent · Limited · Act now · Patients (in marketing) · Proven (prefer “evidence-informed”)</w:t>
      </w:r>
    </w:p>
    <w:p>
      <w:pPr>
        <w:pStyle w:val="Heading2"/>
      </w:pPr>
      <w:r>
        <w:rPr>
          <w:rFonts w:ascii="Calibri" w:cs="Calibri" w:eastAsia="Calibri" w:hAnsi="Calibri"/>
          <w:b/>
          <w:bCs/>
          <w:color w:val="8B5CF6"/>
          <w:sz w:val="28"/>
          <w:szCs w:val="28"/>
        </w:rPr>
        <w:t xml:space="preserve">7.5 Messaging by Audience</w:t>
      </w:r>
    </w:p>
    <w:p>
      <w:pPr>
        <w:spacing w:after="60" w:before="200"/>
      </w:pPr>
      <w:r>
        <w:rPr>
          <w:rFonts w:ascii="Calibri" w:cs="Calibri" w:eastAsia="Calibri" w:hAnsi="Calibri"/>
          <w:b/>
          <w:bCs/>
          <w:color w:val="5E35A1"/>
          <w:sz w:val="22"/>
          <w:szCs w:val="22"/>
        </w:rPr>
        <w:t xml:space="preserve">For the person who’s been dismissed</w:t>
      </w:r>
    </w:p>
    <w:p>
      <w:pPr>
        <w:spacing w:after="120" w:before="0"/>
        <w:ind w:left="360" w:right="360"/>
      </w:pPr>
      <w:r>
        <w:rPr>
          <w:rFonts w:ascii="Calibri" w:cs="Calibri" w:eastAsia="Calibri" w:hAnsi="Calibri"/>
          <w:i/>
          <w:iCs/>
          <w:color w:val="374151"/>
          <w:sz w:val="22"/>
          <w:szCs w:val="22"/>
        </w:rPr>
        <w:t xml:space="preserve">"You know your body better than anyone. If something feels off — it probably is. We take the time to listen, investigate, and find what others may have overlooked."</w:t>
      </w:r>
    </w:p>
    <w:p>
      <w:pPr>
        <w:spacing w:after="60" w:before="200"/>
      </w:pPr>
      <w:r>
        <w:rPr>
          <w:rFonts w:ascii="Calibri" w:cs="Calibri" w:eastAsia="Calibri" w:hAnsi="Calibri"/>
          <w:b/>
          <w:bCs/>
          <w:color w:val="5E35A1"/>
          <w:sz w:val="22"/>
          <w:szCs w:val="22"/>
        </w:rPr>
        <w:t xml:space="preserve">For the concerned parent</w:t>
      </w:r>
    </w:p>
    <w:p>
      <w:pPr>
        <w:spacing w:after="120" w:before="0"/>
        <w:ind w:left="360" w:right="360"/>
      </w:pPr>
      <w:r>
        <w:rPr>
          <w:rFonts w:ascii="Calibri" w:cs="Calibri" w:eastAsia="Calibri" w:hAnsi="Calibri"/>
          <w:i/>
          <w:iCs/>
          <w:color w:val="374151"/>
          <w:sz w:val="22"/>
          <w:szCs w:val="22"/>
        </w:rPr>
        <w:t xml:space="preserve">"When your child keeps getting the same symptoms and no one can explain why — it’s natural to feel helpless. We look at the bigger picture: their nutrition, their gut, their environment. Often, the answers are there."</w:t>
      </w:r>
    </w:p>
    <w:p>
      <w:pPr>
        <w:spacing w:after="60" w:before="200"/>
      </w:pPr>
      <w:r>
        <w:rPr>
          <w:rFonts w:ascii="Calibri" w:cs="Calibri" w:eastAsia="Calibri" w:hAnsi="Calibri"/>
          <w:b/>
          <w:bCs/>
          <w:color w:val="5E35A1"/>
          <w:sz w:val="22"/>
          <w:szCs w:val="22"/>
        </w:rPr>
        <w:t xml:space="preserve">For the person overwhelmed by information</w:t>
      </w:r>
    </w:p>
    <w:p>
      <w:pPr>
        <w:spacing w:after="120" w:before="0"/>
        <w:ind w:left="360" w:right="360"/>
      </w:pPr>
      <w:r>
        <w:rPr>
          <w:rFonts w:ascii="Calibri" w:cs="Calibri" w:eastAsia="Calibri" w:hAnsi="Calibri"/>
          <w:i/>
          <w:iCs/>
          <w:color w:val="374151"/>
          <w:sz w:val="22"/>
          <w:szCs w:val="22"/>
        </w:rPr>
        <w:t xml:space="preserve">"There’s no shortage of health advice out there. What’s rare is someone who can look at your specific situation and tell you what actually matters for you. That’s what we do."</w:t>
      </w:r>
    </w:p>
    <w:p>
      <w:pPr>
        <w:spacing w:after="60" w:before="200"/>
      </w:pPr>
      <w:r>
        <w:rPr>
          <w:rFonts w:ascii="Calibri" w:cs="Calibri" w:eastAsia="Calibri" w:hAnsi="Calibri"/>
          <w:b/>
          <w:bCs/>
          <w:color w:val="5E35A1"/>
          <w:sz w:val="22"/>
          <w:szCs w:val="22"/>
        </w:rPr>
        <w:t xml:space="preserve">For the person who’s tried everything</w:t>
      </w:r>
    </w:p>
    <w:p>
      <w:pPr>
        <w:spacing w:after="120" w:before="0"/>
        <w:ind w:left="360" w:right="360"/>
      </w:pPr>
      <w:r>
        <w:rPr>
          <w:rFonts w:ascii="Calibri" w:cs="Calibri" w:eastAsia="Calibri" w:hAnsi="Calibri"/>
          <w:i/>
          <w:iCs/>
          <w:color w:val="374151"/>
          <w:sz w:val="22"/>
          <w:szCs w:val="22"/>
        </w:rPr>
        <w:t xml:space="preserve">"Every diet. Every supplement. Every specialist. And still — something isn’t right. We understand that frustration. Our approach is different because we start from a different place: why is this happening, not just what do we do about it."</w:t>
      </w:r>
    </w:p>
    <w:p>
      <w:pPr>
        <w:spacing w:after="60" w:before="200"/>
      </w:pPr>
      <w:r>
        <w:rPr>
          <w:rFonts w:ascii="Calibri" w:cs="Calibri" w:eastAsia="Calibri" w:hAnsi="Calibri"/>
          <w:b/>
          <w:bCs/>
          <w:color w:val="5E35A1"/>
          <w:sz w:val="22"/>
          <w:szCs w:val="22"/>
        </w:rPr>
        <w:t xml:space="preserve">For the person who’s curious but cautious</w:t>
      </w:r>
    </w:p>
    <w:p>
      <w:pPr>
        <w:spacing w:after="120" w:before="0"/>
        <w:ind w:left="360" w:right="360"/>
      </w:pPr>
      <w:r>
        <w:rPr>
          <w:rFonts w:ascii="Calibri" w:cs="Calibri" w:eastAsia="Calibri" w:hAnsi="Calibri"/>
          <w:i/>
          <w:iCs/>
          <w:color w:val="374151"/>
          <w:sz w:val="22"/>
          <w:szCs w:val="22"/>
        </w:rPr>
        <w:t xml:space="preserve">"You don’t need to commit to anything to start. A conversation is enough. Tell us what’s going on, and we’ll honestly share whether we can help — and how."</w:t>
      </w:r>
    </w:p>
    <w:p>
      <w:pPr>
        <w:spacing w:after="60" w:before="200"/>
      </w:pPr>
      <w:r>
        <w:rPr>
          <w:rFonts w:ascii="Calibri" w:cs="Calibri" w:eastAsia="Calibri" w:hAnsi="Calibri"/>
          <w:b/>
          <w:bCs/>
          <w:color w:val="5E35A1"/>
          <w:sz w:val="22"/>
          <w:szCs w:val="22"/>
        </w:rPr>
        <w:t xml:space="preserve">For the person who respects their current doctor</w:t>
      </w:r>
    </w:p>
    <w:p>
      <w:pPr>
        <w:spacing w:after="120" w:before="0"/>
        <w:ind w:left="360" w:right="360"/>
      </w:pPr>
      <w:r>
        <w:rPr>
          <w:rFonts w:ascii="Calibri" w:cs="Calibri" w:eastAsia="Calibri" w:hAnsi="Calibri"/>
          <w:i/>
          <w:iCs/>
          <w:color w:val="374151"/>
          <w:sz w:val="22"/>
          <w:szCs w:val="22"/>
        </w:rPr>
        <w:t xml:space="preserve">"We’re not here to replace anyone on your healthcare team. We add a layer that most clinical settings don’t have the time for — deep investigation into lifestyle, nutrition, and the root causes that drive chronic patterns."</w:t>
      </w:r>
    </w:p>
    <w:p>
      <w:pPr>
        <w:pStyle w:val="Heading2"/>
      </w:pPr>
      <w:r>
        <w:rPr>
          <w:rFonts w:ascii="Calibri" w:cs="Calibri" w:eastAsia="Calibri" w:hAnsi="Calibri"/>
          <w:b/>
          <w:bCs/>
          <w:color w:val="8B5CF6"/>
          <w:sz w:val="28"/>
          <w:szCs w:val="28"/>
        </w:rPr>
        <w:t xml:space="preserve">7.6 CTA Language</w:t>
      </w:r>
    </w:p>
    <w:p>
      <w:pPr>
        <w:pStyle w:val="BodyText"/>
      </w:pPr>
      <w:r>
        <w:rPr>
          <w:rFonts w:ascii="Calibri" w:cs="Calibri" w:eastAsia="Calibri" w:hAnsi="Calibri"/>
          <w:color w:val="374151"/>
          <w:sz w:val="22"/>
          <w:szCs w:val="22"/>
        </w:rPr>
        <w:t xml:space="preserve">BioHeal CTAs should feel like invitations, not demands.</w:t>
      </w:r>
    </w:p>
    <w:p>
      <w:pPr>
        <w:pStyle w:val="Heading3"/>
      </w:pPr>
      <w:r>
        <w:rPr>
          <w:rFonts w:ascii="Calibri" w:cs="Calibri" w:eastAsia="Calibri" w:hAnsi="Calibri"/>
          <w:b/>
          <w:bCs/>
          <w:color w:val="6D28D9"/>
          <w:sz w:val="24"/>
          <w:szCs w:val="24"/>
        </w:rPr>
        <w:t xml:space="preserve">Primary CTAs</w:t>
      </w:r>
    </w:p>
    <w:p>
      <w:pPr>
        <w:pStyle w:val="ListParagraph"/>
        <w:numPr>
          <w:ilvl w:val="0"/>
          <w:numId w:val="2"/>
        </w:numPr>
      </w:pPr>
      <w:r>
        <w:rPr>
          <w:rFonts w:ascii="Calibri" w:cs="Calibri" w:eastAsia="Calibri" w:hAnsi="Calibri"/>
          <w:color w:val="374151"/>
          <w:sz w:val="22"/>
          <w:szCs w:val="22"/>
        </w:rPr>
        <w:t xml:space="preserve">Begin your journey</w:t>
      </w:r>
    </w:p>
    <w:p>
      <w:pPr>
        <w:pStyle w:val="ListParagraph"/>
        <w:numPr>
          <w:ilvl w:val="0"/>
          <w:numId w:val="2"/>
        </w:numPr>
      </w:pPr>
      <w:r>
        <w:rPr>
          <w:rFonts w:ascii="Calibri" w:cs="Calibri" w:eastAsia="Calibri" w:hAnsi="Calibri"/>
          <w:color w:val="374151"/>
          <w:sz w:val="22"/>
          <w:szCs w:val="22"/>
        </w:rPr>
        <w:t xml:space="preserve">Let’s talk</w:t>
      </w:r>
    </w:p>
    <w:p>
      <w:pPr>
        <w:pStyle w:val="ListParagraph"/>
        <w:numPr>
          <w:ilvl w:val="0"/>
          <w:numId w:val="2"/>
        </w:numPr>
      </w:pPr>
      <w:r>
        <w:rPr>
          <w:rFonts w:ascii="Calibri" w:cs="Calibri" w:eastAsia="Calibri" w:hAnsi="Calibri"/>
          <w:color w:val="374151"/>
          <w:sz w:val="22"/>
          <w:szCs w:val="22"/>
        </w:rPr>
        <w:t xml:space="preserve">Share your story with us</w:t>
      </w:r>
    </w:p>
    <w:p>
      <w:pPr>
        <w:pStyle w:val="ListParagraph"/>
        <w:numPr>
          <w:ilvl w:val="0"/>
          <w:numId w:val="2"/>
        </w:numPr>
      </w:pPr>
      <w:r>
        <w:rPr>
          <w:rFonts w:ascii="Calibri" w:cs="Calibri" w:eastAsia="Calibri" w:hAnsi="Calibri"/>
          <w:color w:val="374151"/>
          <w:sz w:val="22"/>
          <w:szCs w:val="22"/>
        </w:rPr>
        <w:t xml:space="preserve">Explore how we can help</w:t>
      </w:r>
    </w:p>
    <w:p>
      <w:pPr>
        <w:pStyle w:val="ListParagraph"/>
        <w:numPr>
          <w:ilvl w:val="0"/>
          <w:numId w:val="2"/>
        </w:numPr>
      </w:pPr>
      <w:r>
        <w:rPr>
          <w:rFonts w:ascii="Calibri" w:cs="Calibri" w:eastAsia="Calibri" w:hAnsi="Calibri"/>
          <w:color w:val="374151"/>
          <w:sz w:val="22"/>
          <w:szCs w:val="22"/>
        </w:rPr>
        <w:t xml:space="preserve">Take the first step</w:t>
      </w:r>
    </w:p>
    <w:p>
      <w:pPr>
        <w:pStyle w:val="ListParagraph"/>
        <w:numPr>
          <w:ilvl w:val="0"/>
          <w:numId w:val="2"/>
        </w:numPr>
      </w:pPr>
      <w:r>
        <w:rPr>
          <w:rFonts w:ascii="Calibri" w:cs="Calibri" w:eastAsia="Calibri" w:hAnsi="Calibri"/>
          <w:color w:val="374151"/>
          <w:sz w:val="22"/>
          <w:szCs w:val="22"/>
        </w:rPr>
        <w:t xml:space="preserve">Whenever you’re ready, we’re here</w:t>
      </w:r>
    </w:p>
    <w:p>
      <w:pPr>
        <w:pStyle w:val="Heading3"/>
      </w:pPr>
      <w:r>
        <w:rPr>
          <w:rFonts w:ascii="Calibri" w:cs="Calibri" w:eastAsia="Calibri" w:hAnsi="Calibri"/>
          <w:b/>
          <w:bCs/>
          <w:color w:val="6D28D9"/>
          <w:sz w:val="24"/>
          <w:szCs w:val="24"/>
        </w:rPr>
        <w:t xml:space="preserve">CTAs We’ll Never Use</w:t>
      </w:r>
    </w:p>
    <w:p>
      <w:pPr>
        <w:pStyle w:val="ListParagraph"/>
        <w:numPr>
          <w:ilvl w:val="0"/>
          <w:numId w:val="3"/>
        </w:numPr>
      </w:pPr>
      <w:r>
        <w:rPr>
          <w:rFonts w:ascii="Calibri" w:cs="Calibri" w:eastAsia="Calibri" w:hAnsi="Calibri"/>
          <w:color w:val="374151"/>
          <w:sz w:val="22"/>
          <w:szCs w:val="22"/>
        </w:rPr>
        <w:t xml:space="preserve">Book NOW</w:t>
      </w:r>
    </w:p>
    <w:p>
      <w:pPr>
        <w:pStyle w:val="ListParagraph"/>
        <w:numPr>
          <w:ilvl w:val="0"/>
          <w:numId w:val="3"/>
        </w:numPr>
      </w:pPr>
      <w:r>
        <w:rPr>
          <w:rFonts w:ascii="Calibri" w:cs="Calibri" w:eastAsia="Calibri" w:hAnsi="Calibri"/>
          <w:color w:val="374151"/>
          <w:sz w:val="22"/>
          <w:szCs w:val="22"/>
        </w:rPr>
        <w:t xml:space="preserve">Limited slots available</w:t>
      </w:r>
    </w:p>
    <w:p>
      <w:pPr>
        <w:pStyle w:val="ListParagraph"/>
        <w:numPr>
          <w:ilvl w:val="0"/>
          <w:numId w:val="3"/>
        </w:numPr>
      </w:pPr>
      <w:r>
        <w:rPr>
          <w:rFonts w:ascii="Calibri" w:cs="Calibri" w:eastAsia="Calibri" w:hAnsi="Calibri"/>
          <w:color w:val="374151"/>
          <w:sz w:val="22"/>
          <w:szCs w:val="22"/>
        </w:rPr>
        <w:t xml:space="preserve">Don’t miss out</w:t>
      </w:r>
    </w:p>
    <w:p>
      <w:pPr>
        <w:pStyle w:val="ListParagraph"/>
        <w:numPr>
          <w:ilvl w:val="0"/>
          <w:numId w:val="3"/>
        </w:numPr>
      </w:pPr>
      <w:r>
        <w:rPr>
          <w:rFonts w:ascii="Calibri" w:cs="Calibri" w:eastAsia="Calibri" w:hAnsi="Calibri"/>
          <w:color w:val="374151"/>
          <w:sz w:val="22"/>
          <w:szCs w:val="22"/>
        </w:rPr>
        <w:t xml:space="preserve">Your health can’t wait</w:t>
      </w:r>
    </w:p>
    <w:p>
      <w:pPr>
        <w:pStyle w:val="ListParagraph"/>
        <w:numPr>
          <w:ilvl w:val="0"/>
          <w:numId w:val="3"/>
        </w:numPr>
      </w:pPr>
      <w:r>
        <w:rPr>
          <w:rFonts w:ascii="Calibri" w:cs="Calibri" w:eastAsia="Calibri" w:hAnsi="Calibri"/>
          <w:color w:val="374151"/>
          <w:sz w:val="22"/>
          <w:szCs w:val="22"/>
        </w:rPr>
        <w:t xml:space="preserve">Act before it’s too late</w:t>
      </w:r>
    </w:p>
    <w:p>
      <w:pPr>
        <w:pStyle w:val="ListParagraph"/>
        <w:numPr>
          <w:ilvl w:val="0"/>
          <w:numId w:val="3"/>
        </w:numPr>
      </w:pPr>
      <w:r>
        <w:rPr>
          <w:rFonts w:ascii="Calibri" w:cs="Calibri" w:eastAsia="Calibri" w:hAnsi="Calibri"/>
          <w:color w:val="374151"/>
          <w:sz w:val="22"/>
          <w:szCs w:val="22"/>
        </w:rPr>
        <w:t xml:space="preserve">Countdown timers or scarcity tactics of any kind</w:t>
      </w:r>
    </w:p>
    <w:p>
      <w:pPr>
        <w:pStyle w:val="Heading2"/>
      </w:pPr>
      <w:r>
        <w:rPr>
          <w:rFonts w:ascii="Calibri" w:cs="Calibri" w:eastAsia="Calibri" w:hAnsi="Calibri"/>
          <w:b/>
          <w:bCs/>
          <w:color w:val="8B5CF6"/>
          <w:sz w:val="28"/>
          <w:szCs w:val="28"/>
        </w:rPr>
        <w:t xml:space="preserve">7.7 Tagline &amp; Supporting Lines</w:t>
      </w:r>
    </w:p>
    <w:p>
      <w:pPr>
        <w:spacing w:after="80" w:before="160"/>
      </w:pPr>
      <w:r>
        <w:rPr>
          <w:rFonts w:ascii="Calibri" w:cs="Calibri" w:eastAsia="Calibri" w:hAnsi="Calibri"/>
          <w:b/>
          <w:bCs/>
          <w:color w:val="374151"/>
          <w:sz w:val="22"/>
          <w:szCs w:val="22"/>
        </w:rPr>
        <w:t xml:space="preserve">Tagline (locked): </w:t>
      </w:r>
      <w:r>
        <w:rPr>
          <w:rFonts w:ascii="Calibri" w:cs="Calibri" w:eastAsia="Calibri" w:hAnsi="Calibri"/>
          <w:b/>
          <w:bCs/>
          <w:i/>
          <w:iCs/>
          <w:color w:val="5E35A1"/>
          <w:sz w:val="22"/>
          <w:szCs w:val="22"/>
        </w:rPr>
        <w:t xml:space="preserve">“Healing Through Lifestyle, Guided by Science”</w:t>
      </w:r>
    </w:p>
    <w:p>
      <w:pPr>
        <w:spacing w:after="160" w:before="0"/>
      </w:pPr>
      <w:r>
        <w:rPr>
          <w:rFonts w:ascii="Calibri" w:cs="Calibri" w:eastAsia="Calibri" w:hAnsi="Calibri"/>
          <w:b/>
          <w:bCs/>
          <w:color w:val="374151"/>
          <w:sz w:val="22"/>
          <w:szCs w:val="22"/>
        </w:rPr>
        <w:t xml:space="preserve">Descriptor Line: </w:t>
      </w:r>
      <w:r>
        <w:rPr>
          <w:rFonts w:ascii="Calibri" w:cs="Calibri" w:eastAsia="Calibri" w:hAnsi="Calibri"/>
          <w:color w:val="8B5CF6"/>
          <w:sz w:val="22"/>
          <w:szCs w:val="22"/>
        </w:rPr>
        <w:t xml:space="preserve">Functional Medicine · Lifestyle Transformation · Root-Cause Healing</w:t>
      </w:r>
    </w:p>
    <w:p>
      <w:pPr>
        <w:pStyle w:val="Heading3"/>
      </w:pPr>
      <w:r>
        <w:rPr>
          <w:rFonts w:ascii="Calibri" w:cs="Calibri" w:eastAsia="Calibri" w:hAnsi="Calibri"/>
          <w:b/>
          <w:bCs/>
          <w:color w:val="6D28D9"/>
          <w:sz w:val="24"/>
          <w:szCs w:val="24"/>
        </w:rPr>
        <w:t xml:space="preserve">Supporting Lines</w:t>
      </w:r>
    </w:p>
    <w:p>
      <w:pPr>
        <w:spacing w:after="60" w:before="160"/>
        <w:ind w:left="360"/>
      </w:pPr>
      <w:r>
        <w:rPr>
          <w:rFonts w:ascii="Calibri" w:cs="Calibri" w:eastAsia="Calibri" w:hAnsi="Calibri"/>
          <w:b/>
          <w:bCs/>
          <w:color w:val="6D28D9"/>
          <w:sz w:val="22"/>
          <w:szCs w:val="22"/>
        </w:rPr>
        <w:t xml:space="preserve">Philosophy-driven</w:t>
      </w:r>
    </w:p>
    <w:p>
      <w:pPr>
        <w:pStyle w:val="ListParagraph"/>
        <w:numPr>
          <w:ilvl w:val="0"/>
          <w:numId w:val="4"/>
        </w:numPr>
      </w:pPr>
      <w:r>
        <w:rPr>
          <w:rFonts w:ascii="Calibri" w:cs="Calibri" w:eastAsia="Calibri" w:hAnsi="Calibri"/>
          <w:i/>
          <w:iCs/>
          <w:color w:val="374151"/>
          <w:sz w:val="22"/>
          <w:szCs w:val="22"/>
        </w:rPr>
        <w:t xml:space="preserve">"Your body isn’t broken. It’s asking to be understood."</w:t>
      </w:r>
    </w:p>
    <w:p>
      <w:pPr>
        <w:pStyle w:val="ListParagraph"/>
        <w:numPr>
          <w:ilvl w:val="0"/>
          <w:numId w:val="4"/>
        </w:numPr>
      </w:pPr>
      <w:r>
        <w:rPr>
          <w:rFonts w:ascii="Calibri" w:cs="Calibri" w:eastAsia="Calibri" w:hAnsi="Calibri"/>
          <w:i/>
          <w:iCs/>
          <w:color w:val="374151"/>
          <w:sz w:val="22"/>
          <w:szCs w:val="22"/>
        </w:rPr>
        <w:t xml:space="preserve">"We don’t silence symptoms. We listen to what they’re saying."</w:t>
      </w:r>
    </w:p>
    <w:p>
      <w:pPr>
        <w:pStyle w:val="ListParagraph"/>
        <w:numPr>
          <w:ilvl w:val="0"/>
          <w:numId w:val="4"/>
        </w:numPr>
      </w:pPr>
      <w:r>
        <w:rPr>
          <w:rFonts w:ascii="Calibri" w:cs="Calibri" w:eastAsia="Calibri" w:hAnsi="Calibri"/>
          <w:i/>
          <w:iCs/>
          <w:color w:val="374151"/>
          <w:sz w:val="22"/>
          <w:szCs w:val="22"/>
        </w:rPr>
        <w:t xml:space="preserve">"Health isn’t a destination. It’s a way of living."</w:t>
      </w:r>
    </w:p>
    <w:p>
      <w:pPr>
        <w:spacing w:after="60" w:before="160"/>
        <w:ind w:left="360"/>
      </w:pPr>
      <w:r>
        <w:rPr>
          <w:rFonts w:ascii="Calibri" w:cs="Calibri" w:eastAsia="Calibri" w:hAnsi="Calibri"/>
          <w:b/>
          <w:bCs/>
          <w:color w:val="6D28D9"/>
          <w:sz w:val="22"/>
          <w:szCs w:val="22"/>
        </w:rPr>
        <w:t xml:space="preserve">Approach-driven</w:t>
      </w:r>
    </w:p>
    <w:p>
      <w:pPr>
        <w:pStyle w:val="ListParagraph"/>
        <w:numPr>
          <w:ilvl w:val="0"/>
          <w:numId w:val="4"/>
        </w:numPr>
      </w:pPr>
      <w:r>
        <w:rPr>
          <w:rFonts w:ascii="Calibri" w:cs="Calibri" w:eastAsia="Calibri" w:hAnsi="Calibri"/>
          <w:i/>
          <w:iCs/>
          <w:color w:val="374151"/>
          <w:sz w:val="22"/>
          <w:szCs w:val="22"/>
        </w:rPr>
        <w:t xml:space="preserve">"Root-cause thinking. Personalised action. Lasting change."</w:t>
      </w:r>
    </w:p>
    <w:p>
      <w:pPr>
        <w:pStyle w:val="ListParagraph"/>
        <w:numPr>
          <w:ilvl w:val="0"/>
          <w:numId w:val="4"/>
        </w:numPr>
      </w:pPr>
      <w:r>
        <w:rPr>
          <w:rFonts w:ascii="Calibri" w:cs="Calibri" w:eastAsia="Calibri" w:hAnsi="Calibri"/>
          <w:i/>
          <w:iCs/>
          <w:color w:val="374151"/>
          <w:sz w:val="22"/>
          <w:szCs w:val="22"/>
        </w:rPr>
        <w:t xml:space="preserve">"Where science meets compassion — and lifestyle becomes medicine."</w:t>
      </w:r>
    </w:p>
    <w:p>
      <w:pPr>
        <w:pStyle w:val="ListParagraph"/>
        <w:numPr>
          <w:ilvl w:val="0"/>
          <w:numId w:val="4"/>
        </w:numPr>
      </w:pPr>
      <w:r>
        <w:rPr>
          <w:rFonts w:ascii="Calibri" w:cs="Calibri" w:eastAsia="Calibri" w:hAnsi="Calibri"/>
          <w:i/>
          <w:iCs/>
          <w:color w:val="374151"/>
          <w:sz w:val="22"/>
          <w:szCs w:val="22"/>
        </w:rPr>
        <w:t xml:space="preserve">"Not a quick fix. A real foundation."</w:t>
      </w:r>
    </w:p>
    <w:p>
      <w:pPr>
        <w:spacing w:after="60" w:before="160"/>
        <w:ind w:left="360"/>
      </w:pPr>
      <w:r>
        <w:rPr>
          <w:rFonts w:ascii="Calibri" w:cs="Calibri" w:eastAsia="Calibri" w:hAnsi="Calibri"/>
          <w:b/>
          <w:bCs/>
          <w:color w:val="6D28D9"/>
          <w:sz w:val="22"/>
          <w:szCs w:val="22"/>
        </w:rPr>
        <w:t xml:space="preserve">Invitation-driven</w:t>
      </w:r>
    </w:p>
    <w:p>
      <w:pPr>
        <w:pStyle w:val="ListParagraph"/>
        <w:numPr>
          <w:ilvl w:val="0"/>
          <w:numId w:val="4"/>
        </w:numPr>
      </w:pPr>
      <w:r>
        <w:rPr>
          <w:rFonts w:ascii="Calibri" w:cs="Calibri" w:eastAsia="Calibri" w:hAnsi="Calibri"/>
          <w:i/>
          <w:iCs/>
          <w:color w:val="374151"/>
          <w:sz w:val="22"/>
          <w:szCs w:val="22"/>
        </w:rPr>
        <w:t xml:space="preserve">"There’s another way. Let us show you."</w:t>
      </w:r>
    </w:p>
    <w:p>
      <w:pPr>
        <w:pStyle w:val="ListParagraph"/>
        <w:numPr>
          <w:ilvl w:val="0"/>
          <w:numId w:val="4"/>
        </w:numPr>
      </w:pPr>
      <w:r>
        <w:rPr>
          <w:rFonts w:ascii="Calibri" w:cs="Calibri" w:eastAsia="Calibri" w:hAnsi="Calibri"/>
          <w:i/>
          <w:iCs/>
          <w:color w:val="374151"/>
          <w:sz w:val="22"/>
          <w:szCs w:val="22"/>
        </w:rPr>
        <w:t xml:space="preserve">"What if healing started with understanding?"</w:t>
      </w:r>
    </w:p>
    <w:p>
      <w:pPr>
        <w:pStyle w:val="ListParagraph"/>
        <w:numPr>
          <w:ilvl w:val="0"/>
          <w:numId w:val="4"/>
        </w:numPr>
      </w:pPr>
      <w:r>
        <w:rPr>
          <w:rFonts w:ascii="Calibri" w:cs="Calibri" w:eastAsia="Calibri" w:hAnsi="Calibri"/>
          <w:i/>
          <w:iCs/>
          <w:color w:val="374151"/>
          <w:sz w:val="22"/>
          <w:szCs w:val="22"/>
        </w:rPr>
        <w:t xml:space="preserve">"Your story matters. Your biology is unique. Your plan should be too."</w:t>
      </w:r>
    </w:p>
    <w:p>
      <w:pPr>
        <w:spacing w:after="60" w:before="160"/>
        <w:ind w:left="360"/>
      </w:pPr>
      <w:r>
        <w:rPr>
          <w:rFonts w:ascii="Calibri" w:cs="Calibri" w:eastAsia="Calibri" w:hAnsi="Calibri"/>
          <w:b/>
          <w:bCs/>
          <w:color w:val="6D28D9"/>
          <w:sz w:val="22"/>
          <w:szCs w:val="22"/>
        </w:rPr>
        <w:t xml:space="preserve">For parents</w:t>
      </w:r>
    </w:p>
    <w:p>
      <w:pPr>
        <w:pStyle w:val="ListParagraph"/>
        <w:numPr>
          <w:ilvl w:val="0"/>
          <w:numId w:val="4"/>
        </w:numPr>
      </w:pPr>
      <w:r>
        <w:rPr>
          <w:rFonts w:ascii="Calibri" w:cs="Calibri" w:eastAsia="Calibri" w:hAnsi="Calibri"/>
          <w:i/>
          <w:iCs/>
          <w:color w:val="374151"/>
          <w:sz w:val="22"/>
          <w:szCs w:val="22"/>
        </w:rPr>
        <w:t xml:space="preserve">"They deserve answers, not just prescriptions."</w:t>
      </w:r>
    </w:p>
    <w:p>
      <w:pPr>
        <w:pStyle w:val="ListParagraph"/>
        <w:numPr>
          <w:ilvl w:val="0"/>
          <w:numId w:val="4"/>
        </w:numPr>
      </w:pPr>
      <w:r>
        <w:rPr>
          <w:rFonts w:ascii="Calibri" w:cs="Calibri" w:eastAsia="Calibri" w:hAnsi="Calibri"/>
          <w:i/>
          <w:iCs/>
          <w:color w:val="374151"/>
          <w:sz w:val="22"/>
          <w:szCs w:val="22"/>
        </w:rPr>
        <w:t xml:space="preserve">"When it keeps coming back — it’s time to look deeper."</w:t>
      </w:r>
    </w:p>
    <w:p>
      <w:pPr>
        <w:pStyle w:val="Heading2"/>
      </w:pPr>
      <w:r>
        <w:rPr>
          <w:rFonts w:ascii="Calibri" w:cs="Calibri" w:eastAsia="Calibri" w:hAnsi="Calibri"/>
          <w:b/>
          <w:bCs/>
          <w:color w:val="8B5CF6"/>
          <w:sz w:val="28"/>
          <w:szCs w:val="28"/>
        </w:rPr>
        <w:t xml:space="preserve">7.8 What BioHeal Sounds Like — Full Examples</w:t>
      </w:r>
    </w:p>
    <w:p>
      <w:pPr>
        <w:spacing w:after="60" w:before="200"/>
      </w:pPr>
      <w:r>
        <w:rPr>
          <w:rFonts w:ascii="Calibri" w:cs="Calibri" w:eastAsia="Calibri" w:hAnsi="Calibri"/>
          <w:b/>
          <w:bCs/>
          <w:color w:val="5E35A1"/>
          <w:sz w:val="22"/>
          <w:szCs w:val="22"/>
        </w:rPr>
        <w:t xml:space="preserve">Homepage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8B5CF6" w:sz="4"/>
              <w:left w:val="single" w:color="8B5CF6" w:sz="16"/>
              <w:bottom w:val="none" w:color="FFFFFF" w:sz="0"/>
              <w:right w:val="none" w:color="FFFFFF" w:sz="0"/>
            </w:tcBorders>
            <w:shd w:fill="FAF5FF" w:val="clear"/>
            <w:tcMar>
              <w:top w:type="dxa" w:w="140"/>
              <w:left w:type="dxa" w:w="220"/>
              <w:bottom w:type="dxa" w:w="140"/>
              <w:right w:type="dxa" w:w="220"/>
            </w:tcMar>
          </w:tcPr>
          <w:p>
            <w:r>
              <w:rPr>
                <w:rFonts w:ascii="Calibri Light" w:cs="Calibri Light" w:eastAsia="Calibri Light" w:hAnsi="Calibri Light"/>
                <w:i/>
                <w:iCs/>
                <w:color w:val="374151"/>
                <w:sz w:val="21"/>
                <w:szCs w:val="21"/>
              </w:rPr>
              <w:t xml:space="preserve">Healing Through Lifestyle, Guided by Science
Your body is an interconnected system — and when something feels off, there’s always a reason. BioHeal helps you uncover the root causes of chronic health concerns and build a personalised path to lasting wellness through nutrition, lifestyle, and evidence-informed guidance.
Whenever you’re ready, we’d love to hear your story.</w:t>
            </w:r>
          </w:p>
        </w:tc>
      </w:tr>
    </w:tbl>
    <w:p>
      <w:pPr>
        <w:spacing w:after="60" w:before="200"/>
      </w:pPr>
      <w:r>
        <w:rPr>
          <w:rFonts w:ascii="Calibri" w:cs="Calibri" w:eastAsia="Calibri" w:hAnsi="Calibri"/>
          <w:b/>
          <w:bCs/>
          <w:color w:val="5E35A1"/>
          <w:sz w:val="22"/>
          <w:szCs w:val="22"/>
        </w:rPr>
        <w:t xml:space="preserve">About Page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8B5CF6" w:sz="4"/>
              <w:left w:val="single" w:color="8B5CF6" w:sz="16"/>
              <w:bottom w:val="none" w:color="FFFFFF" w:sz="0"/>
              <w:right w:val="none" w:color="FFFFFF" w:sz="0"/>
            </w:tcBorders>
            <w:shd w:fill="FAF5FF" w:val="clear"/>
            <w:tcMar>
              <w:top w:type="dxa" w:w="140"/>
              <w:left w:type="dxa" w:w="220"/>
              <w:bottom w:type="dxa" w:w="140"/>
              <w:right w:type="dxa" w:w="220"/>
            </w:tcMar>
          </w:tcPr>
          <w:p>
            <w:r>
              <w:rPr>
                <w:rFonts w:ascii="Calibri Light" w:cs="Calibri Light" w:eastAsia="Calibri Light" w:hAnsi="Calibri Light"/>
                <w:i/>
                <w:iCs/>
                <w:color w:val="374151"/>
                <w:sz w:val="21"/>
                <w:szCs w:val="21"/>
              </w:rPr>
              <w:t xml:space="preserve">We started BioHeal because we kept seeing the same thing: people being treated, but never truly healed. Medications that managed symptoms but never asked why they appeared. Diets that worked for a month and then stopped. Lab reports declared “normal” while the person still felt anything but.
We knew there had to be a better way — one that looked at the whole person, took the time to investigate, and built something sustainable. That’s what BioHeal is.</w:t>
            </w:r>
          </w:p>
        </w:tc>
      </w:tr>
    </w:tbl>
    <w:p>
      <w:pPr>
        <w:spacing w:after="60" w:before="200"/>
      </w:pPr>
      <w:r>
        <w:rPr>
          <w:rFonts w:ascii="Calibri" w:cs="Calibri" w:eastAsia="Calibri" w:hAnsi="Calibri"/>
          <w:b/>
          <w:bCs/>
          <w:color w:val="5E35A1"/>
          <w:sz w:val="22"/>
          <w:szCs w:val="22"/>
        </w:rPr>
        <w:t xml:space="preserve">Service Description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8B5CF6" w:sz="4"/>
              <w:left w:val="single" w:color="8B5CF6" w:sz="16"/>
              <w:bottom w:val="none" w:color="FFFFFF" w:sz="0"/>
              <w:right w:val="none" w:color="FFFFFF" w:sz="0"/>
            </w:tcBorders>
            <w:shd w:fill="FAF5FF" w:val="clear"/>
            <w:tcMar>
              <w:top w:type="dxa" w:w="140"/>
              <w:left w:type="dxa" w:w="220"/>
              <w:bottom w:type="dxa" w:w="140"/>
              <w:right w:type="dxa" w:w="220"/>
            </w:tcMar>
          </w:tcPr>
          <w:p>
            <w:r>
              <w:rPr>
                <w:rFonts w:ascii="Calibri Light" w:cs="Calibri Light" w:eastAsia="Calibri Light" w:hAnsi="Calibri Light"/>
                <w:i/>
                <w:iCs/>
                <w:color w:val="374151"/>
                <w:sz w:val="21"/>
                <w:szCs w:val="21"/>
              </w:rPr>
              <w:t xml:space="preserve">This isn’t a 10-minute appointment. It’s a deep, unhurried conversation — 60 to 90 minutes where we map your full health story, review your labs through a functional lens, and begin connecting the dots that others may have missed. You’ll leave with clarity, a direction, and the feeling of finally being heard.</w:t>
            </w:r>
          </w:p>
        </w:tc>
      </w:tr>
    </w:tbl>
    <w:p>
      <w:pPr>
        <w:spacing w:after="60" w:before="200"/>
      </w:pPr>
      <w:r>
        <w:rPr>
          <w:rFonts w:ascii="Calibri" w:cs="Calibri" w:eastAsia="Calibri" w:hAnsi="Calibri"/>
          <w:b/>
          <w:bCs/>
          <w:color w:val="5E35A1"/>
          <w:sz w:val="22"/>
          <w:szCs w:val="22"/>
        </w:rPr>
        <w:t xml:space="preserve">PCOS Condition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8B5CF6" w:sz="4"/>
              <w:left w:val="single" w:color="8B5CF6" w:sz="16"/>
              <w:bottom w:val="none" w:color="FFFFFF" w:sz="0"/>
              <w:right w:val="none" w:color="FFFFFF" w:sz="0"/>
            </w:tcBorders>
            <w:shd w:fill="FAF5FF" w:val="clear"/>
            <w:tcMar>
              <w:top w:type="dxa" w:w="140"/>
              <w:left w:type="dxa" w:w="220"/>
              <w:bottom w:type="dxa" w:w="140"/>
              <w:right w:type="dxa" w:w="220"/>
            </w:tcMar>
          </w:tcPr>
          <w:p>
            <w:r>
              <w:rPr>
                <w:rFonts w:ascii="Calibri Light" w:cs="Calibri Light" w:eastAsia="Calibri Light" w:hAnsi="Calibri Light"/>
                <w:i/>
                <w:iCs/>
                <w:color w:val="374151"/>
                <w:sz w:val="21"/>
                <w:szCs w:val="21"/>
              </w:rPr>
              <w:t xml:space="preserve">PCOS isn’t just a hormonal problem. It’s often rooted in insulin resistance, chronic inflammation, gut imbalances, or stress — sometimes all of them together. That’s why a single medication rarely resolves it fully.
At BioHeal, we look at the full picture: your metabolic health, your nutrition, your stress patterns, your gut. We build a plan that addresses the drivers of your PCOS — not just the symptoms on the surface.</w:t>
            </w:r>
          </w:p>
        </w:tc>
      </w:tr>
    </w:tbl>
    <w:p>
      <w:pPr>
        <w:pStyle w:val="Heading2"/>
      </w:pPr>
      <w:r>
        <w:rPr>
          <w:rFonts w:ascii="Calibri" w:cs="Calibri" w:eastAsia="Calibri" w:hAnsi="Calibri"/>
          <w:b/>
          <w:bCs/>
          <w:color w:val="8B5CF6"/>
          <w:sz w:val="28"/>
          <w:szCs w:val="28"/>
        </w:rPr>
        <w:t xml:space="preserve">7.9 The Anti-BioHeal — What We Never Sound Like</w:t>
      </w:r>
    </w:p>
    <w:p>
      <w:pPr>
        <w:spacing w:after="40" w:before="160"/>
      </w:pPr>
      <w:r>
        <w:rPr>
          <w:rFonts w:ascii="Calibri" w:cs="Calibri" w:eastAsia="Calibri" w:hAnsi="Calibri"/>
          <w:b/>
          <w:bCs/>
          <w:color w:val="DC2626"/>
          <w:sz w:val="22"/>
          <w:szCs w:val="22"/>
        </w:rPr>
        <w:t xml:space="preserve">❌ The Aggressive Marketer</w:t>
      </w:r>
    </w:p>
    <w:p>
      <w:pPr>
        <w:spacing w:after="100" w:before="0"/>
        <w:ind w:left="360"/>
      </w:pPr>
      <w:r>
        <w:rPr>
          <w:rFonts w:ascii="Calibri" w:cs="Calibri" w:eastAsia="Calibri" w:hAnsi="Calibri"/>
          <w:i/>
          <w:iCs/>
          <w:color w:val="6B7280"/>
          <w:sz w:val="21"/>
          <w:szCs w:val="21"/>
        </w:rPr>
        <w:t xml:space="preserve">"STOP letting doctors gaslight you! Your health is being DESTROYED and no one cares! Book our life-changing program TODAY!"</w:t>
      </w:r>
    </w:p>
    <w:p>
      <w:pPr>
        <w:spacing w:after="40" w:before="160"/>
      </w:pPr>
      <w:r>
        <w:rPr>
          <w:rFonts w:ascii="Calibri" w:cs="Calibri" w:eastAsia="Calibri" w:hAnsi="Calibri"/>
          <w:b/>
          <w:bCs/>
          <w:color w:val="DC2626"/>
          <w:sz w:val="22"/>
          <w:szCs w:val="22"/>
        </w:rPr>
        <w:t xml:space="preserve">❌ The Cold Clinician</w:t>
      </w:r>
    </w:p>
    <w:p>
      <w:pPr>
        <w:spacing w:after="100" w:before="0"/>
        <w:ind w:left="360"/>
      </w:pPr>
      <w:r>
        <w:rPr>
          <w:rFonts w:ascii="Calibri" w:cs="Calibri" w:eastAsia="Calibri" w:hAnsi="Calibri"/>
          <w:i/>
          <w:iCs/>
          <w:color w:val="6B7280"/>
          <w:sz w:val="21"/>
          <w:szCs w:val="21"/>
        </w:rPr>
        <w:t xml:space="preserve">"Our evidence-based protocols utilise a systems biology approach to address multifactorial chronic disease aetiology through targeted nutritional and lifestyle interventions."</w:t>
      </w:r>
    </w:p>
    <w:p>
      <w:pPr>
        <w:spacing w:after="40" w:before="160"/>
      </w:pPr>
      <w:r>
        <w:rPr>
          <w:rFonts w:ascii="Calibri" w:cs="Calibri" w:eastAsia="Calibri" w:hAnsi="Calibri"/>
          <w:b/>
          <w:bCs/>
          <w:color w:val="DC2626"/>
          <w:sz w:val="22"/>
          <w:szCs w:val="22"/>
        </w:rPr>
        <w:t xml:space="preserve">❌ The Wellness Influencer</w:t>
      </w:r>
    </w:p>
    <w:p>
      <w:pPr>
        <w:spacing w:after="100" w:before="0"/>
        <w:ind w:left="360"/>
      </w:pPr>
      <w:r>
        <w:rPr>
          <w:rFonts w:ascii="Calibri" w:cs="Calibri" w:eastAsia="Calibri" w:hAnsi="Calibri"/>
          <w:i/>
          <w:iCs/>
          <w:color w:val="6B7280"/>
          <w:sz w:val="21"/>
          <w:szCs w:val="21"/>
        </w:rPr>
        <w:t xml:space="preserve">"Manifest your healing, babe! ✨ Your body is a temple and you just need to trust the universe and drink this smoothie!"</w:t>
      </w:r>
    </w:p>
    <w:p>
      <w:pPr>
        <w:spacing w:after="40" w:before="160"/>
      </w:pPr>
      <w:r>
        <w:rPr>
          <w:rFonts w:ascii="Calibri" w:cs="Calibri" w:eastAsia="Calibri" w:hAnsi="Calibri"/>
          <w:b/>
          <w:bCs/>
          <w:color w:val="DC2626"/>
          <w:sz w:val="22"/>
          <w:szCs w:val="22"/>
        </w:rPr>
        <w:t xml:space="preserve">❌ The Fear-Monger</w:t>
      </w:r>
    </w:p>
    <w:p>
      <w:pPr>
        <w:spacing w:after="100" w:before="0"/>
        <w:ind w:left="360"/>
      </w:pPr>
      <w:r>
        <w:rPr>
          <w:rFonts w:ascii="Calibri" w:cs="Calibri" w:eastAsia="Calibri" w:hAnsi="Calibri"/>
          <w:i/>
          <w:iCs/>
          <w:color w:val="6B7280"/>
          <w:sz w:val="21"/>
          <w:szCs w:val="21"/>
        </w:rPr>
        <w:t xml:space="preserve">"If you don’t fix your gut NOW, you’re heading toward autoimmune disease, cancer, and early death. Don’t wait."</w:t>
      </w:r>
    </w:p>
    <w:p>
      <w:pPr>
        <w:spacing w:after="0" w:before="80"/>
      </w:pPr>
      <w:r>
        <w:t xml:space="preserve"/>
      </w:r>
    </w:p>
    <w:p>
      <w:pPr>
        <w:spacing w:after="120" w:before="120"/>
      </w:pPr>
      <w:r>
        <w:rPr>
          <w:rFonts w:ascii="Calibri" w:cs="Calibri" w:eastAsia="Calibri" w:hAnsi="Calibri"/>
          <w:b/>
          <w:bCs/>
          <w:color w:val="059669"/>
          <w:sz w:val="22"/>
          <w:szCs w:val="22"/>
        </w:rPr>
        <w:t xml:space="preserve">✅ BioHeal sounds like: </w:t>
      </w:r>
      <w:r>
        <w:rPr>
          <w:rFonts w:ascii="Calibri" w:cs="Calibri" w:eastAsia="Calibri" w:hAnsi="Calibri"/>
          <w:i/>
          <w:iCs/>
          <w:color w:val="374151"/>
          <w:sz w:val="22"/>
          <w:szCs w:val="22"/>
        </w:rPr>
        <w:t xml:space="preserve">"Something brought you here — maybe a symptom that won’t resolve, a question no one’s answered, or just a quiet feeling that there’s more to your health story. Whatever it is, you’re in the right place. Let’s figure it out together."</w:t>
      </w:r>
    </w:p>
    <w:p>
      <w:pPr>
        <w:pStyle w:val="Heading1"/>
      </w:pPr>
      <w:r>
        <w:rPr>
          <w:rFonts w:ascii="Calibri Light" w:cs="Calibri Light" w:eastAsia="Calibri Light" w:hAnsi="Calibri Light"/>
          <w:b/>
          <w:bCs/>
          <w:color w:val="5E35A1"/>
          <w:sz w:val="40"/>
          <w:szCs w:val="40"/>
        </w:rPr>
        <w:t xml:space="preserve">8. Target Audience</w:t>
      </w:r>
    </w:p>
    <w:p>
      <w:pPr>
        <w:pBdr>
          <w:bottom w:val="single" w:color="DDD6FE" w:sz="6" w:space="1"/>
        </w:pBdr>
        <w:spacing w:after="200" w:before="200"/>
      </w:pPr>
      <w:r>
        <w:t xml:space="preserve"/>
      </w:r>
    </w:p>
    <w:p>
      <w:pPr>
        <w:pStyle w:val="Heading2"/>
      </w:pPr>
      <w:r>
        <w:rPr>
          <w:rFonts w:ascii="Calibri" w:cs="Calibri" w:eastAsia="Calibri" w:hAnsi="Calibri"/>
          <w:b/>
          <w:bCs/>
          <w:color w:val="8B5CF6"/>
          <w:sz w:val="28"/>
          <w:szCs w:val="28"/>
        </w:rPr>
        <w:t xml:space="preserve">8.1 Who We Serve</w:t>
      </w:r>
    </w:p>
    <w:p>
      <w:pPr>
        <w:pStyle w:val="BodyText"/>
      </w:pPr>
      <w:r>
        <w:rPr>
          <w:rFonts w:ascii="Calibri" w:cs="Calibri" w:eastAsia="Calibri" w:hAnsi="Calibri"/>
          <w:color w:val="374151"/>
          <w:sz w:val="22"/>
          <w:szCs w:val="22"/>
        </w:rPr>
        <w:t xml:space="preserve">Individuals of all ages — with a focus on adults (25–55) and parents seeking help for their children — who are:</w:t>
      </w:r>
    </w:p>
    <w:p>
      <w:pPr>
        <w:pStyle w:val="ListParagraph"/>
        <w:numPr>
          <w:ilvl w:val="0"/>
          <w:numId w:val="4"/>
        </w:numPr>
      </w:pPr>
      <w:r>
        <w:rPr>
          <w:rFonts w:ascii="Calibri" w:cs="Calibri" w:eastAsia="Calibri" w:hAnsi="Calibri"/>
          <w:color w:val="374151"/>
          <w:sz w:val="22"/>
          <w:szCs w:val="22"/>
        </w:rPr>
        <w:t xml:space="preserve">Dealing with chronic health concerns that haven’t been resolved by conventional medicine</w:t>
      </w:r>
    </w:p>
    <w:p>
      <w:pPr>
        <w:pStyle w:val="ListParagraph"/>
        <w:numPr>
          <w:ilvl w:val="0"/>
          <w:numId w:val="4"/>
        </w:numPr>
      </w:pPr>
      <w:r>
        <w:rPr>
          <w:rFonts w:ascii="Calibri" w:cs="Calibri" w:eastAsia="Calibri" w:hAnsi="Calibri"/>
          <w:color w:val="374151"/>
          <w:sz w:val="22"/>
          <w:szCs w:val="22"/>
        </w:rPr>
        <w:t xml:space="preserve">Frustrated with short doctor visits and “your labs are normal” dismissals</w:t>
      </w:r>
    </w:p>
    <w:p>
      <w:pPr>
        <w:pStyle w:val="ListParagraph"/>
        <w:numPr>
          <w:ilvl w:val="0"/>
          <w:numId w:val="4"/>
        </w:numPr>
      </w:pPr>
      <w:r>
        <w:rPr>
          <w:rFonts w:ascii="Calibri" w:cs="Calibri" w:eastAsia="Calibri" w:hAnsi="Calibri"/>
          <w:color w:val="374151"/>
          <w:sz w:val="22"/>
          <w:szCs w:val="22"/>
        </w:rPr>
        <w:t xml:space="preserve">Willing to invest in personalised, premium care</w:t>
      </w:r>
    </w:p>
    <w:p>
      <w:pPr>
        <w:pStyle w:val="ListParagraph"/>
        <w:numPr>
          <w:ilvl w:val="0"/>
          <w:numId w:val="4"/>
        </w:numPr>
      </w:pPr>
      <w:r>
        <w:rPr>
          <w:rFonts w:ascii="Calibri" w:cs="Calibri" w:eastAsia="Calibri" w:hAnsi="Calibri"/>
          <w:color w:val="374151"/>
          <w:sz w:val="22"/>
          <w:szCs w:val="22"/>
        </w:rPr>
        <w:t xml:space="preserve">Open to lifestyle changes but need guidance and accountability</w:t>
      </w:r>
    </w:p>
    <w:p>
      <w:pPr>
        <w:pStyle w:val="ListParagraph"/>
        <w:numPr>
          <w:ilvl w:val="0"/>
          <w:numId w:val="4"/>
        </w:numPr>
      </w:pPr>
      <w:r>
        <w:rPr>
          <w:rFonts w:ascii="Calibri" w:cs="Calibri" w:eastAsia="Calibri" w:hAnsi="Calibri"/>
          <w:color w:val="374151"/>
          <w:sz w:val="22"/>
          <w:szCs w:val="22"/>
        </w:rPr>
        <w:t xml:space="preserve">Based in Bangalore (in-person) or anywhere in India (virtual)</w:t>
      </w:r>
    </w:p>
    <w:p>
      <w:pPr>
        <w:pStyle w:val="Heading2"/>
      </w:pPr>
      <w:r>
        <w:rPr>
          <w:rFonts w:ascii="Calibri" w:cs="Calibri" w:eastAsia="Calibri" w:hAnsi="Calibri"/>
          <w:b/>
          <w:bCs/>
          <w:color w:val="8B5CF6"/>
          <w:sz w:val="28"/>
          <w:szCs w:val="28"/>
        </w:rPr>
        <w:t xml:space="preserve">8.2 Conditions We Address</w:t>
      </w:r>
    </w:p>
    <w:p>
      <w:pPr>
        <w:pStyle w:val="Heading3"/>
      </w:pPr>
      <w:r>
        <w:rPr>
          <w:rFonts w:ascii="Calibri" w:cs="Calibri" w:eastAsia="Calibri" w:hAnsi="Calibri"/>
          <w:b/>
          <w:bCs/>
          <w:color w:val="6D28D9"/>
          <w:sz w:val="24"/>
          <w:szCs w:val="24"/>
        </w:rPr>
        <w:t xml:space="preserve">For Adults</w:t>
      </w:r>
    </w:p>
    <w:p>
      <w:pPr>
        <w:pStyle w:val="ListParagraph"/>
        <w:numPr>
          <w:ilvl w:val="0"/>
          <w:numId w:val="4"/>
        </w:numPr>
      </w:pPr>
      <w:r>
        <w:rPr>
          <w:rFonts w:ascii="Calibri" w:cs="Calibri" w:eastAsia="Calibri" w:hAnsi="Calibri"/>
          <w:color w:val="374151"/>
          <w:sz w:val="22"/>
          <w:szCs w:val="22"/>
        </w:rPr>
        <w:t xml:space="preserve">PCOS &amp; hormonal imbalances</w:t>
      </w:r>
    </w:p>
    <w:p>
      <w:pPr>
        <w:pStyle w:val="ListParagraph"/>
        <w:numPr>
          <w:ilvl w:val="0"/>
          <w:numId w:val="4"/>
        </w:numPr>
      </w:pPr>
      <w:r>
        <w:rPr>
          <w:rFonts w:ascii="Calibri" w:cs="Calibri" w:eastAsia="Calibri" w:hAnsi="Calibri"/>
          <w:color w:val="374151"/>
          <w:sz w:val="22"/>
          <w:szCs w:val="22"/>
        </w:rPr>
        <w:t xml:space="preserve">Thyroid disorders (Hashimoto’s, hypothyroidism)</w:t>
      </w:r>
    </w:p>
    <w:p>
      <w:pPr>
        <w:pStyle w:val="ListParagraph"/>
        <w:numPr>
          <w:ilvl w:val="0"/>
          <w:numId w:val="4"/>
        </w:numPr>
      </w:pPr>
      <w:r>
        <w:rPr>
          <w:rFonts w:ascii="Calibri" w:cs="Calibri" w:eastAsia="Calibri" w:hAnsi="Calibri"/>
          <w:color w:val="374151"/>
          <w:sz w:val="22"/>
          <w:szCs w:val="22"/>
        </w:rPr>
        <w:t xml:space="preserve">Type 2 Diabetes &amp; insulin resistance</w:t>
      </w:r>
    </w:p>
    <w:p>
      <w:pPr>
        <w:pStyle w:val="ListParagraph"/>
        <w:numPr>
          <w:ilvl w:val="0"/>
          <w:numId w:val="4"/>
        </w:numPr>
      </w:pPr>
      <w:r>
        <w:rPr>
          <w:rFonts w:ascii="Calibri" w:cs="Calibri" w:eastAsia="Calibri" w:hAnsi="Calibri"/>
          <w:color w:val="374151"/>
          <w:sz w:val="22"/>
          <w:szCs w:val="22"/>
        </w:rPr>
        <w:t xml:space="preserve">Gut health issues (IBS, bloating, SIBO, food sensitivities)</w:t>
      </w:r>
    </w:p>
    <w:p>
      <w:pPr>
        <w:pStyle w:val="ListParagraph"/>
        <w:numPr>
          <w:ilvl w:val="0"/>
          <w:numId w:val="4"/>
        </w:numPr>
      </w:pPr>
      <w:r>
        <w:rPr>
          <w:rFonts w:ascii="Calibri" w:cs="Calibri" w:eastAsia="Calibri" w:hAnsi="Calibri"/>
          <w:color w:val="374151"/>
          <w:sz w:val="22"/>
          <w:szCs w:val="22"/>
        </w:rPr>
        <w:t xml:space="preserve">Autoimmune conditions</w:t>
      </w:r>
    </w:p>
    <w:p>
      <w:pPr>
        <w:pStyle w:val="ListParagraph"/>
        <w:numPr>
          <w:ilvl w:val="0"/>
          <w:numId w:val="4"/>
        </w:numPr>
      </w:pPr>
      <w:r>
        <w:rPr>
          <w:rFonts w:ascii="Calibri" w:cs="Calibri" w:eastAsia="Calibri" w:hAnsi="Calibri"/>
          <w:color w:val="374151"/>
          <w:sz w:val="22"/>
          <w:szCs w:val="22"/>
        </w:rPr>
        <w:t xml:space="preserve">Chronic fatigue &amp; low energy</w:t>
      </w:r>
    </w:p>
    <w:p>
      <w:pPr>
        <w:pStyle w:val="ListParagraph"/>
        <w:numPr>
          <w:ilvl w:val="0"/>
          <w:numId w:val="4"/>
        </w:numPr>
      </w:pPr>
      <w:r>
        <w:rPr>
          <w:rFonts w:ascii="Calibri" w:cs="Calibri" w:eastAsia="Calibri" w:hAnsi="Calibri"/>
          <w:color w:val="374151"/>
          <w:sz w:val="22"/>
          <w:szCs w:val="22"/>
        </w:rPr>
        <w:t xml:space="preserve">Unexplained weight gain / difficulty losing weight</w:t>
      </w:r>
    </w:p>
    <w:p>
      <w:pPr>
        <w:pStyle w:val="ListParagraph"/>
        <w:numPr>
          <w:ilvl w:val="0"/>
          <w:numId w:val="4"/>
        </w:numPr>
      </w:pPr>
      <w:r>
        <w:rPr>
          <w:rFonts w:ascii="Calibri" w:cs="Calibri" w:eastAsia="Calibri" w:hAnsi="Calibri"/>
          <w:color w:val="374151"/>
          <w:sz w:val="22"/>
          <w:szCs w:val="22"/>
        </w:rPr>
        <w:t xml:space="preserve">Chronic inflammation</w:t>
      </w:r>
    </w:p>
    <w:p>
      <w:pPr>
        <w:pStyle w:val="ListParagraph"/>
        <w:numPr>
          <w:ilvl w:val="0"/>
          <w:numId w:val="4"/>
        </w:numPr>
      </w:pPr>
      <w:r>
        <w:rPr>
          <w:rFonts w:ascii="Calibri" w:cs="Calibri" w:eastAsia="Calibri" w:hAnsi="Calibri"/>
          <w:color w:val="374151"/>
          <w:sz w:val="22"/>
          <w:szCs w:val="22"/>
        </w:rPr>
        <w:t xml:space="preserve">Metabolic syndrome</w:t>
      </w:r>
    </w:p>
    <w:p>
      <w:pPr>
        <w:pStyle w:val="ListParagraph"/>
        <w:numPr>
          <w:ilvl w:val="0"/>
          <w:numId w:val="4"/>
        </w:numPr>
      </w:pPr>
      <w:r>
        <w:rPr>
          <w:rFonts w:ascii="Calibri" w:cs="Calibri" w:eastAsia="Calibri" w:hAnsi="Calibri"/>
          <w:color w:val="374151"/>
          <w:sz w:val="22"/>
          <w:szCs w:val="22"/>
        </w:rPr>
        <w:t xml:space="preserve">Sleep disorders &amp; chronic stress</w:t>
      </w:r>
    </w:p>
    <w:p>
      <w:pPr>
        <w:pStyle w:val="Heading3"/>
      </w:pPr>
      <w:r>
        <w:rPr>
          <w:rFonts w:ascii="Calibri" w:cs="Calibri" w:eastAsia="Calibri" w:hAnsi="Calibri"/>
          <w:b/>
          <w:bCs/>
          <w:color w:val="6D28D9"/>
          <w:sz w:val="24"/>
          <w:szCs w:val="24"/>
        </w:rPr>
        <w:t xml:space="preserve">For Children</w:t>
      </w:r>
    </w:p>
    <w:p>
      <w:pPr>
        <w:pStyle w:val="ListParagraph"/>
        <w:numPr>
          <w:ilvl w:val="0"/>
          <w:numId w:val="4"/>
        </w:numPr>
      </w:pPr>
      <w:r>
        <w:rPr>
          <w:rFonts w:ascii="Calibri" w:cs="Calibri" w:eastAsia="Calibri" w:hAnsi="Calibri"/>
          <w:color w:val="374151"/>
          <w:sz w:val="22"/>
          <w:szCs w:val="22"/>
        </w:rPr>
        <w:t xml:space="preserve">Recurring allergies &amp; immune weakness</w:t>
      </w:r>
    </w:p>
    <w:p>
      <w:pPr>
        <w:pStyle w:val="ListParagraph"/>
        <w:numPr>
          <w:ilvl w:val="0"/>
          <w:numId w:val="4"/>
        </w:numPr>
      </w:pPr>
      <w:r>
        <w:rPr>
          <w:rFonts w:ascii="Calibri" w:cs="Calibri" w:eastAsia="Calibri" w:hAnsi="Calibri"/>
          <w:color w:val="374151"/>
          <w:sz w:val="22"/>
          <w:szCs w:val="22"/>
        </w:rPr>
        <w:t xml:space="preserve">Gut health &amp; digestive issues</w:t>
      </w:r>
    </w:p>
    <w:p>
      <w:pPr>
        <w:pStyle w:val="ListParagraph"/>
        <w:numPr>
          <w:ilvl w:val="0"/>
          <w:numId w:val="4"/>
        </w:numPr>
      </w:pPr>
      <w:r>
        <w:rPr>
          <w:rFonts w:ascii="Calibri" w:cs="Calibri" w:eastAsia="Calibri" w:hAnsi="Calibri"/>
          <w:color w:val="374151"/>
          <w:sz w:val="22"/>
          <w:szCs w:val="22"/>
        </w:rPr>
        <w:t xml:space="preserve">Food sensitivities &amp; intolerances</w:t>
      </w:r>
    </w:p>
    <w:p>
      <w:pPr>
        <w:pStyle w:val="ListParagraph"/>
        <w:numPr>
          <w:ilvl w:val="0"/>
          <w:numId w:val="4"/>
        </w:numPr>
      </w:pPr>
      <w:r>
        <w:rPr>
          <w:rFonts w:ascii="Calibri" w:cs="Calibri" w:eastAsia="Calibri" w:hAnsi="Calibri"/>
          <w:color w:val="374151"/>
          <w:sz w:val="22"/>
          <w:szCs w:val="22"/>
        </w:rPr>
        <w:t xml:space="preserve">Attention &amp; behavioural concerns linked to nutrition</w:t>
      </w:r>
    </w:p>
    <w:p>
      <w:pPr>
        <w:pStyle w:val="ListParagraph"/>
        <w:numPr>
          <w:ilvl w:val="0"/>
          <w:numId w:val="4"/>
        </w:numPr>
      </w:pPr>
      <w:r>
        <w:rPr>
          <w:rFonts w:ascii="Calibri" w:cs="Calibri" w:eastAsia="Calibri" w:hAnsi="Calibri"/>
          <w:color w:val="374151"/>
          <w:sz w:val="22"/>
          <w:szCs w:val="22"/>
        </w:rPr>
        <w:t xml:space="preserve">Skin conditions (eczema, recurring rashes)</w:t>
      </w:r>
    </w:p>
    <w:p>
      <w:pPr>
        <w:pStyle w:val="ListParagraph"/>
        <w:numPr>
          <w:ilvl w:val="0"/>
          <w:numId w:val="4"/>
        </w:numPr>
      </w:pPr>
      <w:r>
        <w:rPr>
          <w:rFonts w:ascii="Calibri" w:cs="Calibri" w:eastAsia="Calibri" w:hAnsi="Calibri"/>
          <w:color w:val="374151"/>
          <w:sz w:val="22"/>
          <w:szCs w:val="22"/>
        </w:rPr>
        <w:t xml:space="preserve">Failure to thrive / nutritional deficiencies</w:t>
      </w:r>
    </w:p>
    <w:p>
      <w:pPr>
        <w:pStyle w:val="Heading2"/>
      </w:pPr>
      <w:r>
        <w:rPr>
          <w:rFonts w:ascii="Calibri" w:cs="Calibri" w:eastAsia="Calibri" w:hAnsi="Calibri"/>
          <w:b/>
          <w:bCs/>
          <w:color w:val="8B5CF6"/>
          <w:sz w:val="28"/>
          <w:szCs w:val="28"/>
        </w:rPr>
        <w:t xml:space="preserve">8.3 Psychographic Profile</w:t>
      </w:r>
    </w:p>
    <w:p>
      <w:pPr>
        <w:pStyle w:val="ListParagraph"/>
        <w:numPr>
          <w:ilvl w:val="0"/>
          <w:numId w:val="4"/>
        </w:numPr>
      </w:pPr>
      <w:r>
        <w:rPr>
          <w:rFonts w:ascii="Calibri" w:cs="Calibri" w:eastAsia="Calibri" w:hAnsi="Calibri"/>
          <w:color w:val="374151"/>
          <w:sz w:val="22"/>
          <w:szCs w:val="22"/>
        </w:rPr>
        <w:t xml:space="preserve">Values health but feels lost in conflicting information</w:t>
      </w:r>
    </w:p>
    <w:p>
      <w:pPr>
        <w:pStyle w:val="ListParagraph"/>
        <w:numPr>
          <w:ilvl w:val="0"/>
          <w:numId w:val="4"/>
        </w:numPr>
      </w:pPr>
      <w:r>
        <w:rPr>
          <w:rFonts w:ascii="Calibri" w:cs="Calibri" w:eastAsia="Calibri" w:hAnsi="Calibri"/>
          <w:color w:val="374151"/>
          <w:sz w:val="22"/>
          <w:szCs w:val="22"/>
        </w:rPr>
        <w:t xml:space="preserve">Has tried multiple diets/doctors without lasting results</w:t>
      </w:r>
    </w:p>
    <w:p>
      <w:pPr>
        <w:pStyle w:val="ListParagraph"/>
        <w:numPr>
          <w:ilvl w:val="0"/>
          <w:numId w:val="4"/>
        </w:numPr>
      </w:pPr>
      <w:r>
        <w:rPr>
          <w:rFonts w:ascii="Calibri" w:cs="Calibri" w:eastAsia="Calibri" w:hAnsi="Calibri"/>
          <w:color w:val="374151"/>
          <w:sz w:val="22"/>
          <w:szCs w:val="22"/>
        </w:rPr>
        <w:t xml:space="preserve">Wants to understand their body (or their child’s), not just follow orders</w:t>
      </w:r>
    </w:p>
    <w:p>
      <w:pPr>
        <w:pStyle w:val="ListParagraph"/>
        <w:numPr>
          <w:ilvl w:val="0"/>
          <w:numId w:val="4"/>
        </w:numPr>
      </w:pPr>
      <w:r>
        <w:rPr>
          <w:rFonts w:ascii="Calibri" w:cs="Calibri" w:eastAsia="Calibri" w:hAnsi="Calibri"/>
          <w:color w:val="374151"/>
          <w:sz w:val="22"/>
          <w:szCs w:val="22"/>
        </w:rPr>
        <w:t xml:space="preserve">Willing to invest for quality, time, and attention</w:t>
      </w:r>
    </w:p>
    <w:p>
      <w:pPr>
        <w:pStyle w:val="ListParagraph"/>
        <w:numPr>
          <w:ilvl w:val="0"/>
          <w:numId w:val="4"/>
        </w:numPr>
      </w:pPr>
      <w:r>
        <w:rPr>
          <w:rFonts w:ascii="Calibri" w:cs="Calibri" w:eastAsia="Calibri" w:hAnsi="Calibri"/>
          <w:color w:val="374151"/>
          <w:sz w:val="22"/>
          <w:szCs w:val="22"/>
        </w:rPr>
        <w:t xml:space="preserve">Prefers a calm, non-judgmental, science-backed approach</w:t>
      </w:r>
    </w:p>
    <w:p>
      <w:pPr>
        <w:pStyle w:val="ListParagraph"/>
        <w:numPr>
          <w:ilvl w:val="0"/>
          <w:numId w:val="4"/>
        </w:numPr>
      </w:pPr>
      <w:r>
        <w:rPr>
          <w:rFonts w:ascii="Calibri" w:cs="Calibri" w:eastAsia="Calibri" w:hAnsi="Calibri"/>
          <w:color w:val="374151"/>
          <w:sz w:val="22"/>
          <w:szCs w:val="22"/>
        </w:rPr>
        <w:t xml:space="preserve">Active on Instagram, consumes health content, reads labels</w:t>
      </w:r>
    </w:p>
    <w:p>
      <w:pPr>
        <w:pStyle w:val="ListParagraph"/>
        <w:numPr>
          <w:ilvl w:val="0"/>
          <w:numId w:val="4"/>
        </w:numPr>
      </w:pPr>
      <w:r>
        <w:rPr>
          <w:rFonts w:ascii="Calibri" w:cs="Calibri" w:eastAsia="Calibri" w:hAnsi="Calibri"/>
          <w:color w:val="374151"/>
          <w:sz w:val="22"/>
          <w:szCs w:val="22"/>
        </w:rPr>
        <w:t xml:space="preserve">Educated, urban, health-aware</w:t>
      </w:r>
    </w:p>
    <w:p>
      <w:pPr>
        <w:pStyle w:val="Heading1"/>
      </w:pPr>
      <w:r>
        <w:rPr>
          <w:rFonts w:ascii="Calibri Light" w:cs="Calibri Light" w:eastAsia="Calibri Light" w:hAnsi="Calibri Light"/>
          <w:b/>
          <w:bCs/>
          <w:color w:val="5E35A1"/>
          <w:sz w:val="40"/>
          <w:szCs w:val="40"/>
        </w:rPr>
        <w:t xml:space="preserve">9. Services</w:t>
      </w:r>
    </w:p>
    <w:p>
      <w:pPr>
        <w:pBdr>
          <w:bottom w:val="single" w:color="DDD6FE" w:sz="6" w:space="1"/>
        </w:pBdr>
        <w:spacing w:after="200" w:before="200"/>
      </w:pPr>
      <w:r>
        <w:t xml:space="preserve"/>
      </w:r>
    </w:p>
    <w:p>
      <w:pPr>
        <w:pStyle w:val="Heading2"/>
      </w:pPr>
      <w:r>
        <w:rPr>
          <w:rFonts w:ascii="Calibri" w:cs="Calibri" w:eastAsia="Calibri" w:hAnsi="Calibri"/>
          <w:b/>
          <w:bCs/>
          <w:color w:val="8B5CF6"/>
          <w:sz w:val="28"/>
          <w:szCs w:val="28"/>
        </w:rPr>
        <w:t xml:space="preserve">9.1 Core Offerings</w:t>
      </w:r>
    </w:p>
    <w:p>
      <w:pPr>
        <w:spacing w:after="80" w:before="280"/>
      </w:pPr>
      <w:r>
        <w:rPr>
          <w:rFonts w:ascii="Calibri" w:cs="Calibri" w:eastAsia="Calibri" w:hAnsi="Calibri"/>
          <w:b/>
          <w:bCs/>
          <w:color w:val="8B5CF6"/>
          <w:sz w:val="24"/>
          <w:szCs w:val="24"/>
        </w:rPr>
        <w:t xml:space="preserve">1. </w:t>
      </w:r>
      <w:r>
        <w:rPr>
          <w:rFonts w:ascii="Calibri" w:cs="Calibri" w:eastAsia="Calibri" w:hAnsi="Calibri"/>
          <w:b/>
          <w:bCs/>
          <w:color w:val="5E35A1"/>
          <w:sz w:val="24"/>
          <w:szCs w:val="24"/>
        </w:rPr>
        <w:t xml:space="preserve">Functional Medicine Consultation (1:1)</w:t>
      </w:r>
    </w:p>
    <w:p>
      <w:pPr>
        <w:pStyle w:val="ListParagraph"/>
        <w:numPr>
          <w:ilvl w:val="0"/>
          <w:numId w:val="4"/>
        </w:numPr>
      </w:pPr>
      <w:r>
        <w:rPr>
          <w:rFonts w:ascii="Calibri" w:cs="Calibri" w:eastAsia="Calibri" w:hAnsi="Calibri"/>
          <w:color w:val="374151"/>
          <w:sz w:val="22"/>
          <w:szCs w:val="22"/>
        </w:rPr>
        <w:t xml:space="preserve">Comprehensive initial assessment (60–90 minutes)</w:t>
      </w:r>
    </w:p>
    <w:p>
      <w:pPr>
        <w:pStyle w:val="ListParagraph"/>
        <w:numPr>
          <w:ilvl w:val="0"/>
          <w:numId w:val="4"/>
        </w:numPr>
      </w:pPr>
      <w:r>
        <w:rPr>
          <w:rFonts w:ascii="Calibri" w:cs="Calibri" w:eastAsia="Calibri" w:hAnsi="Calibri"/>
          <w:color w:val="374151"/>
          <w:sz w:val="22"/>
          <w:szCs w:val="22"/>
        </w:rPr>
        <w:t xml:space="preserve">Detailed health history &amp; timeline analysis</w:t>
      </w:r>
    </w:p>
    <w:p>
      <w:pPr>
        <w:pStyle w:val="ListParagraph"/>
        <w:numPr>
          <w:ilvl w:val="0"/>
          <w:numId w:val="4"/>
        </w:numPr>
      </w:pPr>
      <w:r>
        <w:rPr>
          <w:rFonts w:ascii="Calibri" w:cs="Calibri" w:eastAsia="Calibri" w:hAnsi="Calibri"/>
          <w:color w:val="374151"/>
          <w:sz w:val="22"/>
          <w:szCs w:val="22"/>
        </w:rPr>
        <w:t xml:space="preserve">Root-cause identification</w:t>
      </w:r>
    </w:p>
    <w:p>
      <w:pPr>
        <w:pStyle w:val="ListParagraph"/>
        <w:numPr>
          <w:ilvl w:val="0"/>
          <w:numId w:val="4"/>
        </w:numPr>
      </w:pPr>
      <w:r>
        <w:rPr>
          <w:rFonts w:ascii="Calibri" w:cs="Calibri" w:eastAsia="Calibri" w:hAnsi="Calibri"/>
          <w:color w:val="374151"/>
          <w:sz w:val="22"/>
          <w:szCs w:val="22"/>
        </w:rPr>
        <w:t xml:space="preserve">Personalised protocol development</w:t>
      </w:r>
    </w:p>
    <w:p>
      <w:pPr>
        <w:pStyle w:val="ListParagraph"/>
        <w:numPr>
          <w:ilvl w:val="0"/>
          <w:numId w:val="4"/>
        </w:numPr>
      </w:pPr>
      <w:r>
        <w:rPr>
          <w:rFonts w:ascii="Calibri" w:cs="Calibri" w:eastAsia="Calibri" w:hAnsi="Calibri"/>
          <w:color w:val="374151"/>
          <w:sz w:val="22"/>
          <w:szCs w:val="22"/>
        </w:rPr>
        <w:t xml:space="preserve">Follow-up consultations for progress tracking</w:t>
      </w:r>
    </w:p>
    <w:p>
      <w:pPr>
        <w:spacing w:after="80" w:before="280"/>
      </w:pPr>
      <w:r>
        <w:rPr>
          <w:rFonts w:ascii="Calibri" w:cs="Calibri" w:eastAsia="Calibri" w:hAnsi="Calibri"/>
          <w:b/>
          <w:bCs/>
          <w:color w:val="8B5CF6"/>
          <w:sz w:val="24"/>
          <w:szCs w:val="24"/>
        </w:rPr>
        <w:t xml:space="preserve">2. </w:t>
      </w:r>
      <w:r>
        <w:rPr>
          <w:rFonts w:ascii="Calibri" w:cs="Calibri" w:eastAsia="Calibri" w:hAnsi="Calibri"/>
          <w:b/>
          <w:bCs/>
          <w:color w:val="5E35A1"/>
          <w:sz w:val="24"/>
          <w:szCs w:val="24"/>
        </w:rPr>
        <w:t xml:space="preserve">Advanced Lab Interpretation</w:t>
      </w:r>
    </w:p>
    <w:p>
      <w:pPr>
        <w:pStyle w:val="ListParagraph"/>
        <w:numPr>
          <w:ilvl w:val="0"/>
          <w:numId w:val="4"/>
        </w:numPr>
      </w:pPr>
      <w:r>
        <w:rPr>
          <w:rFonts w:ascii="Calibri" w:cs="Calibri" w:eastAsia="Calibri" w:hAnsi="Calibri"/>
          <w:color w:val="374151"/>
          <w:sz w:val="22"/>
          <w:szCs w:val="22"/>
        </w:rPr>
        <w:t xml:space="preserve">Review of existing lab reports through a functional lens</w:t>
      </w:r>
    </w:p>
    <w:p>
      <w:pPr>
        <w:pStyle w:val="ListParagraph"/>
        <w:numPr>
          <w:ilvl w:val="0"/>
          <w:numId w:val="4"/>
        </w:numPr>
      </w:pPr>
      <w:r>
        <w:rPr>
          <w:rFonts w:ascii="Calibri" w:cs="Calibri" w:eastAsia="Calibri" w:hAnsi="Calibri"/>
          <w:color w:val="374151"/>
          <w:sz w:val="22"/>
          <w:szCs w:val="22"/>
        </w:rPr>
        <w:t xml:space="preserve">Identification of patterns missed by conventional “normal ranges”</w:t>
      </w:r>
    </w:p>
    <w:p>
      <w:pPr>
        <w:pStyle w:val="ListParagraph"/>
        <w:numPr>
          <w:ilvl w:val="0"/>
          <w:numId w:val="4"/>
        </w:numPr>
      </w:pPr>
      <w:r>
        <w:rPr>
          <w:rFonts w:ascii="Calibri" w:cs="Calibri" w:eastAsia="Calibri" w:hAnsi="Calibri"/>
          <w:color w:val="374151"/>
          <w:sz w:val="22"/>
          <w:szCs w:val="22"/>
        </w:rPr>
        <w:t xml:space="preserve">Biomarker analysis with optimal (not just reference) ranges</w:t>
      </w:r>
    </w:p>
    <w:p>
      <w:pPr>
        <w:pStyle w:val="ListParagraph"/>
        <w:numPr>
          <w:ilvl w:val="0"/>
          <w:numId w:val="4"/>
        </w:numPr>
      </w:pPr>
      <w:r>
        <w:rPr>
          <w:rFonts w:ascii="Calibri" w:cs="Calibri" w:eastAsia="Calibri" w:hAnsi="Calibri"/>
          <w:color w:val="374151"/>
          <w:sz w:val="22"/>
          <w:szCs w:val="22"/>
        </w:rPr>
        <w:t xml:space="preserve">Recommendations for additional testing if needed</w:t>
      </w:r>
    </w:p>
    <w:p>
      <w:pPr>
        <w:spacing w:after="80" w:before="280"/>
      </w:pPr>
      <w:r>
        <w:rPr>
          <w:rFonts w:ascii="Calibri" w:cs="Calibri" w:eastAsia="Calibri" w:hAnsi="Calibri"/>
          <w:b/>
          <w:bCs/>
          <w:color w:val="8B5CF6"/>
          <w:sz w:val="24"/>
          <w:szCs w:val="24"/>
        </w:rPr>
        <w:t xml:space="preserve">3. </w:t>
      </w:r>
      <w:r>
        <w:rPr>
          <w:rFonts w:ascii="Calibri" w:cs="Calibri" w:eastAsia="Calibri" w:hAnsi="Calibri"/>
          <w:b/>
          <w:bCs/>
          <w:color w:val="5E35A1"/>
          <w:sz w:val="24"/>
          <w:szCs w:val="24"/>
        </w:rPr>
        <w:t xml:space="preserve">Personalised Nutrition &amp; Meal Planning</w:t>
      </w:r>
    </w:p>
    <w:p>
      <w:pPr>
        <w:pStyle w:val="ListParagraph"/>
        <w:numPr>
          <w:ilvl w:val="0"/>
          <w:numId w:val="4"/>
        </w:numPr>
      </w:pPr>
      <w:r>
        <w:rPr>
          <w:rFonts w:ascii="Calibri" w:cs="Calibri" w:eastAsia="Calibri" w:hAnsi="Calibri"/>
          <w:color w:val="374151"/>
          <w:sz w:val="22"/>
          <w:szCs w:val="22"/>
        </w:rPr>
        <w:t xml:space="preserve">Customised meal plans based on condition, preferences, and lifestyle</w:t>
      </w:r>
    </w:p>
    <w:p>
      <w:pPr>
        <w:pStyle w:val="ListParagraph"/>
        <w:numPr>
          <w:ilvl w:val="0"/>
          <w:numId w:val="4"/>
        </w:numPr>
      </w:pPr>
      <w:r>
        <w:rPr>
          <w:rFonts w:ascii="Calibri" w:cs="Calibri" w:eastAsia="Calibri" w:hAnsi="Calibri"/>
          <w:color w:val="374151"/>
          <w:sz w:val="22"/>
          <w:szCs w:val="22"/>
        </w:rPr>
        <w:t xml:space="preserve">Anti-inflammatory, gut-healing, or metabolic protocols</w:t>
      </w:r>
    </w:p>
    <w:p>
      <w:pPr>
        <w:pStyle w:val="ListParagraph"/>
        <w:numPr>
          <w:ilvl w:val="0"/>
          <w:numId w:val="4"/>
        </w:numPr>
      </w:pPr>
      <w:r>
        <w:rPr>
          <w:rFonts w:ascii="Calibri" w:cs="Calibri" w:eastAsia="Calibri" w:hAnsi="Calibri"/>
          <w:color w:val="374151"/>
          <w:sz w:val="22"/>
          <w:szCs w:val="22"/>
        </w:rPr>
        <w:t xml:space="preserve">Practical, sustainable plans suited to Indian kitchens</w:t>
      </w:r>
    </w:p>
    <w:p>
      <w:pPr>
        <w:pStyle w:val="ListParagraph"/>
        <w:numPr>
          <w:ilvl w:val="0"/>
          <w:numId w:val="4"/>
        </w:numPr>
      </w:pPr>
      <w:r>
        <w:rPr>
          <w:rFonts w:ascii="Calibri" w:cs="Calibri" w:eastAsia="Calibri" w:hAnsi="Calibri"/>
          <w:color w:val="374151"/>
          <w:sz w:val="22"/>
          <w:szCs w:val="22"/>
        </w:rPr>
        <w:t xml:space="preserve">Age-appropriate plans for children</w:t>
      </w:r>
    </w:p>
    <w:p>
      <w:pPr>
        <w:pStyle w:val="ListParagraph"/>
        <w:numPr>
          <w:ilvl w:val="0"/>
          <w:numId w:val="4"/>
        </w:numPr>
      </w:pPr>
      <w:r>
        <w:rPr>
          <w:rFonts w:ascii="Calibri" w:cs="Calibri" w:eastAsia="Calibri" w:hAnsi="Calibri"/>
          <w:color w:val="374151"/>
          <w:sz w:val="22"/>
          <w:szCs w:val="22"/>
        </w:rPr>
        <w:t xml:space="preserve">Ongoing adjustments based on progress</w:t>
      </w:r>
    </w:p>
    <w:p>
      <w:pPr>
        <w:spacing w:after="80" w:before="280"/>
      </w:pPr>
      <w:r>
        <w:rPr>
          <w:rFonts w:ascii="Calibri" w:cs="Calibri" w:eastAsia="Calibri" w:hAnsi="Calibri"/>
          <w:b/>
          <w:bCs/>
          <w:color w:val="8B5CF6"/>
          <w:sz w:val="24"/>
          <w:szCs w:val="24"/>
        </w:rPr>
        <w:t xml:space="preserve">4. </w:t>
      </w:r>
      <w:r>
        <w:rPr>
          <w:rFonts w:ascii="Calibri" w:cs="Calibri" w:eastAsia="Calibri" w:hAnsi="Calibri"/>
          <w:b/>
          <w:bCs/>
          <w:color w:val="5E35A1"/>
          <w:sz w:val="24"/>
          <w:szCs w:val="24"/>
        </w:rPr>
        <w:t xml:space="preserve">Lifestyle Coaching</w:t>
      </w:r>
    </w:p>
    <w:p>
      <w:pPr>
        <w:pStyle w:val="ListParagraph"/>
        <w:numPr>
          <w:ilvl w:val="0"/>
          <w:numId w:val="4"/>
        </w:numPr>
      </w:pPr>
      <w:r>
        <w:rPr>
          <w:rFonts w:ascii="Calibri" w:cs="Calibri" w:eastAsia="Calibri" w:hAnsi="Calibri"/>
          <w:color w:val="374151"/>
          <w:sz w:val="22"/>
          <w:szCs w:val="22"/>
        </w:rPr>
        <w:t xml:space="preserve">Sleep optimisation strategies</w:t>
      </w:r>
    </w:p>
    <w:p>
      <w:pPr>
        <w:pStyle w:val="ListParagraph"/>
        <w:numPr>
          <w:ilvl w:val="0"/>
          <w:numId w:val="4"/>
        </w:numPr>
      </w:pPr>
      <w:r>
        <w:rPr>
          <w:rFonts w:ascii="Calibri" w:cs="Calibri" w:eastAsia="Calibri" w:hAnsi="Calibri"/>
          <w:color w:val="374151"/>
          <w:sz w:val="22"/>
          <w:szCs w:val="22"/>
        </w:rPr>
        <w:t xml:space="preserve">Stress management &amp; nervous system regulation</w:t>
      </w:r>
    </w:p>
    <w:p>
      <w:pPr>
        <w:pStyle w:val="ListParagraph"/>
        <w:numPr>
          <w:ilvl w:val="0"/>
          <w:numId w:val="4"/>
        </w:numPr>
      </w:pPr>
      <w:r>
        <w:rPr>
          <w:rFonts w:ascii="Calibri" w:cs="Calibri" w:eastAsia="Calibri" w:hAnsi="Calibri"/>
          <w:color w:val="374151"/>
          <w:sz w:val="22"/>
          <w:szCs w:val="22"/>
        </w:rPr>
        <w:t xml:space="preserve">Movement/exercise guidance (appropriate to condition and age)</w:t>
      </w:r>
    </w:p>
    <w:p>
      <w:pPr>
        <w:pStyle w:val="ListParagraph"/>
        <w:numPr>
          <w:ilvl w:val="0"/>
          <w:numId w:val="4"/>
        </w:numPr>
      </w:pPr>
      <w:r>
        <w:rPr>
          <w:rFonts w:ascii="Calibri" w:cs="Calibri" w:eastAsia="Calibri" w:hAnsi="Calibri"/>
          <w:color w:val="374151"/>
          <w:sz w:val="22"/>
          <w:szCs w:val="22"/>
        </w:rPr>
        <w:t xml:space="preserve">Supplement recommendations (evidence-based)</w:t>
      </w:r>
    </w:p>
    <w:p>
      <w:pPr>
        <w:pStyle w:val="ListParagraph"/>
        <w:numPr>
          <w:ilvl w:val="0"/>
          <w:numId w:val="4"/>
        </w:numPr>
      </w:pPr>
      <w:r>
        <w:rPr>
          <w:rFonts w:ascii="Calibri" w:cs="Calibri" w:eastAsia="Calibri" w:hAnsi="Calibri"/>
          <w:color w:val="374151"/>
          <w:sz w:val="22"/>
          <w:szCs w:val="22"/>
        </w:rPr>
        <w:t xml:space="preserve">Breathwork and recovery protocols</w:t>
      </w:r>
    </w:p>
    <w:p>
      <w:pPr>
        <w:pStyle w:val="ListParagraph"/>
        <w:numPr>
          <w:ilvl w:val="0"/>
          <w:numId w:val="4"/>
        </w:numPr>
      </w:pPr>
      <w:r>
        <w:rPr>
          <w:rFonts w:ascii="Calibri" w:cs="Calibri" w:eastAsia="Calibri" w:hAnsi="Calibri"/>
          <w:color w:val="374151"/>
          <w:sz w:val="22"/>
          <w:szCs w:val="22"/>
        </w:rPr>
        <w:t xml:space="preserve">Behaviour change support &amp; accountability</w:t>
      </w:r>
    </w:p>
    <w:p>
      <w:pPr>
        <w:pStyle w:val="Heading2"/>
      </w:pPr>
      <w:r>
        <w:rPr>
          <w:rFonts w:ascii="Calibri" w:cs="Calibri" w:eastAsia="Calibri" w:hAnsi="Calibri"/>
          <w:b/>
          <w:bCs/>
          <w:color w:val="8B5CF6"/>
          <w:sz w:val="28"/>
          <w:szCs w:val="28"/>
        </w:rPr>
        <w:t xml:space="preserve">9.2 Delivery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Format</w:t>
            </w:r>
          </w:p>
        </w:tc>
        <w:tc>
          <w:tcPr>
            <w:tcW w:type="dxa" w:w="736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Details</w:t>
            </w:r>
          </w:p>
        </w:tc>
      </w:tr>
      <w:tr>
        <w:tc>
          <w:tcPr>
            <w:tcW w:type="dxa" w:w="200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bCs/>
                <w:color w:val="5E35A1"/>
                <w:sz w:val="20"/>
                <w:szCs w:val="20"/>
              </w:rPr>
              <w:t xml:space="preserve">In-Person</w:t>
            </w:r>
          </w:p>
        </w:tc>
        <w:tc>
          <w:tcPr>
            <w:tcW w:type="dxa" w:w="736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Consultations in Bangalore</w:t>
            </w:r>
          </w:p>
        </w:tc>
      </w:tr>
      <w:tr>
        <w:tc>
          <w:tcPr>
            <w:tcW w:type="dxa" w:w="2000"/>
            <w:tcBorders>
              <w:top w:val="single" w:color="DDD6FE" w:sz="4"/>
              <w:left w:val="single" w:color="DDD6FE" w:sz="4"/>
              <w:bottom w:val="single" w:color="DDD6FE" w:sz="4"/>
              <w:right w:val="single" w:color="DDD6FE" w:sz="4"/>
            </w:tcBorders>
            <w:shd w:fill="EDE9FE" w:val="clear"/>
            <w:tcMar>
              <w:top w:type="dxa" w:w="100"/>
              <w:left w:type="dxa" w:w="140"/>
              <w:bottom w:type="dxa" w:w="100"/>
              <w:right w:type="dxa" w:w="140"/>
            </w:tcMar>
          </w:tcPr>
          <w:p>
            <w:r>
              <w:rPr>
                <w:rFonts w:ascii="Calibri" w:cs="Calibri" w:eastAsia="Calibri" w:hAnsi="Calibri"/>
                <w:b/>
                <w:bCs/>
                <w:color w:val="5E35A1"/>
                <w:sz w:val="20"/>
                <w:szCs w:val="20"/>
              </w:rPr>
              <w:t xml:space="preserve">Virtual</w:t>
            </w:r>
          </w:p>
        </w:tc>
        <w:tc>
          <w:tcPr>
            <w:tcW w:type="dxa" w:w="736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Video consultations for clients across India</w:t>
            </w:r>
          </w:p>
        </w:tc>
      </w:tr>
      <w:tr>
        <w:tc>
          <w:tcPr>
            <w:tcW w:type="dxa" w:w="2000"/>
            <w:tcBorders>
              <w:top w:val="single" w:color="DDD6FE" w:sz="4"/>
              <w:left w:val="single" w:color="DDD6FE" w:sz="4"/>
              <w:bottom w:val="single" w:color="DDD6FE" w:sz="4"/>
              <w:right w:val="single" w:color="DDD6FE" w:sz="4"/>
            </w:tcBorders>
            <w:shd w:fill="F5F3FF" w:val="clear"/>
            <w:tcMar>
              <w:top w:type="dxa" w:w="100"/>
              <w:left w:type="dxa" w:w="140"/>
              <w:bottom w:type="dxa" w:w="100"/>
              <w:right w:type="dxa" w:w="140"/>
            </w:tcMar>
          </w:tcPr>
          <w:p>
            <w:r>
              <w:rPr>
                <w:rFonts w:ascii="Calibri" w:cs="Calibri" w:eastAsia="Calibri" w:hAnsi="Calibri"/>
                <w:b/>
                <w:bCs/>
                <w:color w:val="5E35A1"/>
                <w:sz w:val="20"/>
                <w:szCs w:val="20"/>
              </w:rPr>
              <w:t xml:space="preserve">Hybrid</w:t>
            </w:r>
          </w:p>
        </w:tc>
        <w:tc>
          <w:tcPr>
            <w:tcW w:type="dxa" w:w="7360"/>
            <w:tcBorders>
              <w:top w:val="single" w:color="DDD6FE" w:sz="4"/>
              <w:left w:val="single" w:color="DDD6FE" w:sz="4"/>
              <w:bottom w:val="single" w:color="DDD6FE" w:sz="4"/>
              <w:right w:val="single" w:color="DDD6FE" w:sz="4"/>
            </w:tcBorders>
            <w:shd w:fill="FFFFFF" w:val="clear"/>
            <w:tcMar>
              <w:top w:type="dxa" w:w="100"/>
              <w:left w:type="dxa" w:w="140"/>
              <w:bottom w:type="dxa" w:w="100"/>
              <w:right w:type="dxa" w:w="140"/>
            </w:tcMar>
          </w:tcPr>
          <w:p>
            <w:r>
              <w:rPr>
                <w:rFonts w:ascii="Calibri" w:cs="Calibri" w:eastAsia="Calibri" w:hAnsi="Calibri"/>
                <w:b w:val="false"/>
                <w:bCs w:val="false"/>
                <w:color w:val="374151"/>
                <w:sz w:val="20"/>
                <w:szCs w:val="20"/>
              </w:rPr>
              <w:t xml:space="preserve">Initial in-person + virtual follow-ups</w:t>
            </w:r>
          </w:p>
        </w:tc>
      </w:tr>
    </w:tbl>
    <w:p>
      <w:pPr>
        <w:pStyle w:val="Heading2"/>
      </w:pPr>
      <w:r>
        <w:rPr>
          <w:rFonts w:ascii="Calibri" w:cs="Calibri" w:eastAsia="Calibri" w:hAnsi="Calibri"/>
          <w:b/>
          <w:bCs/>
          <w:color w:val="8B5CF6"/>
          <w:sz w:val="28"/>
          <w:szCs w:val="28"/>
        </w:rPr>
        <w:t xml:space="preserve">9.3 Pricing Position</w:t>
      </w:r>
    </w:p>
    <w:p>
      <w:pPr>
        <w:pStyle w:val="ListParagraph"/>
        <w:numPr>
          <w:ilvl w:val="0"/>
          <w:numId w:val="4"/>
        </w:numPr>
      </w:pPr>
      <w:r>
        <w:rPr>
          <w:rFonts w:ascii="Calibri" w:cs="Calibri" w:eastAsia="Calibri" w:hAnsi="Calibri"/>
          <w:color w:val="374151"/>
          <w:sz w:val="22"/>
          <w:szCs w:val="22"/>
        </w:rPr>
        <w:t xml:space="preserve">Premium tier (₹5,000+ per session)</w:t>
      </w:r>
    </w:p>
    <w:p>
      <w:pPr>
        <w:pStyle w:val="ListParagraph"/>
        <w:numPr>
          <w:ilvl w:val="0"/>
          <w:numId w:val="4"/>
        </w:numPr>
      </w:pPr>
      <w:r>
        <w:rPr>
          <w:rFonts w:ascii="Calibri" w:cs="Calibri" w:eastAsia="Calibri" w:hAnsi="Calibri"/>
          <w:color w:val="374151"/>
          <w:sz w:val="22"/>
          <w:szCs w:val="22"/>
        </w:rPr>
        <w:t xml:space="preserve">Reflects the depth, time, and personalisation of each engagement</w:t>
      </w:r>
    </w:p>
    <w:p>
      <w:pPr>
        <w:pStyle w:val="ListParagraph"/>
        <w:numPr>
          <w:ilvl w:val="0"/>
          <w:numId w:val="4"/>
        </w:numPr>
      </w:pPr>
      <w:r>
        <w:rPr>
          <w:rFonts w:ascii="Calibri" w:cs="Calibri" w:eastAsia="Calibri" w:hAnsi="Calibri"/>
          <w:color w:val="374151"/>
          <w:sz w:val="22"/>
          <w:szCs w:val="22"/>
        </w:rPr>
        <w:t xml:space="preserve">Not a volume-based model — quality over quantity</w:t>
      </w:r>
    </w:p>
    <w:p>
      <w:pPr>
        <w:spacing w:after="0" w:before="80"/>
      </w:pPr>
      <w:r>
        <w:t xml:space="preserve"/>
      </w:r>
    </w:p>
    <w:p>
      <w:pPr>
        <w:spacing w:after="120" w:before="80"/>
        <w:ind w:left="360"/>
      </w:pPr>
      <w:r>
        <w:rPr>
          <w:rFonts w:ascii="Calibri" w:cs="Calibri" w:eastAsia="Calibri" w:hAnsi="Calibri"/>
          <w:b/>
          <w:bCs/>
          <w:color w:val="6B7280"/>
          <w:sz w:val="20"/>
          <w:szCs w:val="20"/>
        </w:rPr>
        <w:t xml:space="preserve">Note: </w:t>
      </w:r>
      <w:r>
        <w:rPr>
          <w:rFonts w:ascii="Calibri" w:cs="Calibri" w:eastAsia="Calibri" w:hAnsi="Calibri"/>
          <w:i/>
          <w:iCs/>
          <w:color w:val="6B7280"/>
          <w:sz w:val="20"/>
          <w:szCs w:val="20"/>
        </w:rPr>
        <w:t xml:space="preserve">Pricing will not be prominently featured on the website at launch. The focus is on communicating value, building trust, and encouraging discovery conversations.</w:t>
      </w:r>
    </w:p>
    <w:p>
      <w:pPr>
        <w:pStyle w:val="Heading1"/>
      </w:pPr>
      <w:r>
        <w:rPr>
          <w:rFonts w:ascii="Calibri Light" w:cs="Calibri Light" w:eastAsia="Calibri Light" w:hAnsi="Calibri Light"/>
          <w:b/>
          <w:bCs/>
          <w:color w:val="5E35A1"/>
          <w:sz w:val="40"/>
          <w:szCs w:val="40"/>
        </w:rPr>
        <w:t xml:space="preserve">10. The BioHeal Client Journey</w:t>
      </w:r>
    </w:p>
    <w:p>
      <w:pPr>
        <w:pBdr>
          <w:bottom w:val="single" w:color="DDD6FE"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Stage</w:t>
            </w:r>
          </w:p>
        </w:tc>
        <w:tc>
          <w:tcPr>
            <w:tcW w:type="dxa" w:w="696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Description</w:t>
            </w:r>
          </w:p>
        </w:tc>
      </w:tr>
      <w:tr>
        <w:tc>
          <w:tcPr>
            <w:tcW w:type="dxa" w:w="2400"/>
            <w:tcBorders>
              <w:top w:val="single" w:color="DDD6FE" w:sz="4"/>
              <w:left w:val="single" w:color="DDD6FE" w:sz="4"/>
              <w:bottom w:val="single" w:color="DDD6FE" w:sz="4"/>
              <w:right w:val="single" w:color="DDD6FE" w:sz="4"/>
            </w:tcBorders>
            <w:shd w:fill="EDE9FE" w:val="clear"/>
            <w:tcMar>
              <w:top w:type="dxa" w:w="120"/>
              <w:left w:type="dxa" w:w="140"/>
              <w:bottom w:type="dxa" w:w="120"/>
              <w:right w:type="dxa" w:w="140"/>
            </w:tcMar>
          </w:tcPr>
          <w:p>
            <w:r>
              <w:rPr>
                <w:rFonts w:ascii="Calibri" w:cs="Calibri" w:eastAsia="Calibri" w:hAnsi="Calibri"/>
                <w:b/>
                <w:bCs/>
                <w:color w:val="5E35A1"/>
                <w:sz w:val="20"/>
                <w:szCs w:val="20"/>
              </w:rPr>
              <w:t xml:space="preserve">1. AWARENESS</w:t>
            </w:r>
          </w:p>
        </w:tc>
        <w:tc>
          <w:tcPr>
            <w:tcW w:type="dxa" w:w="6960"/>
            <w:tcBorders>
              <w:top w:val="single" w:color="DDD6FE" w:sz="4"/>
              <w:left w:val="single" w:color="DDD6FE" w:sz="4"/>
              <w:bottom w:val="single" w:color="DDD6FE" w:sz="4"/>
              <w:right w:val="single" w:color="DDD6FE" w:sz="4"/>
            </w:tcBorders>
            <w:shd w:fill="FFFFFF" w:val="clear"/>
            <w:tcMar>
              <w:top w:type="dxa" w:w="120"/>
              <w:left w:type="dxa" w:w="140"/>
              <w:bottom w:type="dxa" w:w="120"/>
              <w:right w:type="dxa" w:w="140"/>
            </w:tcMar>
          </w:tcPr>
          <w:p>
            <w:r>
              <w:rPr>
                <w:rFonts w:ascii="Calibri" w:cs="Calibri" w:eastAsia="Calibri" w:hAnsi="Calibri"/>
                <w:color w:val="374151"/>
                <w:sz w:val="20"/>
                <w:szCs w:val="20"/>
              </w:rPr>
              <w:t xml:space="preserve">Someone discovers BioHeal via Instagram, Google, referral, or content. The message resonates.</w:t>
            </w:r>
          </w:p>
        </w:tc>
      </w:tr>
      <w:tr>
        <w:tc>
          <w:tcPr>
            <w:tcW w:type="dxa" w:w="2400"/>
            <w:tcBorders>
              <w:top w:val="single" w:color="DDD6FE" w:sz="4"/>
              <w:left w:val="single" w:color="DDD6FE" w:sz="4"/>
              <w:bottom w:val="single" w:color="DDD6FE" w:sz="4"/>
              <w:right w:val="single" w:color="DDD6FE" w:sz="4"/>
            </w:tcBorders>
            <w:shd w:fill="F5F3FF" w:val="clear"/>
            <w:tcMar>
              <w:top w:type="dxa" w:w="120"/>
              <w:left w:type="dxa" w:w="140"/>
              <w:bottom w:type="dxa" w:w="120"/>
              <w:right w:type="dxa" w:w="140"/>
            </w:tcMar>
          </w:tcPr>
          <w:p>
            <w:r>
              <w:rPr>
                <w:rFonts w:ascii="Calibri" w:cs="Calibri" w:eastAsia="Calibri" w:hAnsi="Calibri"/>
                <w:b/>
                <w:bCs/>
                <w:color w:val="5E35A1"/>
                <w:sz w:val="20"/>
                <w:szCs w:val="20"/>
              </w:rPr>
              <w:t xml:space="preserve">2. DISCOVERY CONVERSATION (Free, 15 min)</w:t>
            </w:r>
          </w:p>
        </w:tc>
        <w:tc>
          <w:tcPr>
            <w:tcW w:type="dxa" w:w="6960"/>
            <w:tcBorders>
              <w:top w:val="single" w:color="DDD6FE" w:sz="4"/>
              <w:left w:val="single" w:color="DDD6FE" w:sz="4"/>
              <w:bottom w:val="single" w:color="DDD6FE" w:sz="4"/>
              <w:right w:val="single" w:color="DDD6FE" w:sz="4"/>
            </w:tcBorders>
            <w:shd w:fill="FAF5FF" w:val="clear"/>
            <w:tcMar>
              <w:top w:type="dxa" w:w="120"/>
              <w:left w:type="dxa" w:w="140"/>
              <w:bottom w:type="dxa" w:w="120"/>
              <w:right w:type="dxa" w:w="140"/>
            </w:tcMar>
          </w:tcPr>
          <w:p>
            <w:r>
              <w:rPr>
                <w:rFonts w:ascii="Calibri" w:cs="Calibri" w:eastAsia="Calibri" w:hAnsi="Calibri"/>
                <w:color w:val="374151"/>
                <w:sz w:val="20"/>
                <w:szCs w:val="20"/>
              </w:rPr>
              <w:t xml:space="preserve">A brief, no-pressure conversation to understand concerns, explain the approach, and assess fit.</w:t>
            </w:r>
          </w:p>
        </w:tc>
      </w:tr>
      <w:tr>
        <w:tc>
          <w:tcPr>
            <w:tcW w:type="dxa" w:w="2400"/>
            <w:tcBorders>
              <w:top w:val="single" w:color="DDD6FE" w:sz="4"/>
              <w:left w:val="single" w:color="DDD6FE" w:sz="4"/>
              <w:bottom w:val="single" w:color="DDD6FE" w:sz="4"/>
              <w:right w:val="single" w:color="DDD6FE" w:sz="4"/>
            </w:tcBorders>
            <w:shd w:fill="EDE9FE" w:val="clear"/>
            <w:tcMar>
              <w:top w:type="dxa" w:w="120"/>
              <w:left w:type="dxa" w:w="140"/>
              <w:bottom w:type="dxa" w:w="120"/>
              <w:right w:type="dxa" w:w="140"/>
            </w:tcMar>
          </w:tcPr>
          <w:p>
            <w:r>
              <w:rPr>
                <w:rFonts w:ascii="Calibri" w:cs="Calibri" w:eastAsia="Calibri" w:hAnsi="Calibri"/>
                <w:b/>
                <w:bCs/>
                <w:color w:val="5E35A1"/>
                <w:sz w:val="20"/>
                <w:szCs w:val="20"/>
              </w:rPr>
              <w:t xml:space="preserve">3. DEEP DIVE ASSESSMENT (60–90 min)</w:t>
            </w:r>
          </w:p>
        </w:tc>
        <w:tc>
          <w:tcPr>
            <w:tcW w:type="dxa" w:w="6960"/>
            <w:tcBorders>
              <w:top w:val="single" w:color="DDD6FE" w:sz="4"/>
              <w:left w:val="single" w:color="DDD6FE" w:sz="4"/>
              <w:bottom w:val="single" w:color="DDD6FE" w:sz="4"/>
              <w:right w:val="single" w:color="DDD6FE" w:sz="4"/>
            </w:tcBorders>
            <w:shd w:fill="FFFFFF" w:val="clear"/>
            <w:tcMar>
              <w:top w:type="dxa" w:w="120"/>
              <w:left w:type="dxa" w:w="140"/>
              <w:bottom w:type="dxa" w:w="120"/>
              <w:right w:type="dxa" w:w="140"/>
            </w:tcMar>
          </w:tcPr>
          <w:p>
            <w:r>
              <w:rPr>
                <w:rFonts w:ascii="Calibri" w:cs="Calibri" w:eastAsia="Calibri" w:hAnsi="Calibri"/>
                <w:color w:val="374151"/>
                <w:sz w:val="20"/>
                <w:szCs w:val="20"/>
              </w:rPr>
              <w:t xml:space="preserve">Comprehensive health history, timeline, lab review, lifestyle audit. The “detective work” begins.</w:t>
            </w:r>
          </w:p>
        </w:tc>
      </w:tr>
      <w:tr>
        <w:tc>
          <w:tcPr>
            <w:tcW w:type="dxa" w:w="2400"/>
            <w:tcBorders>
              <w:top w:val="single" w:color="DDD6FE" w:sz="4"/>
              <w:left w:val="single" w:color="DDD6FE" w:sz="4"/>
              <w:bottom w:val="single" w:color="DDD6FE" w:sz="4"/>
              <w:right w:val="single" w:color="DDD6FE" w:sz="4"/>
            </w:tcBorders>
            <w:shd w:fill="F5F3FF" w:val="clear"/>
            <w:tcMar>
              <w:top w:type="dxa" w:w="120"/>
              <w:left w:type="dxa" w:w="140"/>
              <w:bottom w:type="dxa" w:w="120"/>
              <w:right w:type="dxa" w:w="140"/>
            </w:tcMar>
          </w:tcPr>
          <w:p>
            <w:r>
              <w:rPr>
                <w:rFonts w:ascii="Calibri" w:cs="Calibri" w:eastAsia="Calibri" w:hAnsi="Calibri"/>
                <w:b/>
                <w:bCs/>
                <w:color w:val="5E35A1"/>
                <w:sz w:val="20"/>
                <w:szCs w:val="20"/>
              </w:rPr>
              <w:t xml:space="preserve">4. PERSONALISED PROTOCOL</w:t>
            </w:r>
          </w:p>
        </w:tc>
        <w:tc>
          <w:tcPr>
            <w:tcW w:type="dxa" w:w="6960"/>
            <w:tcBorders>
              <w:top w:val="single" w:color="DDD6FE" w:sz="4"/>
              <w:left w:val="single" w:color="DDD6FE" w:sz="4"/>
              <w:bottom w:val="single" w:color="DDD6FE" w:sz="4"/>
              <w:right w:val="single" w:color="DDD6FE" w:sz="4"/>
            </w:tcBorders>
            <w:shd w:fill="FAF5FF" w:val="clear"/>
            <w:tcMar>
              <w:top w:type="dxa" w:w="120"/>
              <w:left w:type="dxa" w:w="140"/>
              <w:bottom w:type="dxa" w:w="120"/>
              <w:right w:type="dxa" w:w="140"/>
            </w:tcMar>
          </w:tcPr>
          <w:p>
            <w:r>
              <w:rPr>
                <w:rFonts w:ascii="Calibri" w:cs="Calibri" w:eastAsia="Calibri" w:hAnsi="Calibri"/>
                <w:color w:val="374151"/>
                <w:sz w:val="20"/>
                <w:szCs w:val="20"/>
              </w:rPr>
              <w:t xml:space="preserve">A tailored roadmap: nutrition, lifestyle changes, supplements, monitoring plan — built for their life.</w:t>
            </w:r>
          </w:p>
        </w:tc>
      </w:tr>
      <w:tr>
        <w:tc>
          <w:tcPr>
            <w:tcW w:type="dxa" w:w="2400"/>
            <w:tcBorders>
              <w:top w:val="single" w:color="DDD6FE" w:sz="4"/>
              <w:left w:val="single" w:color="DDD6FE" w:sz="4"/>
              <w:bottom w:val="single" w:color="DDD6FE" w:sz="4"/>
              <w:right w:val="single" w:color="DDD6FE" w:sz="4"/>
            </w:tcBorders>
            <w:shd w:fill="EDE9FE" w:val="clear"/>
            <w:tcMar>
              <w:top w:type="dxa" w:w="120"/>
              <w:left w:type="dxa" w:w="140"/>
              <w:bottom w:type="dxa" w:w="120"/>
              <w:right w:type="dxa" w:w="140"/>
            </w:tcMar>
          </w:tcPr>
          <w:p>
            <w:r>
              <w:rPr>
                <w:rFonts w:ascii="Calibri" w:cs="Calibri" w:eastAsia="Calibri" w:hAnsi="Calibri"/>
                <w:b/>
                <w:bCs/>
                <w:color w:val="5E35A1"/>
                <w:sz w:val="20"/>
                <w:szCs w:val="20"/>
              </w:rPr>
              <w:t xml:space="preserve">5. IMPLEMENTATION &amp; GUIDANCE</w:t>
            </w:r>
          </w:p>
        </w:tc>
        <w:tc>
          <w:tcPr>
            <w:tcW w:type="dxa" w:w="6960"/>
            <w:tcBorders>
              <w:top w:val="single" w:color="DDD6FE" w:sz="4"/>
              <w:left w:val="single" w:color="DDD6FE" w:sz="4"/>
              <w:bottom w:val="single" w:color="DDD6FE" w:sz="4"/>
              <w:right w:val="single" w:color="DDD6FE" w:sz="4"/>
            </w:tcBorders>
            <w:shd w:fill="FFFFFF" w:val="clear"/>
            <w:tcMar>
              <w:top w:type="dxa" w:w="120"/>
              <w:left w:type="dxa" w:w="140"/>
              <w:bottom w:type="dxa" w:w="120"/>
              <w:right w:type="dxa" w:w="140"/>
            </w:tcMar>
          </w:tcPr>
          <w:p>
            <w:r>
              <w:rPr>
                <w:rFonts w:ascii="Calibri" w:cs="Calibri" w:eastAsia="Calibri" w:hAnsi="Calibri"/>
                <w:color w:val="374151"/>
                <w:sz w:val="20"/>
                <w:szCs w:val="20"/>
              </w:rPr>
              <w:t xml:space="preserve">Regular follow-ups (bi-weekly/monthly) to track progress, troubleshoot, and adjust the plan.</w:t>
            </w:r>
          </w:p>
        </w:tc>
      </w:tr>
      <w:tr>
        <w:tc>
          <w:tcPr>
            <w:tcW w:type="dxa" w:w="2400"/>
            <w:tcBorders>
              <w:top w:val="single" w:color="DDD6FE" w:sz="4"/>
              <w:left w:val="single" w:color="DDD6FE" w:sz="4"/>
              <w:bottom w:val="single" w:color="DDD6FE" w:sz="4"/>
              <w:right w:val="single" w:color="DDD6FE" w:sz="4"/>
            </w:tcBorders>
            <w:shd w:fill="F5F3FF" w:val="clear"/>
            <w:tcMar>
              <w:top w:type="dxa" w:w="120"/>
              <w:left w:type="dxa" w:w="140"/>
              <w:bottom w:type="dxa" w:w="120"/>
              <w:right w:type="dxa" w:w="140"/>
            </w:tcMar>
          </w:tcPr>
          <w:p>
            <w:r>
              <w:rPr>
                <w:rFonts w:ascii="Calibri" w:cs="Calibri" w:eastAsia="Calibri" w:hAnsi="Calibri"/>
                <w:b/>
                <w:bCs/>
                <w:color w:val="5E35A1"/>
                <w:sz w:val="20"/>
                <w:szCs w:val="20"/>
              </w:rPr>
              <w:t xml:space="preserve">6. SUSTAINED WELLNESS</w:t>
            </w:r>
          </w:p>
        </w:tc>
        <w:tc>
          <w:tcPr>
            <w:tcW w:type="dxa" w:w="6960"/>
            <w:tcBorders>
              <w:top w:val="single" w:color="DDD6FE" w:sz="4"/>
              <w:left w:val="single" w:color="DDD6FE" w:sz="4"/>
              <w:bottom w:val="single" w:color="DDD6FE" w:sz="4"/>
              <w:right w:val="single" w:color="DDD6FE" w:sz="4"/>
            </w:tcBorders>
            <w:shd w:fill="FAF5FF" w:val="clear"/>
            <w:tcMar>
              <w:top w:type="dxa" w:w="120"/>
              <w:left w:type="dxa" w:w="140"/>
              <w:bottom w:type="dxa" w:w="120"/>
              <w:right w:type="dxa" w:w="140"/>
            </w:tcMar>
          </w:tcPr>
          <w:p>
            <w:r>
              <w:rPr>
                <w:rFonts w:ascii="Calibri" w:cs="Calibri" w:eastAsia="Calibri" w:hAnsi="Calibri"/>
                <w:color w:val="374151"/>
                <w:sz w:val="20"/>
                <w:szCs w:val="20"/>
              </w:rPr>
              <w:t xml:space="preserve">Transition to independence — empowered with knowledge and habits to maintain their own health long-term.</w:t>
            </w:r>
          </w:p>
        </w:tc>
      </w:tr>
    </w:tbl>
    <w:p>
      <w:pPr>
        <w:pStyle w:val="Heading1"/>
      </w:pPr>
      <w:r>
        <w:rPr>
          <w:rFonts w:ascii="Calibri Light" w:cs="Calibri Light" w:eastAsia="Calibri Light" w:hAnsi="Calibri Light"/>
          <w:b/>
          <w:bCs/>
          <w:color w:val="5E35A1"/>
          <w:sz w:val="40"/>
          <w:szCs w:val="40"/>
        </w:rPr>
        <w:t xml:space="preserve">11. Unique Differentiator</w:t>
      </w:r>
    </w:p>
    <w:p>
      <w:pPr>
        <w:pBdr>
          <w:bottom w:val="single" w:color="DDD6FE" w:sz="6" w:space="1"/>
        </w:pBdr>
        <w:spacing w:after="200" w:before="200"/>
      </w:pPr>
      <w:r>
        <w:t xml:space="preserve"/>
      </w:r>
    </w:p>
    <w:p>
      <w:pPr>
        <w:pStyle w:val="Quote"/>
      </w:pPr>
      <w:r>
        <w:rPr>
          <w:rFonts w:ascii="Calibri Light" w:cs="Calibri Light" w:eastAsia="Calibri Light" w:hAnsi="Calibri Light"/>
          <w:i/>
          <w:iCs/>
          <w:color w:val="5E35A1"/>
          <w:sz w:val="24"/>
          <w:szCs w:val="24"/>
        </w:rPr>
        <w:t xml:space="preserve">“A space that combines root-cause functional medicine with data-driven lab interpretation and nutrition science — not just intuition, but evidence.”</w:t>
      </w:r>
    </w:p>
    <w:p>
      <w:pPr>
        <w:pStyle w:val="Heading2"/>
      </w:pPr>
      <w:r>
        <w:rPr>
          <w:rFonts w:ascii="Calibri" w:cs="Calibri" w:eastAsia="Calibri" w:hAnsi="Calibri"/>
          <w:b/>
          <w:bCs/>
          <w:color w:val="8B5CF6"/>
          <w:sz w:val="28"/>
          <w:szCs w:val="28"/>
        </w:rPr>
        <w:t xml:space="preserve">The BioHeal Edge</w:t>
      </w:r>
    </w:p>
    <w:p>
      <w:pPr>
        <w:spacing w:after="60" w:before="200"/>
      </w:pPr>
      <w:r>
        <w:rPr>
          <w:rFonts w:ascii="Calibri" w:cs="Calibri" w:eastAsia="Calibri" w:hAnsi="Calibri"/>
          <w:b/>
          <w:bCs/>
          <w:color w:val="8B5CF6"/>
          <w:sz w:val="22"/>
          <w:szCs w:val="22"/>
        </w:rPr>
        <w:t xml:space="preserve">1. </w:t>
      </w:r>
      <w:r>
        <w:rPr>
          <w:rFonts w:ascii="Calibri" w:cs="Calibri" w:eastAsia="Calibri" w:hAnsi="Calibri"/>
          <w:b/>
          <w:bCs/>
          <w:color w:val="5E35A1"/>
          <w:sz w:val="22"/>
          <w:szCs w:val="22"/>
        </w:rPr>
        <w:t xml:space="preserve">Medical + Analytical: </w:t>
      </w:r>
      <w:r>
        <w:rPr>
          <w:rFonts w:ascii="Calibri" w:cs="Calibri" w:eastAsia="Calibri" w:hAnsi="Calibri"/>
          <w:color w:val="374151"/>
          <w:sz w:val="22"/>
          <w:szCs w:val="22"/>
        </w:rPr>
        <w:t xml:space="preserve">Founded by a medically qualified dentist (BDS) with advanced training in health management, nutrition science, and functional medicine — combined with expertise in health data analytics. Your labs aren’t just “read,” they’re analysed for patterns, trends, and connections that others miss.</w:t>
      </w:r>
    </w:p>
    <w:p>
      <w:pPr>
        <w:spacing w:after="60" w:before="200"/>
      </w:pPr>
      <w:r>
        <w:rPr>
          <w:rFonts w:ascii="Calibri" w:cs="Calibri" w:eastAsia="Calibri" w:hAnsi="Calibri"/>
          <w:b/>
          <w:bCs/>
          <w:color w:val="8B5CF6"/>
          <w:sz w:val="22"/>
          <w:szCs w:val="22"/>
        </w:rPr>
        <w:t xml:space="preserve">2. </w:t>
      </w:r>
      <w:r>
        <w:rPr>
          <w:rFonts w:ascii="Calibri" w:cs="Calibri" w:eastAsia="Calibri" w:hAnsi="Calibri"/>
          <w:b/>
          <w:bCs/>
          <w:color w:val="5E35A1"/>
          <w:sz w:val="22"/>
          <w:szCs w:val="22"/>
        </w:rPr>
        <w:t xml:space="preserve">Multi-disciplinary Foundation: </w:t>
      </w:r>
      <w:r>
        <w:rPr>
          <w:rFonts w:ascii="Calibri" w:cs="Calibri" w:eastAsia="Calibri" w:hAnsi="Calibri"/>
          <w:color w:val="374151"/>
          <w:sz w:val="22"/>
          <w:szCs w:val="22"/>
        </w:rPr>
        <w:t xml:space="preserve">The rare combination of medical qualification (patient assessment &amp; clinical reasoning), health management (systems thinking), nutrition science (dietary interventions), and functional medicine (root-cause methodology) creates a uniquely comprehensive approach.</w:t>
      </w:r>
    </w:p>
    <w:p>
      <w:pPr>
        <w:spacing w:after="60" w:before="200"/>
      </w:pPr>
      <w:r>
        <w:rPr>
          <w:rFonts w:ascii="Calibri" w:cs="Calibri" w:eastAsia="Calibri" w:hAnsi="Calibri"/>
          <w:b/>
          <w:bCs/>
          <w:color w:val="8B5CF6"/>
          <w:sz w:val="22"/>
          <w:szCs w:val="22"/>
        </w:rPr>
        <w:t xml:space="preserve">3. </w:t>
      </w:r>
      <w:r>
        <w:rPr>
          <w:rFonts w:ascii="Calibri" w:cs="Calibri" w:eastAsia="Calibri" w:hAnsi="Calibri"/>
          <w:b/>
          <w:bCs/>
          <w:color w:val="5E35A1"/>
          <w:sz w:val="22"/>
          <w:szCs w:val="22"/>
        </w:rPr>
        <w:t xml:space="preserve">Sustainable, Not Sensational: </w:t>
      </w:r>
      <w:r>
        <w:rPr>
          <w:rFonts w:ascii="Calibri" w:cs="Calibri" w:eastAsia="Calibri" w:hAnsi="Calibri"/>
          <w:color w:val="374151"/>
          <w:sz w:val="22"/>
          <w:szCs w:val="22"/>
        </w:rPr>
        <w:t xml:space="preserve">We don’t sell miracle cures or 21-day transformations. We build protocols that work with your life — practical, evidence-based, and designed to last.</w:t>
      </w:r>
    </w:p>
    <w:p>
      <w:pPr>
        <w:spacing w:after="60" w:before="200"/>
      </w:pPr>
      <w:r>
        <w:rPr>
          <w:rFonts w:ascii="Calibri" w:cs="Calibri" w:eastAsia="Calibri" w:hAnsi="Calibri"/>
          <w:b/>
          <w:bCs/>
          <w:color w:val="8B5CF6"/>
          <w:sz w:val="22"/>
          <w:szCs w:val="22"/>
        </w:rPr>
        <w:t xml:space="preserve">4. </w:t>
      </w:r>
      <w:r>
        <w:rPr>
          <w:rFonts w:ascii="Calibri" w:cs="Calibri" w:eastAsia="Calibri" w:hAnsi="Calibri"/>
          <w:b/>
          <w:bCs/>
          <w:color w:val="5E35A1"/>
          <w:sz w:val="22"/>
          <w:szCs w:val="22"/>
        </w:rPr>
        <w:t xml:space="preserve">Education-First: </w:t>
      </w:r>
      <w:r>
        <w:rPr>
          <w:rFonts w:ascii="Calibri" w:cs="Calibri" w:eastAsia="Calibri" w:hAnsi="Calibri"/>
          <w:color w:val="374151"/>
          <w:sz w:val="22"/>
          <w:szCs w:val="22"/>
        </w:rPr>
        <w:t xml:space="preserve">Every person who works with us leaves understanding their own body better. We don’t create dependency — we create health literacy.</w:t>
      </w:r>
    </w:p>
    <w:p>
      <w:pPr>
        <w:spacing w:after="60" w:before="200"/>
      </w:pPr>
      <w:r>
        <w:rPr>
          <w:rFonts w:ascii="Calibri" w:cs="Calibri" w:eastAsia="Calibri" w:hAnsi="Calibri"/>
          <w:b/>
          <w:bCs/>
          <w:color w:val="8B5CF6"/>
          <w:sz w:val="22"/>
          <w:szCs w:val="22"/>
        </w:rPr>
        <w:t xml:space="preserve">5. </w:t>
      </w:r>
      <w:r>
        <w:rPr>
          <w:rFonts w:ascii="Calibri" w:cs="Calibri" w:eastAsia="Calibri" w:hAnsi="Calibri"/>
          <w:b/>
          <w:bCs/>
          <w:color w:val="5E35A1"/>
          <w:sz w:val="22"/>
          <w:szCs w:val="22"/>
        </w:rPr>
        <w:t xml:space="preserve">Data-Informed Personalisation: </w:t>
      </w:r>
      <w:r>
        <w:rPr>
          <w:rFonts w:ascii="Calibri" w:cs="Calibri" w:eastAsia="Calibri" w:hAnsi="Calibri"/>
          <w:color w:val="374151"/>
          <w:sz w:val="22"/>
          <w:szCs w:val="22"/>
        </w:rPr>
        <w:t xml:space="preserve">Using biomarker analysis and health data interpretation to create truly individualised protocols — not generic templates.</w:t>
      </w:r>
    </w:p>
    <w:p>
      <w:pPr>
        <w:spacing w:after="60" w:before="200"/>
      </w:pPr>
      <w:r>
        <w:rPr>
          <w:rFonts w:ascii="Calibri" w:cs="Calibri" w:eastAsia="Calibri" w:hAnsi="Calibri"/>
          <w:b/>
          <w:bCs/>
          <w:color w:val="8B5CF6"/>
          <w:sz w:val="22"/>
          <w:szCs w:val="22"/>
        </w:rPr>
        <w:t xml:space="preserve">6. </w:t>
      </w:r>
      <w:r>
        <w:rPr>
          <w:rFonts w:ascii="Calibri" w:cs="Calibri" w:eastAsia="Calibri" w:hAnsi="Calibri"/>
          <w:b/>
          <w:bCs/>
          <w:color w:val="5E35A1"/>
          <w:sz w:val="22"/>
          <w:szCs w:val="22"/>
        </w:rPr>
        <w:t xml:space="preserve">All Ages: </w:t>
      </w:r>
      <w:r>
        <w:rPr>
          <w:rFonts w:ascii="Calibri" w:cs="Calibri" w:eastAsia="Calibri" w:hAnsi="Calibri"/>
          <w:color w:val="374151"/>
          <w:sz w:val="22"/>
          <w:szCs w:val="22"/>
        </w:rPr>
        <w:t xml:space="preserve">Unlike many functional medicine spaces that focus solely on adults, BioHeal addresses root-cause health concerns across all life stages — from childhood gut issues to adult metabolic disorders.</w:t>
      </w:r>
    </w:p>
    <w:p>
      <w:pPr>
        <w:pStyle w:val="Heading1"/>
      </w:pPr>
      <w:r>
        <w:rPr>
          <w:rFonts w:ascii="Calibri Light" w:cs="Calibri Light" w:eastAsia="Calibri Light" w:hAnsi="Calibri Light"/>
          <w:b/>
          <w:bCs/>
          <w:color w:val="5E35A1"/>
          <w:sz w:val="40"/>
          <w:szCs w:val="40"/>
        </w:rPr>
        <w:t xml:space="preserve">12. What BioHeal Will NOT Do</w:t>
      </w:r>
    </w:p>
    <w:p>
      <w:pPr>
        <w:pBdr>
          <w:bottom w:val="single" w:color="DDD6FE" w:sz="6" w:space="1"/>
        </w:pBdr>
        <w:spacing w:after="200" w:before="200"/>
      </w:pPr>
      <w:r>
        <w:t xml:space="preserve"/>
      </w:r>
    </w:p>
    <w:p>
      <w:pPr>
        <w:pStyle w:val="BodyText"/>
      </w:pPr>
      <w:r>
        <w:rPr>
          <w:rFonts w:ascii="Calibri" w:cs="Calibri" w:eastAsia="Calibri" w:hAnsi="Calibri"/>
          <w:color w:val="374151"/>
          <w:sz w:val="22"/>
          <w:szCs w:val="22"/>
        </w:rPr>
        <w:t xml:space="preserve">Clarity on boundaries builds trust. BioHeal will never:</w:t>
      </w:r>
    </w:p>
    <w:p>
      <w:pPr>
        <w:spacing w:after="0" w:before="80"/>
      </w:pPr>
      <w:r>
        <w:t xml:space="preserve"/>
      </w:r>
    </w:p>
    <w:p>
      <w:pPr>
        <w:pStyle w:val="ListParagraph"/>
        <w:numPr>
          <w:ilvl w:val="0"/>
          <w:numId w:val="3"/>
        </w:numPr>
      </w:pPr>
      <w:r>
        <w:rPr>
          <w:rFonts w:ascii="Calibri" w:cs="Calibri" w:eastAsia="Calibri" w:hAnsi="Calibri"/>
          <w:color w:val="374151"/>
          <w:sz w:val="22"/>
          <w:szCs w:val="22"/>
        </w:rPr>
        <w:t xml:space="preserve">Diagnose diseases (we identify functional imbalances and root causes)</w:t>
      </w:r>
    </w:p>
    <w:p>
      <w:pPr>
        <w:pStyle w:val="ListParagraph"/>
        <w:numPr>
          <w:ilvl w:val="0"/>
          <w:numId w:val="3"/>
        </w:numPr>
      </w:pPr>
      <w:r>
        <w:rPr>
          <w:rFonts w:ascii="Calibri" w:cs="Calibri" w:eastAsia="Calibri" w:hAnsi="Calibri"/>
          <w:color w:val="374151"/>
          <w:sz w:val="22"/>
          <w:szCs w:val="22"/>
        </w:rPr>
        <w:t xml:space="preserve">Prescribe pharmaceutical medications</w:t>
      </w:r>
    </w:p>
    <w:p>
      <w:pPr>
        <w:pStyle w:val="ListParagraph"/>
        <w:numPr>
          <w:ilvl w:val="0"/>
          <w:numId w:val="3"/>
        </w:numPr>
      </w:pPr>
      <w:r>
        <w:rPr>
          <w:rFonts w:ascii="Calibri" w:cs="Calibri" w:eastAsia="Calibri" w:hAnsi="Calibri"/>
          <w:color w:val="374151"/>
          <w:sz w:val="22"/>
          <w:szCs w:val="22"/>
        </w:rPr>
        <w:t xml:space="preserve">Replace your primary care physician or specialist</w:t>
      </w:r>
    </w:p>
    <w:p>
      <w:pPr>
        <w:pStyle w:val="ListParagraph"/>
        <w:numPr>
          <w:ilvl w:val="0"/>
          <w:numId w:val="3"/>
        </w:numPr>
      </w:pPr>
      <w:r>
        <w:rPr>
          <w:rFonts w:ascii="Calibri" w:cs="Calibri" w:eastAsia="Calibri" w:hAnsi="Calibri"/>
          <w:color w:val="374151"/>
          <w:sz w:val="22"/>
          <w:szCs w:val="22"/>
        </w:rPr>
        <w:t xml:space="preserve">Promise cures or guaranteed timelines</w:t>
      </w:r>
    </w:p>
    <w:p>
      <w:pPr>
        <w:pStyle w:val="ListParagraph"/>
        <w:numPr>
          <w:ilvl w:val="0"/>
          <w:numId w:val="3"/>
        </w:numPr>
      </w:pPr>
      <w:r>
        <w:rPr>
          <w:rFonts w:ascii="Calibri" w:cs="Calibri" w:eastAsia="Calibri" w:hAnsi="Calibri"/>
          <w:color w:val="374151"/>
          <w:sz w:val="22"/>
          <w:szCs w:val="22"/>
        </w:rPr>
        <w:t xml:space="preserve">Provide emergency or acute medical care</w:t>
      </w:r>
    </w:p>
    <w:p>
      <w:pPr>
        <w:pStyle w:val="ListParagraph"/>
        <w:numPr>
          <w:ilvl w:val="0"/>
          <w:numId w:val="3"/>
        </w:numPr>
      </w:pPr>
      <w:r>
        <w:rPr>
          <w:rFonts w:ascii="Calibri" w:cs="Calibri" w:eastAsia="Calibri" w:hAnsi="Calibri"/>
          <w:color w:val="374151"/>
          <w:sz w:val="22"/>
          <w:szCs w:val="22"/>
        </w:rPr>
        <w:t xml:space="preserve">Sell proprietary supplements or MLM products</w:t>
      </w:r>
    </w:p>
    <w:p>
      <w:pPr>
        <w:pStyle w:val="ListParagraph"/>
        <w:numPr>
          <w:ilvl w:val="0"/>
          <w:numId w:val="3"/>
        </w:numPr>
      </w:pPr>
      <w:r>
        <w:rPr>
          <w:rFonts w:ascii="Calibri" w:cs="Calibri" w:eastAsia="Calibri" w:hAnsi="Calibri"/>
          <w:color w:val="374151"/>
          <w:sz w:val="22"/>
          <w:szCs w:val="22"/>
        </w:rPr>
        <w:t xml:space="preserve">Use fear-based marketing or shame-based messaging</w:t>
      </w:r>
    </w:p>
    <w:p>
      <w:pPr>
        <w:pStyle w:val="ListParagraph"/>
        <w:numPr>
          <w:ilvl w:val="0"/>
          <w:numId w:val="3"/>
        </w:numPr>
      </w:pPr>
      <w:r>
        <w:rPr>
          <w:rFonts w:ascii="Calibri" w:cs="Calibri" w:eastAsia="Calibri" w:hAnsi="Calibri"/>
          <w:color w:val="374151"/>
          <w:sz w:val="22"/>
          <w:szCs w:val="22"/>
        </w:rPr>
        <w:t xml:space="preserve">Offer one-size-fits-all protocols</w:t>
      </w:r>
    </w:p>
    <w:p>
      <w:pPr>
        <w:pStyle w:val="ListParagraph"/>
        <w:numPr>
          <w:ilvl w:val="0"/>
          <w:numId w:val="3"/>
        </w:numPr>
      </w:pPr>
      <w:r>
        <w:rPr>
          <w:rFonts w:ascii="Calibri" w:cs="Calibri" w:eastAsia="Calibri" w:hAnsi="Calibri"/>
          <w:color w:val="374151"/>
          <w:sz w:val="22"/>
          <w:szCs w:val="22"/>
        </w:rPr>
        <w:t xml:space="preserve">Treat conditions outside our scope</w:t>
      </w:r>
    </w:p>
    <w:p>
      <w:pPr>
        <w:pStyle w:val="ListParagraph"/>
        <w:numPr>
          <w:ilvl w:val="0"/>
          <w:numId w:val="3"/>
        </w:numPr>
      </w:pPr>
      <w:r>
        <w:rPr>
          <w:rFonts w:ascii="Calibri" w:cs="Calibri" w:eastAsia="Calibri" w:hAnsi="Calibri"/>
          <w:color w:val="374151"/>
          <w:sz w:val="22"/>
          <w:szCs w:val="22"/>
        </w:rPr>
        <w:t xml:space="preserve">Use scarcity tactics, countdown timers, or pressure-based selling</w:t>
      </w:r>
    </w:p>
    <w:p>
      <w:pPr>
        <w:pStyle w:val="Heading1"/>
      </w:pPr>
      <w:r>
        <w:rPr>
          <w:rFonts w:ascii="Calibri Light" w:cs="Calibri Light" w:eastAsia="Calibri Light" w:hAnsi="Calibri Light"/>
          <w:b/>
          <w:bCs/>
          <w:color w:val="5E35A1"/>
          <w:sz w:val="40"/>
          <w:szCs w:val="40"/>
        </w:rPr>
        <w:t xml:space="preserve">13. Long-Term Vision</w:t>
      </w:r>
    </w:p>
    <w:p>
      <w:pPr>
        <w:pBdr>
          <w:bottom w:val="single" w:color="DDD6FE"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Phase</w:t>
            </w:r>
          </w:p>
        </w:tc>
        <w:tc>
          <w:tcPr>
            <w:tcW w:type="dxa" w:w="7160"/>
            <w:tcBorders>
              <w:top w:val="single" w:color="DDD6FE" w:sz="4"/>
              <w:left w:val="single" w:color="DDD6FE" w:sz="4"/>
              <w:bottom w:val="single" w:color="DDD6FE" w:sz="4"/>
              <w:right w:val="single" w:color="DDD6FE" w:sz="4"/>
            </w:tcBorders>
            <w:shd w:fill="5E35A1"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Milestones</w:t>
            </w:r>
          </w:p>
        </w:tc>
      </w:tr>
      <w:tr>
        <w:tc>
          <w:tcPr>
            <w:tcW w:type="dxa" w:w="2200"/>
            <w:tcBorders>
              <w:top w:val="single" w:color="DDD6FE" w:sz="4"/>
              <w:left w:val="single" w:color="DDD6FE" w:sz="4"/>
              <w:bottom w:val="single" w:color="DDD6FE" w:sz="4"/>
              <w:right w:val="single" w:color="DDD6FE" w:sz="4"/>
            </w:tcBorders>
            <w:shd w:fill="EDE9FE" w:val="clear"/>
            <w:tcMar>
              <w:top w:type="dxa" w:w="120"/>
              <w:left w:type="dxa" w:w="140"/>
              <w:bottom w:type="dxa" w:w="120"/>
              <w:right w:type="dxa" w:w="140"/>
            </w:tcMar>
          </w:tcPr>
          <w:p>
            <w:r>
              <w:rPr>
                <w:rFonts w:ascii="Calibri" w:cs="Calibri" w:eastAsia="Calibri" w:hAnsi="Calibri"/>
                <w:b/>
                <w:bCs/>
                <w:color w:val="5E35A1"/>
                <w:sz w:val="20"/>
                <w:szCs w:val="20"/>
              </w:rPr>
              <w:t xml:space="preserve">Year 1: Foundation</w:t>
            </w:r>
          </w:p>
        </w:tc>
        <w:tc>
          <w:tcPr>
            <w:tcW w:type="dxa" w:w="7160"/>
            <w:tcBorders>
              <w:top w:val="single" w:color="DDD6FE" w:sz="4"/>
              <w:left w:val="single" w:color="DDD6FE" w:sz="4"/>
              <w:bottom w:val="single" w:color="DDD6FE" w:sz="4"/>
              <w:right w:val="single" w:color="DDD6FE" w:sz="4"/>
            </w:tcBorders>
            <w:shd w:fill="FFFFFF" w:val="clear"/>
            <w:tcMar>
              <w:top w:type="dxa" w:w="80"/>
              <w:left w:type="dxa" w:w="140"/>
              <w:bottom w:type="dxa" w:w="80"/>
              <w:right w:type="dxa" w:w="140"/>
            </w:tcMar>
          </w:tcPr>
          <w:p>
            <w:pPr>
              <w:pStyle w:val="ListParagraph"/>
              <w:numPr>
                <w:ilvl w:val="0"/>
                <w:numId w:val="4"/>
              </w:numPr>
            </w:pPr>
            <w:r>
              <w:rPr>
                <w:rFonts w:ascii="Calibri" w:cs="Calibri" w:eastAsia="Calibri" w:hAnsi="Calibri"/>
                <w:color w:val="374151"/>
                <w:sz w:val="20"/>
                <w:szCs w:val="20"/>
              </w:rPr>
              <w:t xml:space="preserve">Launch website &amp; social media presence</w:t>
            </w:r>
          </w:p>
          <w:p>
            <w:pPr>
              <w:pStyle w:val="ListParagraph"/>
              <w:numPr>
                <w:ilvl w:val="0"/>
                <w:numId w:val="4"/>
              </w:numPr>
            </w:pPr>
            <w:r>
              <w:rPr>
                <w:rFonts w:ascii="Calibri" w:cs="Calibri" w:eastAsia="Calibri" w:hAnsi="Calibri"/>
                <w:color w:val="374151"/>
                <w:sz w:val="20"/>
                <w:szCs w:val="20"/>
              </w:rPr>
              <w:t xml:space="preserve">Begin 1:1 client consultations (Bangalore + virtual)</w:t>
            </w:r>
          </w:p>
          <w:p>
            <w:pPr>
              <w:pStyle w:val="ListParagraph"/>
              <w:numPr>
                <w:ilvl w:val="0"/>
                <w:numId w:val="4"/>
              </w:numPr>
            </w:pPr>
            <w:r>
              <w:rPr>
                <w:rFonts w:ascii="Calibri" w:cs="Calibri" w:eastAsia="Calibri" w:hAnsi="Calibri"/>
                <w:color w:val="374151"/>
                <w:sz w:val="20"/>
                <w:szCs w:val="20"/>
              </w:rPr>
              <w:t xml:space="preserve">Build case studies and testimonials</w:t>
            </w:r>
          </w:p>
          <w:p>
            <w:pPr>
              <w:pStyle w:val="ListParagraph"/>
              <w:numPr>
                <w:ilvl w:val="0"/>
                <w:numId w:val="4"/>
              </w:numPr>
            </w:pPr>
            <w:r>
              <w:rPr>
                <w:rFonts w:ascii="Calibri" w:cs="Calibri" w:eastAsia="Calibri" w:hAnsi="Calibri"/>
                <w:color w:val="374151"/>
                <w:sz w:val="20"/>
                <w:szCs w:val="20"/>
              </w:rPr>
              <w:t xml:space="preserve">Establish content authority through blog + Instagram</w:t>
            </w:r>
          </w:p>
          <w:p>
            <w:pPr>
              <w:pStyle w:val="ListParagraph"/>
              <w:numPr>
                <w:ilvl w:val="0"/>
                <w:numId w:val="4"/>
              </w:numPr>
            </w:pPr>
            <w:r>
              <w:rPr>
                <w:rFonts w:ascii="Calibri" w:cs="Calibri" w:eastAsia="Calibri" w:hAnsi="Calibri"/>
                <w:color w:val="374151"/>
                <w:sz w:val="20"/>
                <w:szCs w:val="20"/>
              </w:rPr>
              <w:t xml:space="preserve">Develop referral relationships with aligned practitioners</w:t>
            </w:r>
          </w:p>
        </w:tc>
      </w:tr>
      <w:tr>
        <w:tc>
          <w:tcPr>
            <w:tcW w:type="dxa" w:w="2200"/>
            <w:tcBorders>
              <w:top w:val="single" w:color="DDD6FE" w:sz="4"/>
              <w:left w:val="single" w:color="DDD6FE" w:sz="4"/>
              <w:bottom w:val="single" w:color="DDD6FE" w:sz="4"/>
              <w:right w:val="single" w:color="DDD6FE" w:sz="4"/>
            </w:tcBorders>
            <w:shd w:fill="F5F3FF" w:val="clear"/>
            <w:tcMar>
              <w:top w:type="dxa" w:w="120"/>
              <w:left w:type="dxa" w:w="140"/>
              <w:bottom w:type="dxa" w:w="120"/>
              <w:right w:type="dxa" w:w="140"/>
            </w:tcMar>
          </w:tcPr>
          <w:p>
            <w:r>
              <w:rPr>
                <w:rFonts w:ascii="Calibri" w:cs="Calibri" w:eastAsia="Calibri" w:hAnsi="Calibri"/>
                <w:b/>
                <w:bCs/>
                <w:color w:val="5E35A1"/>
                <w:sz w:val="20"/>
                <w:szCs w:val="20"/>
              </w:rPr>
              <w:t xml:space="preserve">Year 2: Growth</w:t>
            </w:r>
          </w:p>
        </w:tc>
        <w:tc>
          <w:tcPr>
            <w:tcW w:type="dxa" w:w="7160"/>
            <w:tcBorders>
              <w:top w:val="single" w:color="DDD6FE" w:sz="4"/>
              <w:left w:val="single" w:color="DDD6FE" w:sz="4"/>
              <w:bottom w:val="single" w:color="DDD6FE" w:sz="4"/>
              <w:right w:val="single" w:color="DDD6FE" w:sz="4"/>
            </w:tcBorders>
            <w:shd w:fill="FAF5FF" w:val="clear"/>
            <w:tcMar>
              <w:top w:type="dxa" w:w="80"/>
              <w:left w:type="dxa" w:w="140"/>
              <w:bottom w:type="dxa" w:w="80"/>
              <w:right w:type="dxa" w:w="140"/>
            </w:tcMar>
          </w:tcPr>
          <w:p>
            <w:pPr>
              <w:pStyle w:val="ListParagraph"/>
              <w:numPr>
                <w:ilvl w:val="0"/>
                <w:numId w:val="4"/>
              </w:numPr>
            </w:pPr>
            <w:r>
              <w:rPr>
                <w:rFonts w:ascii="Calibri" w:cs="Calibri" w:eastAsia="Calibri" w:hAnsi="Calibri"/>
                <w:color w:val="374151"/>
                <w:sz w:val="20"/>
                <w:szCs w:val="20"/>
              </w:rPr>
              <w:t xml:space="preserve">Expand the team (nutritionist, health coach)</w:t>
            </w:r>
          </w:p>
          <w:p>
            <w:pPr>
              <w:pStyle w:val="ListParagraph"/>
              <w:numPr>
                <w:ilvl w:val="0"/>
                <w:numId w:val="4"/>
              </w:numPr>
            </w:pPr>
            <w:r>
              <w:rPr>
                <w:rFonts w:ascii="Calibri" w:cs="Calibri" w:eastAsia="Calibri" w:hAnsi="Calibri"/>
                <w:color w:val="374151"/>
                <w:sz w:val="20"/>
                <w:szCs w:val="20"/>
              </w:rPr>
              <w:t xml:space="preserve">Launch structured journeys (e.g., "90-Day Gut Reset," "PCOS Root-Cause Path")</w:t>
            </w:r>
          </w:p>
          <w:p>
            <w:pPr>
              <w:pStyle w:val="ListParagraph"/>
              <w:numPr>
                <w:ilvl w:val="0"/>
                <w:numId w:val="4"/>
              </w:numPr>
            </w:pPr>
            <w:r>
              <w:rPr>
                <w:rFonts w:ascii="Calibri" w:cs="Calibri" w:eastAsia="Calibri" w:hAnsi="Calibri"/>
                <w:color w:val="374151"/>
                <w:sz w:val="20"/>
                <w:szCs w:val="20"/>
              </w:rPr>
              <w:t xml:space="preserve">Introduce children’s health as a distinct service vertical</w:t>
            </w:r>
          </w:p>
          <w:p>
            <w:pPr>
              <w:pStyle w:val="ListParagraph"/>
              <w:numPr>
                <w:ilvl w:val="0"/>
                <w:numId w:val="4"/>
              </w:numPr>
            </w:pPr>
            <w:r>
              <w:rPr>
                <w:rFonts w:ascii="Calibri" w:cs="Calibri" w:eastAsia="Calibri" w:hAnsi="Calibri"/>
                <w:color w:val="374151"/>
                <w:sz w:val="20"/>
                <w:szCs w:val="20"/>
              </w:rPr>
              <w:t xml:space="preserve">Develop digital resources (guides, courses)</w:t>
            </w:r>
          </w:p>
        </w:tc>
      </w:tr>
      <w:tr>
        <w:tc>
          <w:tcPr>
            <w:tcW w:type="dxa" w:w="2200"/>
            <w:tcBorders>
              <w:top w:val="single" w:color="DDD6FE" w:sz="4"/>
              <w:left w:val="single" w:color="DDD6FE" w:sz="4"/>
              <w:bottom w:val="single" w:color="DDD6FE" w:sz="4"/>
              <w:right w:val="single" w:color="DDD6FE" w:sz="4"/>
            </w:tcBorders>
            <w:shd w:fill="EDE9FE" w:val="clear"/>
            <w:tcMar>
              <w:top w:type="dxa" w:w="120"/>
              <w:left w:type="dxa" w:w="140"/>
              <w:bottom w:type="dxa" w:w="120"/>
              <w:right w:type="dxa" w:w="140"/>
            </w:tcMar>
          </w:tcPr>
          <w:p>
            <w:r>
              <w:rPr>
                <w:rFonts w:ascii="Calibri" w:cs="Calibri" w:eastAsia="Calibri" w:hAnsi="Calibri"/>
                <w:b/>
                <w:bCs/>
                <w:color w:val="5E35A1"/>
                <w:sz w:val="20"/>
                <w:szCs w:val="20"/>
              </w:rPr>
              <w:t xml:space="preserve">Year 3+: Scale</w:t>
            </w:r>
          </w:p>
        </w:tc>
        <w:tc>
          <w:tcPr>
            <w:tcW w:type="dxa" w:w="7160"/>
            <w:tcBorders>
              <w:top w:val="single" w:color="DDD6FE" w:sz="4"/>
              <w:left w:val="single" w:color="DDD6FE" w:sz="4"/>
              <w:bottom w:val="single" w:color="DDD6FE" w:sz="4"/>
              <w:right w:val="single" w:color="DDD6FE" w:sz="4"/>
            </w:tcBorders>
            <w:shd w:fill="FFFFFF" w:val="clear"/>
            <w:tcMar>
              <w:top w:type="dxa" w:w="80"/>
              <w:left w:type="dxa" w:w="140"/>
              <w:bottom w:type="dxa" w:w="80"/>
              <w:right w:type="dxa" w:w="140"/>
            </w:tcMar>
          </w:tcPr>
          <w:p>
            <w:pPr>
              <w:pStyle w:val="ListParagraph"/>
              <w:numPr>
                <w:ilvl w:val="0"/>
                <w:numId w:val="4"/>
              </w:numPr>
            </w:pPr>
            <w:r>
              <w:rPr>
                <w:rFonts w:ascii="Calibri" w:cs="Calibri" w:eastAsia="Calibri" w:hAnsi="Calibri"/>
                <w:color w:val="374151"/>
                <w:sz w:val="20"/>
                <w:szCs w:val="20"/>
              </w:rPr>
              <w:t xml:space="preserve">BioHeal becomes a recognised name in functional medicine in India</w:t>
            </w:r>
          </w:p>
          <w:p>
            <w:pPr>
              <w:pStyle w:val="ListParagraph"/>
              <w:numPr>
                <w:ilvl w:val="0"/>
                <w:numId w:val="4"/>
              </w:numPr>
            </w:pPr>
            <w:r>
              <w:rPr>
                <w:rFonts w:ascii="Calibri" w:cs="Calibri" w:eastAsia="Calibri" w:hAnsi="Calibri"/>
                <w:color w:val="374151"/>
                <w:sz w:val="20"/>
                <w:szCs w:val="20"/>
              </w:rPr>
              <w:t xml:space="preserve">Multiple practitioners under the BioHeal umbrella</w:t>
            </w:r>
          </w:p>
          <w:p>
            <w:pPr>
              <w:pStyle w:val="ListParagraph"/>
              <w:numPr>
                <w:ilvl w:val="0"/>
                <w:numId w:val="4"/>
              </w:numPr>
            </w:pPr>
            <w:r>
              <w:rPr>
                <w:rFonts w:ascii="Calibri" w:cs="Calibri" w:eastAsia="Calibri" w:hAnsi="Calibri"/>
                <w:color w:val="374151"/>
                <w:sz w:val="20"/>
                <w:szCs w:val="20"/>
              </w:rPr>
              <w:t xml:space="preserve">Corporate wellness partnerships</w:t>
            </w:r>
          </w:p>
          <w:p>
            <w:pPr>
              <w:pStyle w:val="ListParagraph"/>
              <w:numPr>
                <w:ilvl w:val="0"/>
                <w:numId w:val="4"/>
              </w:numPr>
            </w:pPr>
            <w:r>
              <w:rPr>
                <w:rFonts w:ascii="Calibri" w:cs="Calibri" w:eastAsia="Calibri" w:hAnsi="Calibri"/>
                <w:color w:val="374151"/>
                <w:sz w:val="20"/>
                <w:szCs w:val="20"/>
              </w:rPr>
              <w:t xml:space="preserve">Potential for a BioHeal app (tracking, content, community)</w:t>
            </w:r>
          </w:p>
          <w:p>
            <w:pPr>
              <w:pStyle w:val="ListParagraph"/>
              <w:numPr>
                <w:ilvl w:val="0"/>
                <w:numId w:val="4"/>
              </w:numPr>
            </w:pPr>
            <w:r>
              <w:rPr>
                <w:rFonts w:ascii="Calibri" w:cs="Calibri" w:eastAsia="Calibri" w:hAnsi="Calibri"/>
                <w:color w:val="374151"/>
                <w:sz w:val="20"/>
                <w:szCs w:val="20"/>
              </w:rPr>
              <w:t xml:space="preserve">Thought leadership through workshops, podcasts, speaking</w:t>
            </w:r>
          </w:p>
        </w:tc>
      </w:tr>
    </w:tbl>
    <w:p>
      <w:pPr>
        <w:pStyle w:val="Heading1"/>
      </w:pPr>
      <w:r>
        <w:rPr>
          <w:rFonts w:ascii="Calibri Light" w:cs="Calibri Light" w:eastAsia="Calibri Light" w:hAnsi="Calibri Light"/>
          <w:b/>
          <w:bCs/>
          <w:color w:val="5E35A1"/>
          <w:sz w:val="40"/>
          <w:szCs w:val="40"/>
        </w:rPr>
        <w:t xml:space="preserve">14. Brand Promise</w:t>
      </w:r>
    </w:p>
    <w:p>
      <w:pPr>
        <w:pBdr>
          <w:bottom w:val="single" w:color="DDD6FE"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5E35A1" w:sz="8"/>
              <w:left w:val="single" w:color="5E35A1" w:sz="8"/>
              <w:bottom w:val="single" w:color="5E35A1" w:sz="8"/>
              <w:right w:val="single" w:color="5E35A1" w:sz="8"/>
            </w:tcBorders>
            <w:shd w:fill="EDE9FE" w:val="clear"/>
            <w:tcMar>
              <w:top w:type="dxa" w:w="280"/>
              <w:left w:type="dxa" w:w="400"/>
              <w:bottom w:type="dxa" w:w="280"/>
              <w:right w:type="dxa" w:w="400"/>
            </w:tcMar>
          </w:tcPr>
          <w:p>
            <w:pPr>
              <w:spacing w:after="160" w:before="0"/>
              <w:jc w:val="center"/>
            </w:pPr>
            <w:r>
              <w:rPr>
                <w:rFonts w:ascii="Calibri" w:cs="Calibri" w:eastAsia="Calibri" w:hAnsi="Calibri"/>
                <w:b/>
                <w:bCs/>
                <w:color w:val="5E35A1"/>
                <w:sz w:val="28"/>
                <w:szCs w:val="28"/>
              </w:rPr>
              <w:t xml:space="preserve">To Every Person Who Comes to BioHeal</w:t>
            </w:r>
          </w:p>
          <w:p>
            <w:pPr>
              <w:spacing w:after="0" w:before="0"/>
              <w:jc w:val="center"/>
            </w:pPr>
            <w:r>
              <w:rPr>
                <w:rFonts w:ascii="Calibri Light" w:cs="Calibri Light" w:eastAsia="Calibri Light" w:hAnsi="Calibri Light"/>
                <w:i/>
                <w:iCs/>
                <w:color w:val="374151"/>
                <w:sz w:val="22"/>
                <w:szCs w:val="22"/>
              </w:rPr>
              <w:t xml:space="preserve">We promise to listen deeply, think critically, and guide compassionately. We will never rush you, dismiss you, or give you a generic plan. We will help you understand your body, address the true causes of your concerns, and build a foundation of health that lasts — not just until the next prescription, but for life.</w:t>
            </w:r>
          </w:p>
          <w:p>
            <w:pPr>
              <w:spacing w:after="0" w:before="160"/>
              <w:jc w:val="center"/>
            </w:pPr>
            <w:r>
              <w:rPr>
                <w:rFonts w:ascii="Calibri Light" w:cs="Calibri Light" w:eastAsia="Calibri Light" w:hAnsi="Calibri Light"/>
                <w:b/>
                <w:bCs/>
                <w:color w:val="5E35A1"/>
                <w:sz w:val="22"/>
                <w:szCs w:val="22"/>
              </w:rPr>
              <w:t xml:space="preserve">Whether you’re an adult navigating a chronic condition or a parent seeking answers for your child — you deserve more than symptom management. You deserve to heal.</w:t>
            </w:r>
          </w:p>
        </w:tc>
      </w:tr>
    </w:tbl>
    <w:p>
      <w:pPr>
        <w:pStyle w:val="Heading1"/>
      </w:pPr>
      <w:r>
        <w:rPr>
          <w:rFonts w:ascii="Calibri Light" w:cs="Calibri Light" w:eastAsia="Calibri Light" w:hAnsi="Calibri Light"/>
          <w:b/>
          <w:bCs/>
          <w:color w:val="5E35A1"/>
          <w:sz w:val="40"/>
          <w:szCs w:val="40"/>
        </w:rPr>
        <w:t xml:space="preserve">15. Website Content Principles</w:t>
      </w:r>
    </w:p>
    <w:p>
      <w:pPr>
        <w:pBdr>
          <w:bottom w:val="single" w:color="DDD6FE" w:sz="6" w:space="1"/>
        </w:pBdr>
        <w:spacing w:after="200" w:before="200"/>
      </w:pPr>
      <w:r>
        <w:t xml:space="preserve"/>
      </w:r>
    </w:p>
    <w:p>
      <w:pPr>
        <w:pStyle w:val="BodyText"/>
      </w:pPr>
      <w:r>
        <w:rPr>
          <w:rFonts w:ascii="Calibri" w:cs="Calibri" w:eastAsia="Calibri" w:hAnsi="Calibri"/>
          <w:color w:val="374151"/>
          <w:sz w:val="22"/>
          <w:szCs w:val="22"/>
        </w:rPr>
        <w:t xml:space="preserve">Every page of the BioHeal website should:</w:t>
      </w:r>
    </w:p>
    <w:p>
      <w:pPr>
        <w:spacing w:after="0" w:before="80"/>
      </w:pPr>
      <w:r>
        <w:t xml:space="preserve"/>
      </w:r>
    </w:p>
    <w:p>
      <w:pPr>
        <w:spacing w:after="60" w:before="120"/>
      </w:pPr>
      <w:r>
        <w:rPr>
          <w:rFonts w:ascii="Calibri" w:cs="Calibri" w:eastAsia="Calibri" w:hAnsi="Calibri"/>
          <w:b/>
          <w:bCs/>
          <w:color w:val="8B5CF6"/>
          <w:sz w:val="22"/>
          <w:szCs w:val="22"/>
        </w:rPr>
        <w:t xml:space="preserve">1.  </w:t>
      </w:r>
      <w:r>
        <w:rPr>
          <w:rFonts w:ascii="Calibri" w:cs="Calibri" w:eastAsia="Calibri" w:hAnsi="Calibri"/>
          <w:b/>
          <w:bCs/>
          <w:color w:val="5E35A1"/>
          <w:sz w:val="22"/>
          <w:szCs w:val="22"/>
        </w:rPr>
        <w:t xml:space="preserve">Lead with empathy — </w:t>
      </w:r>
      <w:r>
        <w:rPr>
          <w:rFonts w:ascii="Calibri" w:cs="Calibri" w:eastAsia="Calibri" w:hAnsi="Calibri"/>
          <w:color w:val="374151"/>
          <w:sz w:val="22"/>
          <w:szCs w:val="22"/>
        </w:rPr>
        <w:t xml:space="preserve">Acknowledge the visitor’s frustration before offering solutions</w:t>
      </w:r>
    </w:p>
    <w:p>
      <w:pPr>
        <w:spacing w:after="60" w:before="120"/>
      </w:pPr>
      <w:r>
        <w:rPr>
          <w:rFonts w:ascii="Calibri" w:cs="Calibri" w:eastAsia="Calibri" w:hAnsi="Calibri"/>
          <w:b/>
          <w:bCs/>
          <w:color w:val="8B5CF6"/>
          <w:sz w:val="22"/>
          <w:szCs w:val="22"/>
        </w:rPr>
        <w:t xml:space="preserve">2.  </w:t>
      </w:r>
      <w:r>
        <w:rPr>
          <w:rFonts w:ascii="Calibri" w:cs="Calibri" w:eastAsia="Calibri" w:hAnsi="Calibri"/>
          <w:b/>
          <w:bCs/>
          <w:color w:val="5E35A1"/>
          <w:sz w:val="22"/>
          <w:szCs w:val="22"/>
        </w:rPr>
        <w:t xml:space="preserve">Educate, then invite — </w:t>
      </w:r>
      <w:r>
        <w:rPr>
          <w:rFonts w:ascii="Calibri" w:cs="Calibri" w:eastAsia="Calibri" w:hAnsi="Calibri"/>
          <w:color w:val="374151"/>
          <w:sz w:val="22"/>
          <w:szCs w:val="22"/>
        </w:rPr>
        <w:t xml:space="preserve">Provide value before asking for action</w:t>
      </w:r>
    </w:p>
    <w:p>
      <w:pPr>
        <w:spacing w:after="60" w:before="120"/>
      </w:pPr>
      <w:r>
        <w:rPr>
          <w:rFonts w:ascii="Calibri" w:cs="Calibri" w:eastAsia="Calibri" w:hAnsi="Calibri"/>
          <w:b/>
          <w:bCs/>
          <w:color w:val="8B5CF6"/>
          <w:sz w:val="22"/>
          <w:szCs w:val="22"/>
        </w:rPr>
        <w:t xml:space="preserve">3.  </w:t>
      </w:r>
      <w:r>
        <w:rPr>
          <w:rFonts w:ascii="Calibri" w:cs="Calibri" w:eastAsia="Calibri" w:hAnsi="Calibri"/>
          <w:b/>
          <w:bCs/>
          <w:color w:val="5E35A1"/>
          <w:sz w:val="22"/>
          <w:szCs w:val="22"/>
        </w:rPr>
        <w:t xml:space="preserve">Show depth without overwhelm — </w:t>
      </w:r>
      <w:r>
        <w:rPr>
          <w:rFonts w:ascii="Calibri" w:cs="Calibri" w:eastAsia="Calibri" w:hAnsi="Calibri"/>
          <w:color w:val="374151"/>
          <w:sz w:val="22"/>
          <w:szCs w:val="22"/>
        </w:rPr>
        <w:t xml:space="preserve">Content-rich sections with clear visual hierarchy; elegant but never hollow</w:t>
      </w:r>
    </w:p>
    <w:p>
      <w:pPr>
        <w:spacing w:after="60" w:before="120"/>
      </w:pPr>
      <w:r>
        <w:rPr>
          <w:rFonts w:ascii="Calibri" w:cs="Calibri" w:eastAsia="Calibri" w:hAnsi="Calibri"/>
          <w:b/>
          <w:bCs/>
          <w:color w:val="8B5CF6"/>
          <w:sz w:val="22"/>
          <w:szCs w:val="22"/>
        </w:rPr>
        <w:t xml:space="preserve">4.  </w:t>
      </w:r>
      <w:r>
        <w:rPr>
          <w:rFonts w:ascii="Calibri" w:cs="Calibri" w:eastAsia="Calibri" w:hAnsi="Calibri"/>
          <w:b/>
          <w:bCs/>
          <w:color w:val="5E35A1"/>
          <w:sz w:val="22"/>
          <w:szCs w:val="22"/>
        </w:rPr>
        <w:t xml:space="preserve">Balance science with warmth — </w:t>
      </w:r>
      <w:r>
        <w:rPr>
          <w:rFonts w:ascii="Calibri" w:cs="Calibri" w:eastAsia="Calibri" w:hAnsi="Calibri"/>
          <w:color w:val="374151"/>
          <w:sz w:val="22"/>
          <w:szCs w:val="22"/>
        </w:rPr>
        <w:t xml:space="preserve">Evidence-based claims delivered in accessible language</w:t>
      </w:r>
    </w:p>
    <w:p>
      <w:pPr>
        <w:spacing w:after="60" w:before="120"/>
      </w:pPr>
      <w:r>
        <w:rPr>
          <w:rFonts w:ascii="Calibri" w:cs="Calibri" w:eastAsia="Calibri" w:hAnsi="Calibri"/>
          <w:b/>
          <w:bCs/>
          <w:color w:val="8B5CF6"/>
          <w:sz w:val="22"/>
          <w:szCs w:val="22"/>
        </w:rPr>
        <w:t xml:space="preserve">5.  </w:t>
      </w:r>
      <w:r>
        <w:rPr>
          <w:rFonts w:ascii="Calibri" w:cs="Calibri" w:eastAsia="Calibri" w:hAnsi="Calibri"/>
          <w:b/>
          <w:bCs/>
          <w:color w:val="5E35A1"/>
          <w:sz w:val="22"/>
          <w:szCs w:val="22"/>
        </w:rPr>
        <w:t xml:space="preserve">Inspire hope without hype — </w:t>
      </w:r>
      <w:r>
        <w:rPr>
          <w:rFonts w:ascii="Calibri" w:cs="Calibri" w:eastAsia="Calibri" w:hAnsi="Calibri"/>
          <w:color w:val="374151"/>
          <w:sz w:val="22"/>
          <w:szCs w:val="22"/>
        </w:rPr>
        <w:t xml:space="preserve">Honest, grounded optimism</w:t>
      </w:r>
    </w:p>
    <w:p>
      <w:pPr>
        <w:spacing w:after="60" w:before="120"/>
      </w:pPr>
      <w:r>
        <w:rPr>
          <w:rFonts w:ascii="Calibri" w:cs="Calibri" w:eastAsia="Calibri" w:hAnsi="Calibri"/>
          <w:b/>
          <w:bCs/>
          <w:color w:val="8B5CF6"/>
          <w:sz w:val="22"/>
          <w:szCs w:val="22"/>
        </w:rPr>
        <w:t xml:space="preserve">6.  </w:t>
      </w:r>
      <w:r>
        <w:rPr>
          <w:rFonts w:ascii="Calibri" w:cs="Calibri" w:eastAsia="Calibri" w:hAnsi="Calibri"/>
          <w:b/>
          <w:bCs/>
          <w:color w:val="5E35A1"/>
          <w:sz w:val="22"/>
          <w:szCs w:val="22"/>
        </w:rPr>
        <w:t xml:space="preserve">Respect all ages — </w:t>
      </w:r>
      <w:r>
        <w:rPr>
          <w:rFonts w:ascii="Calibri" w:cs="Calibri" w:eastAsia="Calibri" w:hAnsi="Calibri"/>
          <w:color w:val="374151"/>
          <w:sz w:val="22"/>
          <w:szCs w:val="22"/>
        </w:rPr>
        <w:t xml:space="preserve">Language and examples that include both adult and paediatric concerns</w:t>
      </w:r>
    </w:p>
    <w:p>
      <w:pPr>
        <w:spacing w:after="60" w:before="120"/>
      </w:pPr>
      <w:r>
        <w:rPr>
          <w:rFonts w:ascii="Calibri" w:cs="Calibri" w:eastAsia="Calibri" w:hAnsi="Calibri"/>
          <w:b/>
          <w:bCs/>
          <w:color w:val="8B5CF6"/>
          <w:sz w:val="22"/>
          <w:szCs w:val="22"/>
        </w:rPr>
        <w:t xml:space="preserve">7.  </w:t>
      </w:r>
      <w:r>
        <w:rPr>
          <w:rFonts w:ascii="Calibri" w:cs="Calibri" w:eastAsia="Calibri" w:hAnsi="Calibri"/>
          <w:b/>
          <w:bCs/>
          <w:color w:val="5E35A1"/>
          <w:sz w:val="22"/>
          <w:szCs w:val="22"/>
        </w:rPr>
        <w:t xml:space="preserve">End with a gentle next step — </w:t>
      </w:r>
      <w:r>
        <w:rPr>
          <w:rFonts w:ascii="Calibri" w:cs="Calibri" w:eastAsia="Calibri" w:hAnsi="Calibri"/>
          <w:color w:val="374151"/>
          <w:sz w:val="22"/>
          <w:szCs w:val="22"/>
        </w:rPr>
        <w:t xml:space="preserve">Always guide the visitor forward, never push</w:t>
      </w:r>
    </w:p>
    <w:p>
      <w:pPr>
        <w:spacing w:after="60" w:before="120"/>
      </w:pPr>
      <w:r>
        <w:rPr>
          <w:rFonts w:ascii="Calibri" w:cs="Calibri" w:eastAsia="Calibri" w:hAnsi="Calibri"/>
          <w:b/>
          <w:bCs/>
          <w:color w:val="8B5CF6"/>
          <w:sz w:val="22"/>
          <w:szCs w:val="22"/>
        </w:rPr>
        <w:t xml:space="preserve">8.  </w:t>
      </w:r>
      <w:r>
        <w:rPr>
          <w:rFonts w:ascii="Calibri" w:cs="Calibri" w:eastAsia="Calibri" w:hAnsi="Calibri"/>
          <w:b/>
          <w:bCs/>
          <w:color w:val="5E35A1"/>
          <w:sz w:val="22"/>
          <w:szCs w:val="22"/>
        </w:rPr>
        <w:t xml:space="preserve">Sound like a companion, not a business — </w:t>
      </w:r>
      <w:r>
        <w:rPr>
          <w:rFonts w:ascii="Calibri" w:cs="Calibri" w:eastAsia="Calibri" w:hAnsi="Calibri"/>
          <w:color w:val="374151"/>
          <w:sz w:val="22"/>
          <w:szCs w:val="22"/>
        </w:rPr>
        <w:t xml:space="preserve">Every word should pass the test: “Does this sound like someone who cares, or someone who’s selling?”</w:t>
      </w:r>
    </w:p>
    <w:p>
      <w:pPr>
        <w:pStyle w:val="Heading1"/>
      </w:pPr>
      <w:r>
        <w:rPr>
          <w:rFonts w:ascii="Calibri Light" w:cs="Calibri Light" w:eastAsia="Calibri Light" w:hAnsi="Calibri Light"/>
          <w:b/>
          <w:bCs/>
          <w:color w:val="5E35A1"/>
          <w:sz w:val="40"/>
          <w:szCs w:val="40"/>
        </w:rPr>
        <w:t xml:space="preserve">16. Elevator Pitch</w:t>
      </w:r>
    </w:p>
    <w:p>
      <w:pPr>
        <w:pBdr>
          <w:bottom w:val="single" w:color="DDD6FE" w:sz="6" w:space="1"/>
        </w:pBdr>
        <w:spacing w:after="200" w:before="200"/>
      </w:pPr>
      <w:r>
        <w:t xml:space="preserve"/>
      </w:r>
    </w:p>
    <w:p>
      <w:pPr>
        <w:pStyle w:val="Heading2"/>
      </w:pPr>
      <w:r>
        <w:rPr>
          <w:rFonts w:ascii="Calibri" w:cs="Calibri" w:eastAsia="Calibri" w:hAnsi="Calibri"/>
          <w:b/>
          <w:bCs/>
          <w:color w:val="8B5CF6"/>
          <w:sz w:val="28"/>
          <w:szCs w:val="28"/>
        </w:rPr>
        <w:t xml:space="preserve">30-Second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single" w:color="8B5CF6" w:sz="20"/>
              <w:bottom w:val="none" w:color="FFFFFF" w:sz="0"/>
              <w:right w:val="none" w:color="FFFFFF" w:sz="0"/>
            </w:tcBorders>
            <w:shd w:fill="FAF5FF" w:val="clear"/>
            <w:tcMar>
              <w:top w:type="dxa" w:w="160"/>
              <w:left w:type="dxa" w:w="280"/>
              <w:bottom w:type="dxa" w:w="160"/>
              <w:right w:type="dxa" w:w="280"/>
            </w:tcMar>
          </w:tcPr>
          <w:p>
            <w:r>
              <w:rPr>
                <w:rFonts w:ascii="Calibri Light" w:cs="Calibri Light" w:eastAsia="Calibri Light" w:hAnsi="Calibri Light"/>
                <w:i/>
                <w:iCs/>
                <w:color w:val="374151"/>
                <w:sz w:val="23"/>
                <w:szCs w:val="23"/>
              </w:rPr>
              <w:t xml:space="preserve">"BioHeal is a functional medicine and lifestyle health space that helps people with chronic health concerns — like PCOS, thyroid issues, gut problems, and metabolic disorders — understand the root cause of their condition and heal through personalised nutrition, lifestyle changes, and evidence-based guidance. We work with adults and children alike. We don’t just manage symptoms — we help you build lasting health."</w:t>
            </w:r>
          </w:p>
        </w:tc>
      </w:tr>
    </w:tbl>
    <w:p>
      <w:pPr>
        <w:pStyle w:val="Heading2"/>
      </w:pPr>
      <w:r>
        <w:rPr>
          <w:rFonts w:ascii="Calibri" w:cs="Calibri" w:eastAsia="Calibri" w:hAnsi="Calibri"/>
          <w:b/>
          <w:bCs/>
          <w:color w:val="8B5CF6"/>
          <w:sz w:val="28"/>
          <w:szCs w:val="28"/>
        </w:rPr>
        <w:t xml:space="preserve">One-Line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single" w:color="5E35A1" w:sz="20"/>
              <w:bottom w:val="none" w:color="FFFFFF" w:sz="0"/>
              <w:right w:val="none" w:color="FFFFFF" w:sz="0"/>
            </w:tcBorders>
            <w:shd w:fill="EDE9FE" w:val="clear"/>
            <w:tcMar>
              <w:top w:type="dxa" w:w="200"/>
              <w:left w:type="dxa" w:w="280"/>
              <w:bottom w:type="dxa" w:w="200"/>
              <w:right w:type="dxa" w:w="280"/>
            </w:tcMar>
          </w:tcPr>
          <w:p>
            <w:pPr>
              <w:jc w:val="center"/>
            </w:pPr>
            <w:r>
              <w:rPr>
                <w:rFonts w:ascii="Calibri Light" w:cs="Calibri Light" w:eastAsia="Calibri Light" w:hAnsi="Calibri Light"/>
                <w:b/>
                <w:bCs/>
                <w:i/>
                <w:iCs/>
                <w:color w:val="5E35A1"/>
                <w:sz w:val="25"/>
                <w:szCs w:val="25"/>
              </w:rPr>
              <w:t xml:space="preserve">"BioHeal uncovers the root causes of chronic illness and guides you toward lasting health through personalised lifestyle interventions — not just symptom management."</w:t>
            </w:r>
          </w:p>
        </w:tc>
      </w:tr>
    </w:tbl>
    <w:p>
      <w:pPr>
        <w:spacing w:after="0" w:before="480"/>
      </w:pPr>
      <w:r>
        <w:t xml:space="preserve"/>
      </w:r>
    </w:p>
    <w:p>
      <w:pPr>
        <w:pBdr>
          <w:bottom w:val="single" w:color="DDD6FE" w:sz="6" w:space="1"/>
        </w:pBdr>
        <w:spacing w:after="200" w:before="200"/>
      </w:pPr>
      <w:r>
        <w:t xml:space="preserve"/>
      </w:r>
    </w:p>
    <w:p>
      <w:pPr>
        <w:spacing w:after="0" w:before="200"/>
      </w:pPr>
      <w:r>
        <w:t xml:space="preserve"/>
      </w:r>
    </w:p>
    <w:p>
      <w:pPr>
        <w:spacing w:after="80" w:before="0"/>
        <w:jc w:val="center"/>
      </w:pPr>
      <w:r>
        <w:rPr>
          <w:rFonts w:ascii="Calibri" w:cs="Calibri" w:eastAsia="Calibri" w:hAnsi="Calibri"/>
          <w:b/>
          <w:bCs/>
          <w:color w:val="5E35A1"/>
          <w:sz w:val="24"/>
          <w:szCs w:val="24"/>
        </w:rPr>
        <w:t xml:space="preserve">BioHeal — bioheal.co.in</w:t>
      </w:r>
    </w:p>
    <w:p>
      <w:pPr>
        <w:spacing w:after="80" w:before="0"/>
        <w:jc w:val="center"/>
      </w:pPr>
      <w:r>
        <w:rPr>
          <w:rFonts w:ascii="Calibri Light" w:cs="Calibri Light" w:eastAsia="Calibri Light" w:hAnsi="Calibri Light"/>
          <w:i/>
          <w:iCs/>
          <w:color w:val="6B7280"/>
          <w:sz w:val="19"/>
          <w:szCs w:val="19"/>
        </w:rPr>
        <w:t xml:space="preserve">This document serves as the foundational reference for all BioHeal communications, website content, social media, marketing materials, and client interactions. All creative decisions — design, copy, content — should be validated against this vision.</w:t>
      </w:r>
    </w:p>
    <w:p>
      <w:pPr>
        <w:spacing w:after="0" w:before="80"/>
      </w:pPr>
      <w:r>
        <w:t xml:space="preserve"/>
      </w:r>
    </w:p>
    <w:p>
      <w:pPr>
        <w:spacing w:after="0" w:before="80"/>
        <w:jc w:val="center"/>
      </w:pPr>
      <w:r>
        <w:rPr>
          <w:rFonts w:ascii="Calibri Light" w:cs="Calibri Light" w:eastAsia="Calibri Light" w:hAnsi="Calibri Light"/>
          <w:color w:val="6B7280"/>
          <w:sz w:val="19"/>
          <w:szCs w:val="19"/>
        </w:rPr>
        <w:t xml:space="preserve">When in doubt about any communication, ask: </w:t>
      </w:r>
      <w:r>
        <w:rPr>
          <w:rFonts w:ascii="Calibri Light" w:cs="Calibri Light" w:eastAsia="Calibri Light" w:hAnsi="Calibri Light"/>
          <w:b/>
          <w:bCs/>
          <w:i/>
          <w:iCs/>
          <w:color w:val="5E35A1"/>
          <w:sz w:val="19"/>
          <w:szCs w:val="19"/>
        </w:rPr>
        <w:t xml:space="preserve">"Does this sound like a caring, knowledgeable companion — or like a business trying to sell something?"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6FE" w:sz="4" w:space="6"/>
      </w:pBdr>
      <w:spacing w:after="0" w:before="120"/>
      <w:jc w:val="center"/>
    </w:pPr>
    <w:r>
      <w:rPr>
        <w:rFonts w:ascii="Calibri" w:cs="Calibri" w:eastAsia="Calibri" w:hAnsi="Calibri"/>
        <w:i/>
        <w:iCs/>
        <w:color w:val="A78BFA"/>
        <w:sz w:val="16"/>
        <w:szCs w:val="16"/>
      </w:rPr>
      <w:t xml:space="preserve">Healing Through Lifestyle, Guided by Science  ·  </w:t>
    </w: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6FE" w:sz="4" w:space="6"/>
      </w:pBdr>
      <w:spacing w:after="160" w:before="0"/>
      <w:jc w:val="right"/>
    </w:pPr>
    <w:r>
      <w:rPr>
        <w:rFonts w:ascii="Calibri" w:cs="Calibri" w:eastAsia="Calibri" w:hAnsi="Calibri"/>
        <w:b/>
        <w:bCs/>
        <w:color w:val="5E35A1"/>
        <w:sz w:val="18"/>
        <w:szCs w:val="18"/>
      </w:rPr>
      <w:t xml:space="preserve">BioHeal </w:t>
    </w:r>
    <w:r>
      <w:rPr>
        <w:rFonts w:ascii="Calibri" w:cs="Calibri" w:eastAsia="Calibri" w:hAnsi="Calibri"/>
        <w:color w:val="A78BFA"/>
        <w:sz w:val="18"/>
        <w:szCs w:val="18"/>
      </w:rPr>
      <w:t xml:space="preserve">— Complete Brand Vision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560" w:hanging="320"/>
      </w:pPr>
      <w:rPr>
        <w:color w:val="8B5CF6"/>
        <w:sz w:val="26"/>
        <w:szCs w:val="26"/>
      </w:rPr>
    </w:lvl>
  </w:abstractNum>
  <w:abstractNum w:abstractNumId="3" w15:restartNumberingAfterBreak="0">
    <w:multiLevelType w:val="hybridMultilevel"/>
    <w:lvl w:ilvl="0" w15:tentative="1">
      <w:start w:val="1"/>
      <w:numFmt w:val="bullet"/>
      <w:lvlText w:val="✓"/>
      <w:lvlJc w:val="left"/>
      <w:pPr>
        <w:spacing w:after="60" w:before="60"/>
        <w:ind w:left="560" w:hanging="320"/>
      </w:pPr>
      <w:rPr>
        <w:color w:val="8B5CF6"/>
        <w:sz w:val="22"/>
        <w:szCs w:val="22"/>
      </w:rPr>
    </w:lvl>
  </w:abstractNum>
  <w:abstractNum w:abstractNumId="4" w15:restartNumberingAfterBreak="0">
    <w:multiLevelType w:val="hybridMultilevel"/>
    <w:lvl w:ilvl="0" w15:tentative="1">
      <w:start w:val="1"/>
      <w:numFmt w:val="bullet"/>
      <w:lvlText w:val="✗"/>
      <w:lvlJc w:val="left"/>
      <w:pPr>
        <w:spacing w:after="60" w:before="60"/>
        <w:ind w:left="560" w:hanging="320"/>
      </w:pPr>
      <w:rPr>
        <w:color w:val="DC2626"/>
        <w:sz w:val="22"/>
        <w:szCs w:val="22"/>
      </w:rPr>
    </w:lvl>
  </w:abstractNum>
  <w:abstractNum w:abstractNumId="5" w15:restartNumberingAfterBreak="0">
    <w:multiLevelType w:val="hybridMultilevel"/>
    <w:lvl w:ilvl="0" w15:tentative="1">
      <w:start w:val="1"/>
      <w:numFmt w:val="decimal"/>
      <w:lvlText w:val="%1."/>
      <w:lvlJc w:val="left"/>
      <w:pPr>
        <w:spacing w:after="80" w:before="80"/>
        <w:ind w:left="560" w:hanging="320"/>
      </w:pPr>
      <w:rPr>
        <w:b/>
        <w:bCs/>
        <w:color w:val="5E35A1"/>
        <w:sz w:val="22"/>
        <w:szCs w:val="22"/>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pPr>
        <w:spacing w:after="16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Page">
    <w:name w:val="Title Page"/>
    <w:basedOn w:val="Normal"/>
    <w:qFormat/>
    <w:pPr>
      <w:spacing w:after="120" w:before="0"/>
      <w:jc w:val="center"/>
    </w:pPr>
    <w:rPr>
      <w:rFonts w:ascii="Calibri Light" w:cs="Calibri Light" w:eastAsia="Calibri Light" w:hAnsi="Calibri Light"/>
      <w:b/>
      <w:bCs/>
      <w:color w:val="5E35A1"/>
      <w:sz w:val="72"/>
      <w:szCs w:val="72"/>
    </w:rPr>
  </w:style>
  <w:style w:type="paragraph" w:styleId="SubtitlePage">
    <w:name w:val="Subtitle Page"/>
    <w:basedOn w:val="Normal"/>
    <w:qFormat/>
    <w:pPr>
      <w:spacing w:after="80" w:before="80"/>
      <w:jc w:val="center"/>
    </w:pPr>
    <w:rPr>
      <w:rFonts w:ascii="Calibri Light" w:cs="Calibri Light" w:eastAsia="Calibri Light" w:hAnsi="Calibri Light"/>
      <w:i/>
      <w:iCs/>
      <w:color w:val="8B5CF6"/>
      <w:sz w:val="28"/>
      <w:szCs w:val="28"/>
    </w:rPr>
  </w:style>
  <w:style w:type="paragraph" w:styleId="Tagline">
    <w:name w:val="Tagline"/>
    <w:basedOn w:val="Normal"/>
    <w:qFormat/>
    <w:pPr>
      <w:spacing w:after="120" w:before="120"/>
      <w:jc w:val="center"/>
    </w:pPr>
    <w:rPr>
      <w:rFonts w:ascii="Calibri" w:cs="Calibri" w:eastAsia="Calibri" w:hAnsi="Calibri"/>
      <w:b/>
      <w:bCs/>
      <w:color w:val="5E35A1"/>
      <w:sz w:val="26"/>
      <w:szCs w:val="26"/>
    </w:rPr>
  </w:style>
  <w:style w:type="paragraph" w:styleId="Heading1">
    <w:name w:val="Heading 1"/>
    <w:basedOn w:val="Normal"/>
    <w:next w:val="Normal"/>
    <w:qFormat/>
    <w:pPr>
      <w:spacing w:after="160" w:before="520"/>
      <w:outlineLvl w:val="0"/>
    </w:pPr>
    <w:rPr>
      <w:rFonts w:ascii="Calibri Light" w:cs="Calibri Light" w:eastAsia="Calibri Light" w:hAnsi="Calibri Light"/>
      <w:b/>
      <w:bCs/>
      <w:color w:val="5E35A1"/>
      <w:sz w:val="40"/>
      <w:szCs w:val="40"/>
    </w:rPr>
  </w:style>
  <w:style w:type="paragraph" w:styleId="Heading2">
    <w:name w:val="Heading 2"/>
    <w:basedOn w:val="Normal"/>
    <w:next w:val="Normal"/>
    <w:qFormat/>
    <w:pPr>
      <w:spacing w:after="120" w:before="360"/>
      <w:outlineLvl w:val="1"/>
    </w:pPr>
    <w:rPr>
      <w:rFonts w:ascii="Calibri" w:cs="Calibri" w:eastAsia="Calibri" w:hAnsi="Calibri"/>
      <w:b/>
      <w:bCs/>
      <w:color w:val="8B5CF6"/>
      <w:sz w:val="28"/>
      <w:szCs w:val="28"/>
    </w:rPr>
  </w:style>
  <w:style w:type="paragraph" w:styleId="Heading3">
    <w:name w:val="Heading 3"/>
    <w:basedOn w:val="Normal"/>
    <w:next w:val="Normal"/>
    <w:qFormat/>
    <w:pPr>
      <w:spacing w:after="80" w:before="280"/>
      <w:outlineLvl w:val="2"/>
    </w:pPr>
    <w:rPr>
      <w:rFonts w:ascii="Calibri" w:cs="Calibri" w:eastAsia="Calibri" w:hAnsi="Calibri"/>
      <w:b/>
      <w:bCs/>
      <w:i w:val="false"/>
      <w:iCs w:val="false"/>
      <w:color w:val="6D28D9"/>
      <w:sz w:val="24"/>
      <w:szCs w:val="24"/>
    </w:rPr>
  </w:style>
  <w:style w:type="paragraph" w:styleId="BodyText">
    <w:name w:val="Body Text"/>
    <w:basedOn w:val="Normal"/>
    <w:pPr>
      <w:spacing w:after="160" w:before="60" w:line="300"/>
    </w:pPr>
    <w:rPr>
      <w:rFonts w:ascii="Calibri" w:cs="Calibri" w:eastAsia="Calibri" w:hAnsi="Calibri"/>
      <w:color w:val="374151"/>
      <w:sz w:val="22"/>
      <w:szCs w:val="22"/>
    </w:rPr>
  </w:style>
  <w:style w:type="paragraph" w:styleId="Quote">
    <w:name w:val="Quote"/>
    <w:basedOn w:val="Normal"/>
    <w:pPr>
      <w:spacing w:after="240" w:before="240" w:line="336"/>
      <w:ind w:left="900" w:right="900"/>
      <w:jc w:val="center"/>
    </w:pPr>
    <w:rPr>
      <w:rFonts w:ascii="Calibri Light" w:cs="Calibri Light" w:eastAsia="Calibri Light" w:hAnsi="Calibri Light"/>
      <w:i/>
      <w:iCs/>
      <w:color w:val="5E35A1"/>
      <w:sz w:val="24"/>
      <w:szCs w:val="24"/>
    </w:rPr>
  </w:style>
  <w:style w:type="paragraph" w:styleId="Caption">
    <w:name w:val="Caption"/>
    <w:basedOn w:val="Normal"/>
    <w:pPr>
      <w:spacing w:after="120" w:before="40"/>
      <w:jc w:val="center"/>
    </w:pPr>
    <w:rPr>
      <w:rFonts w:ascii="Calibri" w:cs="Calibri" w:eastAsia="Calibri" w:hAnsi="Calibri"/>
      <w:i/>
      <w:iCs/>
      <w:color w:val="9CA3AF"/>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EC82AD-9CA9-4C6F-B524-B6CDF62BDD9C}">
  <we:reference id="WA200010615" version="1.0.10036.0" store="en-us" storeType="OMEX"/>
  <we:alternateReferences/>
  <we:properties>
    <we:property name="Office.AutoShowTaskpaneWithDocument" value="true"/>
    <we:property name="conversationId" value="&quot;6482bfae-7ca7-4eda-8808-324b5922dce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2026-08-13T17:28:14.130Z</dcterms:created>
  <dcterms:modified xsi:type="dcterms:W3CDTF">2026-08-13T17:28:14.131Z</dcterms:modified>
</cp:coreProperties>
</file>

<file path=docProps/custom.xml><?xml version="1.0" encoding="utf-8"?>
<Properties xmlns="http://schemas.openxmlformats.org/officeDocument/2006/custom-properties" xmlns:vt="http://schemas.openxmlformats.org/officeDocument/2006/docPropsVTypes"/>
</file>