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MERCHANT SERVICE LEVEL AGREEMENT</w:t>
      </w:r>
    </w:p>
    <w:p>
      <w:pPr>
        <w:spacing w:after="400"/>
        <w:jc w:val="center"/>
      </w:pPr>
      <w:r>
        <w:rPr>
          <w:color w:val="444444"/>
          <w:sz w:val="24"/>
          <w:szCs w:val="24"/>
        </w:rPr>
        <w:t xml:space="preserve">Performance Standards for Restaurant Partners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ZOPIQ-OPS-07</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22"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23"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GENERAL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ACCEPTANCE RATE</w:t>
        </w:r>
      </w:hyperlink>
      <w:r>
        <w:rPr>
          <w:sz w:val="22"/>
          <w:szCs w:val="22"/>
        </w:rPr>
        <w:t xml:space="preserve">	</w:t>
      </w:r>
      <w:hyperlink w:history="1" w:anchor="_ztoc_3">
        <w:fldSimple w:instr="PAGEREF _ztoc_3 \h">
          <w:r>
            <w:t xml:space="preserve">•</w:t>
          </w:r>
        </w:fldSimple>
      </w:hyperlink>
    </w:p>
    <w:p>
      <w:pPr>
        <w:tabs>
          <w:tab w:val="right" w:pos="9350" w:leader="dot"/>
        </w:tabs>
        <w:spacing w:after="30"/>
        <w:ind w:left="360"/>
      </w:pPr>
      <w:hyperlink w:history="1" w:anchor="_ztoc_4">
        <w:r>
          <w:rPr>
            <w:b w:val="false"/>
            <w:bCs w:val="false"/>
            <w:color w:val="1a1a1a"/>
            <w:sz w:val="20"/>
            <w:szCs w:val="20"/>
          </w:rPr>
          <w:t xml:space="preserve">4.1 Expectation</w:t>
        </w:r>
      </w:hyperlink>
      <w:r>
        <w:rPr>
          <w:sz w:val="20"/>
          <w:szCs w:val="20"/>
        </w:rPr>
        <w:t xml:space="preserve">	</w:t>
      </w:r>
      <w:hyperlink w:history="1" w:anchor="_ztoc_4">
        <w:fldSimple w:instr="PAGEREF _ztoc_4 \h">
          <w:r>
            <w:t xml:space="preserve">•</w:t>
          </w:r>
        </w:fldSimple>
      </w:hyperlink>
    </w:p>
    <w:p>
      <w:pPr>
        <w:tabs>
          <w:tab w:val="right" w:pos="9350" w:leader="dot"/>
        </w:tabs>
        <w:spacing w:after="30"/>
        <w:ind w:left="360"/>
      </w:pPr>
      <w:hyperlink w:history="1" w:anchor="_ztoc_5">
        <w:r>
          <w:rPr>
            <w:b w:val="false"/>
            <w:bCs w:val="false"/>
            <w:color w:val="1a1a1a"/>
            <w:sz w:val="20"/>
            <w:szCs w:val="20"/>
          </w:rPr>
          <w:t xml:space="preserve">4.2 Exclusions</w:t>
        </w:r>
      </w:hyperlink>
      <w:r>
        <w:rPr>
          <w:sz w:val="20"/>
          <w:szCs w:val="20"/>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5. PREPARATION TIME</w:t>
        </w:r>
      </w:hyperlink>
      <w:r>
        <w:rPr>
          <w:sz w:val="22"/>
          <w:szCs w:val="22"/>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5.1 Expectation</w:t>
        </w:r>
      </w:hyperlink>
      <w:r>
        <w:rPr>
          <w:sz w:val="20"/>
          <w:szCs w:val="20"/>
        </w:rPr>
        <w:t xml:space="preserve">	</w:t>
      </w:r>
      <w:hyperlink w:history="1" w:anchor="_ztoc_7">
        <w:fldSimple w:instr="PAGEREF _ztoc_7 \h">
          <w:r>
            <w:t xml:space="preserve">•</w:t>
          </w:r>
        </w:fldSimple>
      </w:hyperlink>
    </w:p>
    <w:p>
      <w:pPr>
        <w:tabs>
          <w:tab w:val="right" w:pos="9350" w:leader="dot"/>
        </w:tabs>
        <w:spacing w:after="30"/>
        <w:ind w:left="360"/>
      </w:pPr>
      <w:hyperlink w:history="1" w:anchor="_ztoc_8">
        <w:r>
          <w:rPr>
            <w:b w:val="false"/>
            <w:bCs w:val="false"/>
            <w:color w:val="1a1a1a"/>
            <w:sz w:val="20"/>
            <w:szCs w:val="20"/>
          </w:rPr>
          <w:t xml:space="preserve">5.2 Managing Peaks</w:t>
        </w:r>
      </w:hyperlink>
      <w:r>
        <w:rPr>
          <w:sz w:val="20"/>
          <w:szCs w:val="20"/>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6. CANCELLATION LIMITS</w:t>
        </w:r>
      </w:hyperlink>
      <w:r>
        <w:rPr>
          <w:sz w:val="22"/>
          <w:szCs w:val="22"/>
        </w:rPr>
        <w:t xml:space="preserve">	</w:t>
      </w:r>
      <w:hyperlink w:history="1" w:anchor="_ztoc_9">
        <w:fldSimple w:instr="PAGEREF _ztoc_9 \h">
          <w:r>
            <w:t xml:space="preserve">•</w:t>
          </w:r>
        </w:fldSimple>
      </w:hyperlink>
    </w:p>
    <w:p>
      <w:pPr>
        <w:tabs>
          <w:tab w:val="right" w:pos="9350" w:leader="dot"/>
        </w:tabs>
        <w:spacing w:after="30"/>
        <w:ind w:left="360"/>
      </w:pPr>
      <w:hyperlink w:history="1" w:anchor="_ztoc_10">
        <w:r>
          <w:rPr>
            <w:b w:val="false"/>
            <w:bCs w:val="false"/>
            <w:color w:val="1a1a1a"/>
            <w:sz w:val="20"/>
            <w:szCs w:val="20"/>
          </w:rPr>
          <w:t xml:space="preserve">6.1 Permitted Reasons</w:t>
        </w:r>
      </w:hyperlink>
      <w:r>
        <w:rPr>
          <w:sz w:val="20"/>
          <w:szCs w:val="20"/>
        </w:rPr>
        <w:t xml:space="preserve">	</w:t>
      </w:r>
      <w:hyperlink w:history="1" w:anchor="_ztoc_10">
        <w:fldSimple w:instr="PAGEREF _ztoc_10 \h">
          <w:r>
            <w:t xml:space="preserve">•</w:t>
          </w:r>
        </w:fldSimple>
      </w:hyperlink>
    </w:p>
    <w:p>
      <w:pPr>
        <w:tabs>
          <w:tab w:val="right" w:pos="9350" w:leader="dot"/>
        </w:tabs>
        <w:spacing w:after="30"/>
        <w:ind w:left="360"/>
      </w:pPr>
      <w:hyperlink w:history="1" w:anchor="_ztoc_11">
        <w:r>
          <w:rPr>
            <w:b w:val="false"/>
            <w:bCs w:val="false"/>
            <w:color w:val="1a1a1a"/>
            <w:sz w:val="20"/>
            <w:szCs w:val="20"/>
          </w:rPr>
          <w:t xml:space="preserve">6.2 Prohibited Cancellations</w:t>
        </w:r>
      </w:hyperlink>
      <w:r>
        <w:rPr>
          <w:sz w:val="20"/>
          <w:szCs w:val="20"/>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7. PACKAGING SLA</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8. AVAILABILITY</w:t>
        </w:r>
      </w:hyperlink>
      <w:r>
        <w:rPr>
          <w:sz w:val="22"/>
          <w:szCs w:val="22"/>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9. SUPPORT RESPONSE</w:t>
        </w:r>
      </w:hyperlink>
      <w:r>
        <w:rPr>
          <w:sz w:val="22"/>
          <w:szCs w:val="22"/>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10. PERFORMANCE MONITORING</w:t>
        </w:r>
      </w:hyperlink>
      <w:r>
        <w:rPr>
          <w:sz w:val="22"/>
          <w:szCs w:val="22"/>
        </w:rPr>
        <w:t xml:space="preserve">	</w:t>
      </w:r>
      <w:hyperlink w:history="1" w:anchor="_ztoc_15">
        <w:fldSimple w:instr="PAGEREF _ztoc_15 \h">
          <w:r>
            <w:t xml:space="preserve">•</w:t>
          </w:r>
        </w:fldSimple>
      </w:hyperlink>
    </w:p>
    <w:p>
      <w:pPr>
        <w:tabs>
          <w:tab w:val="right" w:pos="9350" w:leader="dot"/>
        </w:tabs>
        <w:spacing w:after="30"/>
        <w:ind w:left="360"/>
      </w:pPr>
      <w:hyperlink w:history="1" w:anchor="_ztoc_16">
        <w:r>
          <w:rPr>
            <w:b w:val="false"/>
            <w:bCs w:val="false"/>
            <w:color w:val="1a1a1a"/>
            <w:sz w:val="20"/>
            <w:szCs w:val="20"/>
          </w:rPr>
          <w:t xml:space="preserve">10.1 Visibility</w:t>
        </w:r>
      </w:hyperlink>
      <w:r>
        <w:rPr>
          <w:sz w:val="20"/>
          <w:szCs w:val="20"/>
        </w:rPr>
        <w:t xml:space="preserve">	</w:t>
      </w:r>
      <w:hyperlink w:history="1" w:anchor="_ztoc_16">
        <w:fldSimple w:instr="PAGEREF _ztoc_16 \h">
          <w:r>
            <w:t xml:space="preserve">•</w:t>
          </w:r>
        </w:fldSimple>
      </w:hyperlink>
    </w:p>
    <w:p>
      <w:pPr>
        <w:tabs>
          <w:tab w:val="right" w:pos="9350" w:leader="dot"/>
        </w:tabs>
        <w:spacing w:after="30"/>
        <w:ind w:left="360"/>
      </w:pPr>
      <w:hyperlink w:history="1" w:anchor="_ztoc_17">
        <w:r>
          <w:rPr>
            <w:b w:val="false"/>
            <w:bCs w:val="false"/>
            <w:color w:val="1a1a1a"/>
            <w:sz w:val="20"/>
            <w:szCs w:val="20"/>
          </w:rPr>
          <w:t xml:space="preserve">10.2 Assessment</w:t>
        </w:r>
      </w:hyperlink>
      <w:r>
        <w:rPr>
          <w:sz w:val="20"/>
          <w:szCs w:val="20"/>
        </w:rPr>
        <w:t xml:space="preserve">	</w:t>
      </w:r>
      <w:hyperlink w:history="1" w:anchor="_ztoc_17">
        <w:fldSimple w:instr="PAGEREF _ztoc_17 \h">
          <w:r>
            <w:t xml:space="preserve">•</w:t>
          </w:r>
        </w:fldSimple>
      </w:hyperlink>
    </w:p>
    <w:p>
      <w:pPr>
        <w:tabs>
          <w:tab w:val="right" w:pos="9350" w:leader="dot"/>
        </w:tabs>
        <w:spacing w:after="60"/>
        <w:ind w:left="0"/>
      </w:pPr>
      <w:hyperlink w:history="1" w:anchor="_ztoc_18">
        <w:r>
          <w:rPr>
            <w:b/>
            <w:bCs/>
            <w:color w:val="1a1a1a"/>
            <w:sz w:val="22"/>
            <w:szCs w:val="22"/>
          </w:rPr>
          <w:t xml:space="preserve">11. PENALTY FRAMEWORK</w:t>
        </w:r>
      </w:hyperlink>
      <w:r>
        <w:rPr>
          <w:sz w:val="22"/>
          <w:szCs w:val="22"/>
        </w:rPr>
        <w:t xml:space="preserve">	</w:t>
      </w:r>
      <w:hyperlink w:history="1" w:anchor="_ztoc_18">
        <w:fldSimple w:instr="PAGEREF _ztoc_18 \h">
          <w:r>
            <w:t xml:space="preserve">•</w:t>
          </w:r>
        </w:fldSimple>
      </w:hyperlink>
    </w:p>
    <w:p>
      <w:pPr>
        <w:tabs>
          <w:tab w:val="right" w:pos="9350" w:leader="dot"/>
        </w:tabs>
        <w:spacing w:after="60"/>
        <w:ind w:left="0"/>
      </w:pPr>
      <w:hyperlink w:history="1" w:anchor="_ztoc_19">
        <w:r>
          <w:rPr>
            <w:b/>
            <w:bCs/>
            <w:color w:val="1a1a1a"/>
            <w:sz w:val="22"/>
            <w:szCs w:val="22"/>
          </w:rPr>
          <w:t xml:space="preserve">12. IMPROVEMENT AND REVIEW</w:t>
        </w:r>
      </w:hyperlink>
      <w:r>
        <w:rPr>
          <w:sz w:val="22"/>
          <w:szCs w:val="22"/>
        </w:rPr>
        <w:t xml:space="preserve">	</w:t>
      </w:r>
      <w:hyperlink w:history="1" w:anchor="_ztoc_19">
        <w:fldSimple w:instr="PAGEREF _ztoc_19 \h">
          <w:r>
            <w:t xml:space="preserve">•</w:t>
          </w:r>
        </w:fldSimple>
      </w:hyperlink>
    </w:p>
    <w:p>
      <w:pPr>
        <w:tabs>
          <w:tab w:val="right" w:pos="9350" w:leader="dot"/>
        </w:tabs>
        <w:spacing w:after="60"/>
        <w:ind w:left="0"/>
      </w:pPr>
      <w:hyperlink w:history="1" w:anchor="_ztoc_20">
        <w:r>
          <w:rPr>
            <w:b/>
            <w:bCs/>
            <w:color w:val="1a1a1a"/>
            <w:sz w:val="22"/>
            <w:szCs w:val="22"/>
          </w:rPr>
          <w:t xml:space="preserve">13. CHANGES TO THIS SLA</w:t>
        </w:r>
      </w:hyperlink>
      <w:r>
        <w:rPr>
          <w:sz w:val="22"/>
          <w:szCs w:val="22"/>
        </w:rPr>
        <w:t xml:space="preserve">	</w:t>
      </w:r>
      <w:hyperlink w:history="1" w:anchor="_ztoc_20">
        <w:fldSimple w:instr="PAGEREF _ztoc_20 \h">
          <w:r>
            <w:t xml:space="preserve">•</w:t>
          </w:r>
        </w:fldSimple>
      </w:hyperlink>
    </w:p>
    <w:p>
      <w:pPr>
        <w:tabs>
          <w:tab w:val="right" w:pos="9350" w:leader="dot"/>
        </w:tabs>
        <w:spacing w:after="60"/>
        <w:ind w:left="0"/>
      </w:pPr>
      <w:hyperlink w:history="1" w:anchor="_ztoc_21">
        <w:r>
          <w:rPr>
            <w:b/>
            <w:bCs/>
            <w:color w:val="1a1a1a"/>
            <w:sz w:val="22"/>
            <w:szCs w:val="22"/>
          </w:rPr>
          <w:t xml:space="preserve">14. CONTACT INFORMATION</w:t>
        </w:r>
      </w:hyperlink>
      <w:r>
        <w:rPr>
          <w:sz w:val="22"/>
          <w:szCs w:val="22"/>
        </w:rPr>
        <w:t xml:space="preserve">	</w:t>
      </w:r>
      <w:hyperlink w:history="1" w:anchor="_ztoc_21">
        <w:fldSimple w:instr="PAGEREF _ztoc_21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Merchant Service Level Agreement ("SLA") sets out the service levels expected of Restaurant Partners on the Zopiq platform, operated by Hybrid Monks LLP ("Zopiq", "Company", "we", "our", or "us"), and the framework used to monitor performance and apply consequences where standards are not met.</w:t>
      </w:r>
    </w:p>
    <w:p>
      <w:pPr>
        <w:spacing w:after="120"/>
      </w:pPr>
      <w:r>
        <w:t xml:space="preserve">This SLA supplements the Restaurant Partner Agreement, Terms &amp; Conditions, and Restaurant Partner Handbook. Where this SLA and a binding agreement differ, the agreement prevails. Zopiq may set or update specific numeric thresholds prospectively with reasonable notice.</w:t>
      </w:r>
    </w:p>
    <w:p>
      <w:pPr>
        <w:pStyle w:val="Heading1"/>
        <w:spacing w:after="120" w:before="260"/>
      </w:pPr>
      <w:bookmarkStart w:name="_ztoc_1" w:id="1004"/>
      <w:r>
        <w:rPr>
          <w:b/>
          <w:bCs/>
        </w:rPr>
        <w:t xml:space="preserve">2. DEFINITIONS</w:t>
      </w:r>
      <w:bookmarkEnd w:id="1004"/>
    </w:p>
    <w:p>
      <w:pPr>
        <w:spacing w:after="120"/>
      </w:pPr>
      <w:r>
        <w:t xml:space="preserve">Acceptance Rate means the proportion of offered orders that a Restaurant Partner accepts over a defined period.</w:t>
      </w:r>
    </w:p>
    <w:p>
      <w:pPr>
        <w:spacing w:after="120"/>
      </w:pPr>
      <w:r>
        <w:t xml:space="preserve">Preparation Time means the time from order acceptance to the order being ready for pickup.</w:t>
      </w:r>
    </w:p>
    <w:p>
      <w:pPr>
        <w:spacing w:after="120"/>
      </w:pPr>
      <w:r>
        <w:t xml:space="preserve">Cancellation Rate means the proportion of accepted orders cancelled by the Restaurant Partner.</w:t>
      </w:r>
    </w:p>
    <w:p>
      <w:pPr>
        <w:spacing w:after="120"/>
      </w:pPr>
      <w:r>
        <w:t xml:space="preserve">Availability means the extent to which a Restaurant Partner is open and accepting orders during its stated operating hours.</w:t>
      </w:r>
    </w:p>
    <w:p>
      <w:pPr>
        <w:spacing w:after="120"/>
      </w:pPr>
      <w:r>
        <w:t xml:space="preserve">Measurement Period means the rolling period over which a metric is assessed.</w:t>
      </w:r>
    </w:p>
    <w:p>
      <w:pPr>
        <w:pStyle w:val="Heading1"/>
        <w:spacing w:after="120" w:before="260"/>
      </w:pPr>
      <w:bookmarkStart w:name="_ztoc_2" w:id="1005"/>
      <w:r>
        <w:rPr>
          <w:b/>
          <w:bCs/>
        </w:rPr>
        <w:t xml:space="preserve">3. GENERAL PRINCIPLES</w:t>
      </w:r>
      <w:bookmarkEnd w:id="1005"/>
    </w:p>
    <w:p>
      <w:pPr>
        <w:spacing w:after="120"/>
      </w:pPr>
      <w:r>
        <w:t xml:space="preserve">The SLA is designed to be fair, transparent, and improvement-focused:</w:t>
      </w:r>
    </w:p>
    <w:p>
      <w:pPr>
        <w:pStyle w:val="ListParagraph"/>
        <w:numPr>
          <w:ilvl w:val="0"/>
          <w:numId w:val="1"/>
        </w:numPr>
        <w:spacing w:after="40"/>
      </w:pPr>
      <w:r>
        <w:t xml:space="preserve">Metrics are assessed over a Measurement Period rather than single orders, save for serious breaches.</w:t>
      </w:r>
    </w:p>
    <w:p>
      <w:pPr>
        <w:pStyle w:val="ListParagraph"/>
        <w:numPr>
          <w:ilvl w:val="0"/>
          <w:numId w:val="1"/>
        </w:numPr>
        <w:spacing w:after="40"/>
      </w:pPr>
      <w:r>
        <w:t xml:space="preserve">Genuine operational reasons and Force Majeure Events are taken into account.</w:t>
      </w:r>
    </w:p>
    <w:p>
      <w:pPr>
        <w:pStyle w:val="ListParagraph"/>
        <w:numPr>
          <w:ilvl w:val="0"/>
          <w:numId w:val="1"/>
        </w:numPr>
        <w:spacing w:after="40"/>
      </w:pPr>
      <w:r>
        <w:t xml:space="preserve">Consequences are proportionate and escalate with severity and frequency.</w:t>
      </w:r>
    </w:p>
    <w:p>
      <w:pPr>
        <w:pStyle w:val="ListParagraph"/>
        <w:numPr>
          <w:ilvl w:val="0"/>
          <w:numId w:val="1"/>
        </w:numPr>
        <w:spacing w:after="40"/>
      </w:pPr>
      <w:r>
        <w:t xml:space="preserve">Restaurant Partners can view their performance and are given opportunities to improve.</w:t>
      </w:r>
    </w:p>
    <w:p>
      <w:pPr>
        <w:pStyle w:val="Heading1"/>
        <w:spacing w:after="120" w:before="260"/>
      </w:pPr>
      <w:bookmarkStart w:name="_ztoc_3" w:id="1006"/>
      <w:r>
        <w:rPr>
          <w:b/>
          <w:bCs/>
        </w:rPr>
        <w:t xml:space="preserve">4. ACCEPTANCE RATE</w:t>
      </w:r>
      <w:bookmarkEnd w:id="1006"/>
    </w:p>
    <w:p>
      <w:pPr>
        <w:spacing w:after="120"/>
      </w:pPr>
      <w:r>
        <w:t xml:space="preserve">Restaurant Partners are expected to accept orders reliably during their stated operating hours. A high Acceptance Rate reduces failed orders and improves Customer experience.</w:t>
      </w:r>
    </w:p>
    <w:p>
      <w:pPr>
        <w:pStyle w:val="Heading2"/>
        <w:spacing w:after="70" w:before="160"/>
      </w:pPr>
      <w:bookmarkStart w:name="_ztoc_4" w:id="1007"/>
      <w:r>
        <w:rPr>
          <w:b/>
          <w:bCs/>
        </w:rPr>
        <w:t xml:space="preserve">4.1 Expectation</w:t>
      </w:r>
      <w:bookmarkEnd w:id="1007"/>
    </w:p>
    <w:p>
      <w:pPr>
        <w:spacing w:after="120"/>
      </w:pPr>
      <w:r>
        <w:t xml:space="preserve">Restaurant Partners should accept the substantial majority of valid orders received while shown as open. Persistent low acceptance suggests inaccurate availability or operating hours that should be corrected.</w:t>
      </w:r>
    </w:p>
    <w:p>
      <w:pPr>
        <w:pStyle w:val="Heading2"/>
        <w:spacing w:after="70" w:before="160"/>
      </w:pPr>
      <w:bookmarkStart w:name="_ztoc_5" w:id="1008"/>
      <w:r>
        <w:rPr>
          <w:b/>
          <w:bCs/>
        </w:rPr>
        <w:t xml:space="preserve">4.2 Exclusions</w:t>
      </w:r>
      <w:bookmarkEnd w:id="1008"/>
    </w:p>
    <w:p>
      <w:pPr>
        <w:spacing w:after="120"/>
      </w:pPr>
      <w:r>
        <w:t xml:space="preserve">Orders that cannot reasonably be fulfilled due to genuine operational reasons, safety issues, or Force Majeure Events are considered when assessing Acceptance Rate.</w:t>
      </w:r>
    </w:p>
    <w:p>
      <w:pPr>
        <w:pStyle w:val="Heading1"/>
        <w:spacing w:after="120" w:before="260"/>
      </w:pPr>
      <w:bookmarkStart w:name="_ztoc_6" w:id="1009"/>
      <w:r>
        <w:rPr>
          <w:b/>
          <w:bCs/>
        </w:rPr>
        <w:t xml:space="preserve">5. PREPARATION TIME</w:t>
      </w:r>
      <w:bookmarkEnd w:id="1009"/>
    </w:p>
    <w:p>
      <w:pPr>
        <w:spacing w:after="120"/>
      </w:pPr>
      <w:r>
        <w:t xml:space="preserve">Accurate and reliable preparation times keep deliveries on schedule and food fresh.</w:t>
      </w:r>
    </w:p>
    <w:p>
      <w:pPr>
        <w:pStyle w:val="Heading2"/>
        <w:spacing w:after="70" w:before="160"/>
      </w:pPr>
      <w:bookmarkStart w:name="_ztoc_7" w:id="1010"/>
      <w:r>
        <w:rPr>
          <w:b/>
          <w:bCs/>
        </w:rPr>
        <w:t xml:space="preserve">5.1 Expectation</w:t>
      </w:r>
      <w:bookmarkEnd w:id="1010"/>
    </w:p>
    <w:p>
      <w:pPr>
        <w:spacing w:after="120"/>
      </w:pPr>
      <w:r>
        <w:t xml:space="preserve">Restaurant Partners should set realistic preparation times and prepare orders within them. Consistent overruns affect delivery coordination and Customer satisfaction.</w:t>
      </w:r>
    </w:p>
    <w:p>
      <w:pPr>
        <w:pStyle w:val="Heading2"/>
        <w:spacing w:after="70" w:before="160"/>
      </w:pPr>
      <w:bookmarkStart w:name="_ztoc_8" w:id="1011"/>
      <w:r>
        <w:rPr>
          <w:b/>
          <w:bCs/>
        </w:rPr>
        <w:t xml:space="preserve">5.2 Managing Peaks</w:t>
      </w:r>
      <w:bookmarkEnd w:id="1011"/>
    </w:p>
    <w:p>
      <w:pPr>
        <w:spacing w:after="120"/>
      </w:pPr>
      <w:r>
        <w:t xml:space="preserve">During busy periods, Restaurant Partners should adjust preparation times or availability to reflect actual capacity rather than accept orders they cannot prepare on time.</w:t>
      </w:r>
    </w:p>
    <w:p>
      <w:pPr>
        <w:pStyle w:val="Heading1"/>
        <w:spacing w:after="120" w:before="260"/>
      </w:pPr>
      <w:bookmarkStart w:name="_ztoc_9" w:id="1012"/>
      <w:r>
        <w:rPr>
          <w:b/>
          <w:bCs/>
        </w:rPr>
        <w:t xml:space="preserve">6. CANCELLATION LIMITS</w:t>
      </w:r>
      <w:bookmarkEnd w:id="1012"/>
    </w:p>
    <w:p>
      <w:pPr>
        <w:spacing w:after="120"/>
      </w:pPr>
      <w:r>
        <w:t xml:space="preserve">Cancellations by Restaurant Partners should be rare and only for genuine operational reasons.</w:t>
      </w:r>
    </w:p>
    <w:p>
      <w:pPr>
        <w:pStyle w:val="Heading2"/>
        <w:spacing w:after="70" w:before="160"/>
      </w:pPr>
      <w:bookmarkStart w:name="_ztoc_10" w:id="1013"/>
      <w:r>
        <w:rPr>
          <w:b/>
          <w:bCs/>
        </w:rPr>
        <w:t xml:space="preserve">6.1 Permitted Reasons</w:t>
      </w:r>
      <w:bookmarkEnd w:id="1013"/>
    </w:p>
    <w:p>
      <w:pPr>
        <w:spacing w:after="120"/>
      </w:pPr>
      <w:r>
        <w:t xml:space="preserve">Acceptable reasons include item unavailability, kitchen malfunction, restaurant closure, a safety or health emergency, or a Force Majeure Event.</w:t>
      </w:r>
    </w:p>
    <w:p>
      <w:pPr>
        <w:pStyle w:val="Heading2"/>
        <w:spacing w:after="70" w:before="160"/>
      </w:pPr>
      <w:bookmarkStart w:name="_ztoc_11" w:id="1014"/>
      <w:r>
        <w:rPr>
          <w:b/>
          <w:bCs/>
        </w:rPr>
        <w:t xml:space="preserve">6.2 Prohibited Cancellations</w:t>
      </w:r>
      <w:bookmarkEnd w:id="1014"/>
    </w:p>
    <w:p>
      <w:pPr>
        <w:spacing w:after="120"/>
      </w:pPr>
      <w:r>
        <w:t xml:space="preserve">Restaurant Partners must not cancel accepted orders to manipulate availability, pricing, ratings, or Customer experience. Repeated or manipulative cancellations are treated as a serious breach.</w:t>
      </w:r>
    </w:p>
    <w:p>
      <w:pPr>
        <w:pStyle w:val="Heading1"/>
        <w:spacing w:after="120" w:before="260"/>
      </w:pPr>
      <w:bookmarkStart w:name="_ztoc_12" w:id="1015"/>
      <w:r>
        <w:rPr>
          <w:b/>
          <w:bCs/>
        </w:rPr>
        <w:t xml:space="preserve">7. PACKAGING SLA</w:t>
      </w:r>
      <w:bookmarkEnd w:id="1015"/>
    </w:p>
    <w:p>
      <w:pPr>
        <w:spacing w:after="120"/>
      </w:pPr>
      <w:r>
        <w:t xml:space="preserve">Packaging must protect food during transit. Restaurant Partners are expected to seal liquids securely, use appropriate containers, avoid overfilling, and label orders clearly. Packaging failures leading to leaks, spills, or mix-ups are attributable to the Restaurant Partner and may result in refunds deducted from settlements, as set out in the Refund &amp; Cancellation Policy.</w:t>
      </w:r>
    </w:p>
    <w:p>
      <w:pPr>
        <w:pStyle w:val="Heading1"/>
        <w:spacing w:after="120" w:before="260"/>
      </w:pPr>
      <w:bookmarkStart w:name="_ztoc_13" w:id="1016"/>
      <w:r>
        <w:rPr>
          <w:b/>
          <w:bCs/>
        </w:rPr>
        <w:t xml:space="preserve">8. AVAILABILITY</w:t>
      </w:r>
      <w:bookmarkEnd w:id="1016"/>
    </w:p>
    <w:p>
      <w:pPr>
        <w:spacing w:after="120"/>
      </w:pPr>
      <w:r>
        <w:t xml:space="preserve">Restaurant Partners should be open and accepting orders during their stated operating hours and keep availability accurate in real time. Frequent unexpected closures during stated hours, or failure to update availability, degrade Customer experience and are considered in performance assessment.</w:t>
      </w:r>
    </w:p>
    <w:p>
      <w:pPr>
        <w:pStyle w:val="Heading1"/>
        <w:spacing w:after="120" w:before="260"/>
      </w:pPr>
      <w:bookmarkStart w:name="_ztoc_14" w:id="1017"/>
      <w:r>
        <w:rPr>
          <w:b/>
          <w:bCs/>
        </w:rPr>
        <w:t xml:space="preserve">9. SUPPORT RESPONSE</w:t>
      </w:r>
      <w:bookmarkEnd w:id="1017"/>
    </w:p>
    <w:p>
      <w:pPr>
        <w:spacing w:after="120"/>
      </w:pPr>
      <w:r>
        <w:t xml:space="preserve">Zopiq aims to provide timely support to Restaurant Partners, and Restaurant Partners are expected to respond promptly to operational and support communications.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400"/>
        <w:gridCol w:w="5600"/>
      </w:tblGrid>
      <w:tr>
        <w:trPr>
          <w:tblHeader/>
        </w:trPr>
        <w:tc>
          <w:tcPr>
            <w:tcW w:type="dxa" w:w="3400"/>
            <w:shd w:fill="E8E8E8" w:val="clear"/>
            <w:tcMar>
              <w:top w:type="dxa" w:w="60"/>
              <w:left w:type="dxa" w:w="90"/>
              <w:bottom w:type="dxa" w:w="60"/>
              <w:right w:type="dxa" w:w="90"/>
            </w:tcMar>
          </w:tcPr>
          <w:p>
            <w:r>
              <w:rPr>
                <w:b/>
                <w:bCs/>
                <w:sz w:val="20"/>
                <w:szCs w:val="20"/>
              </w:rPr>
              <w:t xml:space="preserve">Interaction</w:t>
            </w:r>
          </w:p>
        </w:tc>
        <w:tc>
          <w:tcPr>
            <w:tcW w:type="dxa" w:w="5600"/>
            <w:shd w:fill="E8E8E8" w:val="clear"/>
            <w:tcMar>
              <w:top w:type="dxa" w:w="60"/>
              <w:left w:type="dxa" w:w="90"/>
              <w:bottom w:type="dxa" w:w="60"/>
              <w:right w:type="dxa" w:w="90"/>
            </w:tcMar>
          </w:tcPr>
          <w:p>
            <w:r>
              <w:rPr>
                <w:b/>
                <w:bCs/>
                <w:sz w:val="20"/>
                <w:szCs w:val="20"/>
              </w:rPr>
              <w:t xml:space="preserve">Target Approach</w:t>
            </w:r>
          </w:p>
        </w:tc>
      </w:tr>
      <w:tr>
        <w:tc>
          <w:tcPr>
            <w:tcW w:type="dxa" w:w="3400"/>
            <w:tcMar>
              <w:top w:type="dxa" w:w="60"/>
              <w:left w:type="dxa" w:w="90"/>
              <w:bottom w:type="dxa" w:w="60"/>
              <w:right w:type="dxa" w:w="90"/>
            </w:tcMar>
          </w:tcPr>
          <w:p>
            <w:r>
              <w:rPr>
                <w:b w:val="false"/>
                <w:bCs w:val="false"/>
                <w:sz w:val="20"/>
                <w:szCs w:val="20"/>
              </w:rPr>
              <w:t xml:space="preserve">Order-related issues (live orders)</w:t>
            </w:r>
          </w:p>
        </w:tc>
        <w:tc>
          <w:tcPr>
            <w:tcW w:type="dxa" w:w="5600"/>
            <w:tcMar>
              <w:top w:type="dxa" w:w="60"/>
              <w:left w:type="dxa" w:w="90"/>
              <w:bottom w:type="dxa" w:w="60"/>
              <w:right w:type="dxa" w:w="90"/>
            </w:tcMar>
          </w:tcPr>
          <w:p>
            <w:r>
              <w:rPr>
                <w:b w:val="false"/>
                <w:bCs w:val="false"/>
                <w:sz w:val="20"/>
                <w:szCs w:val="20"/>
              </w:rPr>
              <w:t xml:space="preserve">Handled with priority to protect the Customer experience.</w:t>
            </w:r>
          </w:p>
        </w:tc>
      </w:tr>
      <w:tr>
        <w:tc>
          <w:tcPr>
            <w:tcW w:type="dxa" w:w="3400"/>
            <w:tcMar>
              <w:top w:type="dxa" w:w="60"/>
              <w:left w:type="dxa" w:w="90"/>
              <w:bottom w:type="dxa" w:w="60"/>
              <w:right w:type="dxa" w:w="90"/>
            </w:tcMar>
          </w:tcPr>
          <w:p>
            <w:r>
              <w:rPr>
                <w:b w:val="false"/>
                <w:bCs w:val="false"/>
                <w:sz w:val="20"/>
                <w:szCs w:val="20"/>
              </w:rPr>
              <w:t xml:space="preserve">Operational queries</w:t>
            </w:r>
          </w:p>
        </w:tc>
        <w:tc>
          <w:tcPr>
            <w:tcW w:type="dxa" w:w="5600"/>
            <w:tcMar>
              <w:top w:type="dxa" w:w="60"/>
              <w:left w:type="dxa" w:w="90"/>
              <w:bottom w:type="dxa" w:w="60"/>
              <w:right w:type="dxa" w:w="90"/>
            </w:tcMar>
          </w:tcPr>
          <w:p>
            <w:r>
              <w:rPr>
                <w:b w:val="false"/>
                <w:bCs w:val="false"/>
                <w:sz w:val="20"/>
                <w:szCs w:val="20"/>
              </w:rPr>
              <w:t xml:space="preserve">Addressed within a reasonable timeframe through support channels.</w:t>
            </w:r>
          </w:p>
        </w:tc>
      </w:tr>
      <w:tr>
        <w:tc>
          <w:tcPr>
            <w:tcW w:type="dxa" w:w="3400"/>
            <w:tcMar>
              <w:top w:type="dxa" w:w="60"/>
              <w:left w:type="dxa" w:w="90"/>
              <w:bottom w:type="dxa" w:w="60"/>
              <w:right w:type="dxa" w:w="90"/>
            </w:tcMar>
          </w:tcPr>
          <w:p>
            <w:r>
              <w:rPr>
                <w:b w:val="false"/>
                <w:bCs w:val="false"/>
                <w:sz w:val="20"/>
                <w:szCs w:val="20"/>
              </w:rPr>
              <w:t xml:space="preserve">Settlement queries</w:t>
            </w:r>
          </w:p>
        </w:tc>
        <w:tc>
          <w:tcPr>
            <w:tcW w:type="dxa" w:w="5600"/>
            <w:tcMar>
              <w:top w:type="dxa" w:w="60"/>
              <w:left w:type="dxa" w:w="90"/>
              <w:bottom w:type="dxa" w:w="60"/>
              <w:right w:type="dxa" w:w="90"/>
            </w:tcMar>
          </w:tcPr>
          <w:p>
            <w:r>
              <w:rPr>
                <w:b w:val="false"/>
                <w:bCs w:val="false"/>
                <w:sz w:val="20"/>
                <w:szCs w:val="20"/>
              </w:rPr>
              <w:t xml:space="preserve">Investigated and reconciled in line with the settlement process.</w:t>
            </w:r>
          </w:p>
        </w:tc>
      </w:tr>
      <w:tr>
        <w:tc>
          <w:tcPr>
            <w:tcW w:type="dxa" w:w="3400"/>
            <w:tcMar>
              <w:top w:type="dxa" w:w="60"/>
              <w:left w:type="dxa" w:w="90"/>
              <w:bottom w:type="dxa" w:w="60"/>
              <w:right w:type="dxa" w:w="90"/>
            </w:tcMar>
          </w:tcPr>
          <w:p>
            <w:r>
              <w:rPr>
                <w:b w:val="false"/>
                <w:bCs w:val="false"/>
                <w:sz w:val="20"/>
                <w:szCs w:val="20"/>
              </w:rPr>
              <w:t xml:space="preserve">Restaurant responsiveness</w:t>
            </w:r>
          </w:p>
        </w:tc>
        <w:tc>
          <w:tcPr>
            <w:tcW w:type="dxa" w:w="5600"/>
            <w:tcMar>
              <w:top w:type="dxa" w:w="60"/>
              <w:left w:type="dxa" w:w="90"/>
              <w:bottom w:type="dxa" w:w="60"/>
              <w:right w:type="dxa" w:w="90"/>
            </w:tcMar>
          </w:tcPr>
          <w:p>
            <w:r>
              <w:rPr>
                <w:b w:val="false"/>
                <w:bCs w:val="false"/>
                <w:sz w:val="20"/>
                <w:szCs w:val="20"/>
              </w:rPr>
              <w:t xml:space="preserve">Restaurant Partners should respond promptly to alerts affecting live orders.</w:t>
            </w:r>
          </w:p>
        </w:tc>
      </w:tr>
    </w:tbl>
    <w:p>
      <w:pPr>
        <w:spacing w:after="120"/>
      </w:pPr>
    </w:p>
    <w:p>
      <w:pPr>
        <w:spacing w:after="120"/>
      </w:pPr>
      <w:r>
        <w:t xml:space="preserve">Support targets are service goals and may vary with volume and complexity; they do not create a guarantee.</w:t>
      </w:r>
    </w:p>
    <w:p>
      <w:pPr>
        <w:pStyle w:val="Heading1"/>
        <w:spacing w:after="120" w:before="260"/>
      </w:pPr>
      <w:bookmarkStart w:name="_ztoc_15" w:id="1018"/>
      <w:r>
        <w:rPr>
          <w:b/>
          <w:bCs/>
        </w:rPr>
        <w:t xml:space="preserve">10. PERFORMANCE MONITORING</w:t>
      </w:r>
      <w:bookmarkEnd w:id="1018"/>
    </w:p>
    <w:p>
      <w:pPr>
        <w:spacing w:after="120"/>
      </w:pPr>
      <w:r>
        <w:t xml:space="preserve">Zopiq monitors performance across the metrics in this SLA using data from the Platform.</w:t>
      </w:r>
    </w:p>
    <w:p>
      <w:pPr>
        <w:pStyle w:val="Heading2"/>
        <w:spacing w:after="70" w:before="160"/>
      </w:pPr>
      <w:bookmarkStart w:name="_ztoc_16" w:id="1019"/>
      <w:r>
        <w:rPr>
          <w:b/>
          <w:bCs/>
        </w:rPr>
        <w:t xml:space="preserve">10.1 Visibility</w:t>
      </w:r>
      <w:bookmarkEnd w:id="1019"/>
    </w:p>
    <w:p>
      <w:pPr>
        <w:spacing w:after="120"/>
      </w:pPr>
      <w:r>
        <w:t xml:space="preserve">Restaurant Partners can view relevant performance metrics through the Restaurant Partner Application, along with operational insights such as order volumes, peak times, and average preparation times.</w:t>
      </w:r>
    </w:p>
    <w:p>
      <w:pPr>
        <w:pStyle w:val="Heading2"/>
        <w:spacing w:after="70" w:before="160"/>
      </w:pPr>
      <w:bookmarkStart w:name="_ztoc_17" w:id="1020"/>
      <w:r>
        <w:rPr>
          <w:b/>
          <w:bCs/>
        </w:rPr>
        <w:t xml:space="preserve">10.2 Assessment</w:t>
      </w:r>
      <w:bookmarkEnd w:id="1020"/>
    </w:p>
    <w:p>
      <w:pPr>
        <w:spacing w:after="120"/>
      </w:pPr>
      <w:r>
        <w:t xml:space="preserve">Metrics are assessed over the Measurement Period, taking into account genuine operational context. Isolated issues are treated differently from persistent underperformance.</w:t>
      </w:r>
    </w:p>
    <w:p>
      <w:pPr>
        <w:pStyle w:val="Heading1"/>
        <w:spacing w:after="120" w:before="260"/>
      </w:pPr>
      <w:bookmarkStart w:name="_ztoc_18" w:id="1021"/>
      <w:r>
        <w:rPr>
          <w:b/>
          <w:bCs/>
        </w:rPr>
        <w:t xml:space="preserve">11. PENALTY FRAMEWORK</w:t>
      </w:r>
      <w:bookmarkEnd w:id="1021"/>
    </w:p>
    <w:p>
      <w:pPr>
        <w:spacing w:after="120"/>
      </w:pPr>
      <w:r>
        <w:t xml:space="preserve">Where performance falls below expectations, Zopiq may apply proportionate consequences that escalate with severity and frequency.</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800"/>
        <w:gridCol w:w="4000"/>
        <w:gridCol w:w="3200"/>
      </w:tblGrid>
      <w:tr>
        <w:trPr>
          <w:tblHeader/>
        </w:trPr>
        <w:tc>
          <w:tcPr>
            <w:tcW w:type="dxa" w:w="1800"/>
            <w:shd w:fill="E8E8E8" w:val="clear"/>
            <w:tcMar>
              <w:top w:type="dxa" w:w="60"/>
              <w:left w:type="dxa" w:w="90"/>
              <w:bottom w:type="dxa" w:w="60"/>
              <w:right w:type="dxa" w:w="90"/>
            </w:tcMar>
          </w:tcPr>
          <w:p>
            <w:r>
              <w:rPr>
                <w:b/>
                <w:bCs/>
                <w:sz w:val="20"/>
                <w:szCs w:val="20"/>
              </w:rPr>
              <w:t xml:space="preserve">Stage</w:t>
            </w:r>
          </w:p>
        </w:tc>
        <w:tc>
          <w:tcPr>
            <w:tcW w:type="dxa" w:w="4000"/>
            <w:shd w:fill="E8E8E8" w:val="clear"/>
            <w:tcMar>
              <w:top w:type="dxa" w:w="60"/>
              <w:left w:type="dxa" w:w="90"/>
              <w:bottom w:type="dxa" w:w="60"/>
              <w:right w:type="dxa" w:w="90"/>
            </w:tcMar>
          </w:tcPr>
          <w:p>
            <w:r>
              <w:rPr>
                <w:b/>
                <w:bCs/>
                <w:sz w:val="20"/>
                <w:szCs w:val="20"/>
              </w:rPr>
              <w:t xml:space="preserve">Typical Trigger</w:t>
            </w:r>
          </w:p>
        </w:tc>
        <w:tc>
          <w:tcPr>
            <w:tcW w:type="dxa" w:w="3200"/>
            <w:shd w:fill="E8E8E8" w:val="clear"/>
            <w:tcMar>
              <w:top w:type="dxa" w:w="60"/>
              <w:left w:type="dxa" w:w="90"/>
              <w:bottom w:type="dxa" w:w="60"/>
              <w:right w:type="dxa" w:w="90"/>
            </w:tcMar>
          </w:tcPr>
          <w:p>
            <w:r>
              <w:rPr>
                <w:b/>
                <w:bCs/>
                <w:sz w:val="20"/>
                <w:szCs w:val="20"/>
              </w:rPr>
              <w:t xml:space="preserve">Consequence</w:t>
            </w:r>
          </w:p>
        </w:tc>
      </w:tr>
      <w:tr>
        <w:tc>
          <w:tcPr>
            <w:tcW w:type="dxa" w:w="1800"/>
            <w:tcMar>
              <w:top w:type="dxa" w:w="60"/>
              <w:left w:type="dxa" w:w="90"/>
              <w:bottom w:type="dxa" w:w="60"/>
              <w:right w:type="dxa" w:w="90"/>
            </w:tcMar>
          </w:tcPr>
          <w:p>
            <w:r>
              <w:rPr>
                <w:b w:val="false"/>
                <w:bCs w:val="false"/>
                <w:sz w:val="20"/>
                <w:szCs w:val="20"/>
              </w:rPr>
              <w:t xml:space="preserve">Guidance</w:t>
            </w:r>
          </w:p>
        </w:tc>
        <w:tc>
          <w:tcPr>
            <w:tcW w:type="dxa" w:w="4000"/>
            <w:tcMar>
              <w:top w:type="dxa" w:w="60"/>
              <w:left w:type="dxa" w:w="90"/>
              <w:bottom w:type="dxa" w:w="60"/>
              <w:right w:type="dxa" w:w="90"/>
            </w:tcMar>
          </w:tcPr>
          <w:p>
            <w:r>
              <w:rPr>
                <w:b w:val="false"/>
                <w:bCs w:val="false"/>
                <w:sz w:val="20"/>
                <w:szCs w:val="20"/>
              </w:rPr>
              <w:t xml:space="preserve">First or minor shortfall.</w:t>
            </w:r>
          </w:p>
        </w:tc>
        <w:tc>
          <w:tcPr>
            <w:tcW w:type="dxa" w:w="3200"/>
            <w:tcMar>
              <w:top w:type="dxa" w:w="60"/>
              <w:left w:type="dxa" w:w="90"/>
              <w:bottom w:type="dxa" w:w="60"/>
              <w:right w:type="dxa" w:w="90"/>
            </w:tcMar>
          </w:tcPr>
          <w:p>
            <w:r>
              <w:rPr>
                <w:b w:val="false"/>
                <w:bCs w:val="false"/>
                <w:sz w:val="20"/>
                <w:szCs w:val="20"/>
              </w:rPr>
              <w:t xml:space="preserve">Feedback and improvement guidance.</w:t>
            </w:r>
          </w:p>
        </w:tc>
      </w:tr>
      <w:tr>
        <w:tc>
          <w:tcPr>
            <w:tcW w:type="dxa" w:w="1800"/>
            <w:tcMar>
              <w:top w:type="dxa" w:w="60"/>
              <w:left w:type="dxa" w:w="90"/>
              <w:bottom w:type="dxa" w:w="60"/>
              <w:right w:type="dxa" w:w="90"/>
            </w:tcMar>
          </w:tcPr>
          <w:p>
            <w:r>
              <w:rPr>
                <w:b w:val="false"/>
                <w:bCs w:val="false"/>
                <w:sz w:val="20"/>
                <w:szCs w:val="20"/>
              </w:rPr>
              <w:t xml:space="preserve">Warning</w:t>
            </w:r>
          </w:p>
        </w:tc>
        <w:tc>
          <w:tcPr>
            <w:tcW w:type="dxa" w:w="4000"/>
            <w:tcMar>
              <w:top w:type="dxa" w:w="60"/>
              <w:left w:type="dxa" w:w="90"/>
              <w:bottom w:type="dxa" w:w="60"/>
              <w:right w:type="dxa" w:w="90"/>
            </w:tcMar>
          </w:tcPr>
          <w:p>
            <w:r>
              <w:rPr>
                <w:b w:val="false"/>
                <w:bCs w:val="false"/>
                <w:sz w:val="20"/>
                <w:szCs w:val="20"/>
              </w:rPr>
              <w:t xml:space="preserve">Continued shortfall after guidance.</w:t>
            </w:r>
          </w:p>
        </w:tc>
        <w:tc>
          <w:tcPr>
            <w:tcW w:type="dxa" w:w="3200"/>
            <w:tcMar>
              <w:top w:type="dxa" w:w="60"/>
              <w:left w:type="dxa" w:w="90"/>
              <w:bottom w:type="dxa" w:w="60"/>
              <w:right w:type="dxa" w:w="90"/>
            </w:tcMar>
          </w:tcPr>
          <w:p>
            <w:r>
              <w:rPr>
                <w:b w:val="false"/>
                <w:bCs w:val="false"/>
                <w:sz w:val="20"/>
                <w:szCs w:val="20"/>
              </w:rPr>
              <w:t xml:space="preserve">Formal warning and improvement expectation.</w:t>
            </w:r>
          </w:p>
        </w:tc>
      </w:tr>
      <w:tr>
        <w:tc>
          <w:tcPr>
            <w:tcW w:type="dxa" w:w="1800"/>
            <w:tcMar>
              <w:top w:type="dxa" w:w="60"/>
              <w:left w:type="dxa" w:w="90"/>
              <w:bottom w:type="dxa" w:w="60"/>
              <w:right w:type="dxa" w:w="90"/>
            </w:tcMar>
          </w:tcPr>
          <w:p>
            <w:r>
              <w:rPr>
                <w:b w:val="false"/>
                <w:bCs w:val="false"/>
                <w:sz w:val="20"/>
                <w:szCs w:val="20"/>
              </w:rPr>
              <w:t xml:space="preserve">Reduced visibility</w:t>
            </w:r>
          </w:p>
        </w:tc>
        <w:tc>
          <w:tcPr>
            <w:tcW w:type="dxa" w:w="4000"/>
            <w:tcMar>
              <w:top w:type="dxa" w:w="60"/>
              <w:left w:type="dxa" w:w="90"/>
              <w:bottom w:type="dxa" w:w="60"/>
              <w:right w:type="dxa" w:w="90"/>
            </w:tcMar>
          </w:tcPr>
          <w:p>
            <w:r>
              <w:rPr>
                <w:b w:val="false"/>
                <w:bCs w:val="false"/>
                <w:sz w:val="20"/>
                <w:szCs w:val="20"/>
              </w:rPr>
              <w:t xml:space="preserve">Persistent underperformance.</w:t>
            </w:r>
          </w:p>
        </w:tc>
        <w:tc>
          <w:tcPr>
            <w:tcW w:type="dxa" w:w="3200"/>
            <w:tcMar>
              <w:top w:type="dxa" w:w="60"/>
              <w:left w:type="dxa" w:w="90"/>
              <w:bottom w:type="dxa" w:w="60"/>
              <w:right w:type="dxa" w:w="90"/>
            </w:tcMar>
          </w:tcPr>
          <w:p>
            <w:r>
              <w:rPr>
                <w:b w:val="false"/>
                <w:bCs w:val="false"/>
                <w:sz w:val="20"/>
                <w:szCs w:val="20"/>
              </w:rPr>
              <w:t xml:space="preserve">Temporary reduction in Platform visibility.</w:t>
            </w:r>
          </w:p>
        </w:tc>
      </w:tr>
      <w:tr>
        <w:tc>
          <w:tcPr>
            <w:tcW w:type="dxa" w:w="1800"/>
            <w:tcMar>
              <w:top w:type="dxa" w:w="60"/>
              <w:left w:type="dxa" w:w="90"/>
              <w:bottom w:type="dxa" w:w="60"/>
              <w:right w:type="dxa" w:w="90"/>
            </w:tcMar>
          </w:tcPr>
          <w:p>
            <w:r>
              <w:rPr>
                <w:b w:val="false"/>
                <w:bCs w:val="false"/>
                <w:sz w:val="20"/>
                <w:szCs w:val="20"/>
              </w:rPr>
              <w:t xml:space="preserve">Suspension</w:t>
            </w:r>
          </w:p>
        </w:tc>
        <w:tc>
          <w:tcPr>
            <w:tcW w:type="dxa" w:w="4000"/>
            <w:tcMar>
              <w:top w:type="dxa" w:w="60"/>
              <w:left w:type="dxa" w:w="90"/>
              <w:bottom w:type="dxa" w:w="60"/>
              <w:right w:type="dxa" w:w="90"/>
            </w:tcMar>
          </w:tcPr>
          <w:p>
            <w:r>
              <w:rPr>
                <w:b w:val="false"/>
                <w:bCs w:val="false"/>
                <w:sz w:val="20"/>
                <w:szCs w:val="20"/>
              </w:rPr>
              <w:t xml:space="preserve">Serious or repeated breaches.</w:t>
            </w:r>
          </w:p>
        </w:tc>
        <w:tc>
          <w:tcPr>
            <w:tcW w:type="dxa" w:w="3200"/>
            <w:tcMar>
              <w:top w:type="dxa" w:w="60"/>
              <w:left w:type="dxa" w:w="90"/>
              <w:bottom w:type="dxa" w:w="60"/>
              <w:right w:type="dxa" w:w="90"/>
            </w:tcMar>
          </w:tcPr>
          <w:p>
            <w:r>
              <w:rPr>
                <w:b w:val="false"/>
                <w:bCs w:val="false"/>
                <w:sz w:val="20"/>
                <w:szCs w:val="20"/>
              </w:rPr>
              <w:t xml:space="preserve">Temporary suspension pending improvement or review.</w:t>
            </w:r>
          </w:p>
        </w:tc>
      </w:tr>
      <w:tr>
        <w:tc>
          <w:tcPr>
            <w:tcW w:type="dxa" w:w="1800"/>
            <w:tcMar>
              <w:top w:type="dxa" w:w="60"/>
              <w:left w:type="dxa" w:w="90"/>
              <w:bottom w:type="dxa" w:w="60"/>
              <w:right w:type="dxa" w:w="90"/>
            </w:tcMar>
          </w:tcPr>
          <w:p>
            <w:r>
              <w:rPr>
                <w:b w:val="false"/>
                <w:bCs w:val="false"/>
                <w:sz w:val="20"/>
                <w:szCs w:val="20"/>
              </w:rPr>
              <w:t xml:space="preserve">Removal</w:t>
            </w:r>
          </w:p>
        </w:tc>
        <w:tc>
          <w:tcPr>
            <w:tcW w:type="dxa" w:w="4000"/>
            <w:tcMar>
              <w:top w:type="dxa" w:w="60"/>
              <w:left w:type="dxa" w:w="90"/>
              <w:bottom w:type="dxa" w:w="60"/>
              <w:right w:type="dxa" w:w="90"/>
            </w:tcMar>
          </w:tcPr>
          <w:p>
            <w:r>
              <w:rPr>
                <w:b w:val="false"/>
                <w:bCs w:val="false"/>
                <w:sz w:val="20"/>
                <w:szCs w:val="20"/>
              </w:rPr>
              <w:t xml:space="preserve">Severe or persistent breaches; manipulation; safety issues.</w:t>
            </w:r>
          </w:p>
        </w:tc>
        <w:tc>
          <w:tcPr>
            <w:tcW w:type="dxa" w:w="3200"/>
            <w:tcMar>
              <w:top w:type="dxa" w:w="60"/>
              <w:left w:type="dxa" w:w="90"/>
              <w:bottom w:type="dxa" w:w="60"/>
              <w:right w:type="dxa" w:w="90"/>
            </w:tcMar>
          </w:tcPr>
          <w:p>
            <w:r>
              <w:rPr>
                <w:b w:val="false"/>
                <w:bCs w:val="false"/>
                <w:sz w:val="20"/>
                <w:szCs w:val="20"/>
              </w:rPr>
              <w:t xml:space="preserve">Permanent removal from the Platform.</w:t>
            </w:r>
          </w:p>
        </w:tc>
      </w:tr>
    </w:tbl>
    <w:p>
      <w:pPr>
        <w:spacing w:after="120"/>
      </w:pPr>
    </w:p>
    <w:p>
      <w:pPr>
        <w:spacing w:after="120"/>
      </w:pPr>
      <w:r>
        <w:t xml:space="preserve">For serious risks to Customers, food safety, or Platform integrity, Zopiq may suspend or remove a Restaurant Partner immediately, consistent with the Restaurant Partner Agreement.</w:t>
      </w:r>
    </w:p>
    <w:p>
      <w:pPr>
        <w:pStyle w:val="Heading1"/>
        <w:spacing w:after="120" w:before="260"/>
      </w:pPr>
      <w:bookmarkStart w:name="_ztoc_19" w:id="1022"/>
      <w:r>
        <w:rPr>
          <w:b/>
          <w:bCs/>
        </w:rPr>
        <w:t xml:space="preserve">12. IMPROVEMENT AND REVIEW</w:t>
      </w:r>
      <w:bookmarkEnd w:id="1022"/>
    </w:p>
    <w:p>
      <w:pPr>
        <w:spacing w:after="120"/>
      </w:pPr>
      <w:r>
        <w:t xml:space="preserve">Restaurant Partners subject to a consequence may improve their metrics over subsequent Measurement Periods and request review. Zopiq will consider improvement and relevant context when reviewing standing. Nothing in this SLA limits Zopiq’s rights under the Restaurant Partner Agreement or applicable law.</w:t>
      </w:r>
    </w:p>
    <w:p>
      <w:pPr>
        <w:pStyle w:val="Heading1"/>
        <w:spacing w:after="120" w:before="260"/>
      </w:pPr>
      <w:bookmarkStart w:name="_ztoc_20" w:id="1023"/>
      <w:r>
        <w:rPr>
          <w:b/>
          <w:bCs/>
        </w:rPr>
        <w:t xml:space="preserve">13. CHANGES TO THIS SLA</w:t>
      </w:r>
      <w:bookmarkEnd w:id="1023"/>
    </w:p>
    <w:p>
      <w:pPr>
        <w:spacing w:after="120"/>
      </w:pPr>
      <w:r>
        <w:t xml:space="preserve">Zopiq may update this SLA and its thresholds prospectively to reflect operational needs, with reasonable notice to Restaurant Partners. Continued participation after the effective date constitutes acceptance of the updated SLA.</w:t>
      </w:r>
    </w:p>
    <w:p>
      <w:pPr>
        <w:pStyle w:val="Heading1"/>
        <w:spacing w:after="120" w:before="260"/>
      </w:pPr>
      <w:bookmarkStart w:name="_ztoc_21" w:id="1024"/>
      <w:r>
        <w:rPr>
          <w:b/>
          <w:bCs/>
        </w:rPr>
        <w:t xml:space="preserve">14. CONTACT INFORMATION</w:t>
      </w:r>
      <w:bookmarkEnd w:id="1024"/>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Merchant Service Level Agreement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Merchant Service Level Agreement</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Merchant Service Level Agreement</dc:title>
  <dc:creator>Hybrid Monks LLP</dc:creator>
  <cp:lastModifiedBy>Un-named</cp:lastModifiedBy>
  <cp:revision>1</cp:revision>
  <dcterms:created xsi:type="dcterms:W3CDTF">2026-08-16T16:37:28.092Z</dcterms:created>
  <dcterms:modified xsi:type="dcterms:W3CDTF">2026-08-16T16:37:28.094Z</dcterms:modified>
</cp:coreProperties>
</file>

<file path=docProps/custom.xml><?xml version="1.0" encoding="utf-8"?>
<Properties xmlns="http://schemas.openxmlformats.org/officeDocument/2006/custom-properties" xmlns:vt="http://schemas.openxmlformats.org/officeDocument/2006/docPropsVTypes"/>
</file>