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a1a1a"/>
          <w:sz w:val="56"/>
          <w:szCs w:val="56"/>
        </w:rPr>
        <w:t xml:space="preserve">ZOPIQ</w:t>
      </w:r>
    </w:p>
    <w:p>
      <w:pPr>
        <w:spacing w:after="600"/>
        <w:jc w:val="center"/>
      </w:pPr>
      <w:r>
        <w:rPr>
          <w:color w:val="666666"/>
          <w:sz w:val="24"/>
          <w:szCs w:val="24"/>
        </w:rPr>
        <w:t xml:space="preserve">Legal &amp; Operational Documentation</w:t>
      </w:r>
    </w:p>
    <w:p>
      <w:pPr>
        <w:pBdr>
          <w:bottom w:val="single" w:color="CCCCCC" w:sz="6" w:space="4"/>
        </w:pBdr>
        <w:spacing w:after="400"/>
        <w:jc w:val="center"/>
      </w:pPr>
    </w:p>
    <w:p>
      <w:pPr>
        <w:spacing w:after="120"/>
        <w:jc w:val="center"/>
      </w:pPr>
      <w:r>
        <w:rPr>
          <w:b/>
          <w:bCs/>
          <w:sz w:val="40"/>
          <w:szCs w:val="40"/>
        </w:rPr>
        <w:t xml:space="preserve">GRIEVANCE REDRESSAL POLICY</w:t>
      </w:r>
    </w:p>
    <w:p>
      <w:pPr>
        <w:spacing w:after="400"/>
        <w:jc w:val="center"/>
      </w:pPr>
      <w:r>
        <w:rPr>
          <w:color w:val="444444"/>
          <w:sz w:val="24"/>
          <w:szCs w:val="24"/>
        </w:rPr>
        <w:t xml:space="preserve">Complaints, Escalation, and Resolution</w:t>
      </w:r>
    </w:p>
    <w:p>
      <w:pPr>
        <w:pBdr>
          <w:bottom w:val="single" w:color="CCCCCC" w:sz="6" w:space="4"/>
        </w:pBdr>
        <w:spacing w:after="400" w:before="400"/>
        <w:jc w:val="center"/>
      </w:pPr>
    </w:p>
    <w:p>
      <w:pPr>
        <w:spacing w:after="60"/>
        <w:jc w:val="center"/>
      </w:pPr>
      <w:r>
        <w:rPr>
          <w:b/>
          <w:bCs/>
          <w:color w:val="555555"/>
          <w:sz w:val="20"/>
          <w:szCs w:val="20"/>
        </w:rPr>
        <w:t xml:space="preserve">Document:  </w:t>
      </w:r>
      <w:r>
        <w:rPr>
          <w:sz w:val="20"/>
          <w:szCs w:val="20"/>
        </w:rPr>
        <w:t xml:space="preserve">ZOPIQ-LEGAL-08</w:t>
      </w:r>
    </w:p>
    <w:p>
      <w:pPr>
        <w:spacing w:after="60"/>
        <w:jc w:val="center"/>
      </w:pPr>
      <w:r>
        <w:rPr>
          <w:b/>
          <w:bCs/>
          <w:color w:val="555555"/>
          <w:sz w:val="20"/>
          <w:szCs w:val="20"/>
        </w:rPr>
        <w:t xml:space="preserve">Version:  </w:t>
      </w:r>
      <w:r>
        <w:rPr>
          <w:sz w:val="20"/>
          <w:szCs w:val="20"/>
        </w:rPr>
        <w:t xml:space="preserve">1.0</w:t>
      </w:r>
    </w:p>
    <w:p>
      <w:pPr>
        <w:spacing w:after="60"/>
        <w:jc w:val="center"/>
      </w:pPr>
      <w:r>
        <w:rPr>
          <w:b/>
          <w:bCs/>
          <w:color w:val="555555"/>
          <w:sz w:val="20"/>
          <w:szCs w:val="20"/>
        </w:rPr>
        <w:t xml:space="preserve">Status:  </w:t>
      </w:r>
      <w:r>
        <w:rPr>
          <w:sz w:val="20"/>
          <w:szCs w:val="20"/>
        </w:rPr>
        <w:t xml:space="preserve">Publication-Ready</w:t>
      </w:r>
    </w:p>
    <w:p>
      <w:pPr>
        <w:spacing w:after="60"/>
        <w:jc w:val="center"/>
      </w:pPr>
      <w:r>
        <w:rPr>
          <w:b/>
          <w:bCs/>
          <w:color w:val="555555"/>
          <w:sz w:val="20"/>
          <w:szCs w:val="20"/>
        </w:rPr>
        <w:t xml:space="preserve">Effective Date:  </w:t>
      </w:r>
      <w:r>
        <w:rPr>
          <w:sz w:val="20"/>
          <w:szCs w:val="20"/>
        </w:rPr>
        <w:t xml:space="preserve">[To be inserted on launch]</w:t>
      </w:r>
    </w:p>
    <w:p>
      <w:pPr>
        <w:spacing w:after="60"/>
        <w:jc w:val="center"/>
      </w:pPr>
      <w:r>
        <w:rPr>
          <w:b/>
          <w:bCs/>
          <w:color w:val="555555"/>
          <w:sz w:val="20"/>
          <w:szCs w:val="20"/>
        </w:rPr>
        <w:t xml:space="preserve">Owner:  </w:t>
      </w:r>
      <w:r>
        <w:rPr>
          <w:sz w:val="20"/>
          <w:szCs w:val="20"/>
        </w:rPr>
        <w:t xml:space="preserve">Hybrid Monks LLP (Zopiq)</w:t>
      </w:r>
    </w:p>
    <w:p>
      <w:pPr>
        <w:spacing w:after="40" w:before="1400"/>
        <w:jc w:val="center"/>
      </w:pPr>
      <w:r>
        <w:rPr>
          <w:b/>
          <w:bCs/>
          <w:sz w:val="22"/>
          <w:szCs w:val="22"/>
        </w:rPr>
        <w:t xml:space="preserve">Hybrid Monks LLP</w:t>
      </w:r>
    </w:p>
    <w:p>
      <w:pPr>
        <w:spacing w:after="40"/>
        <w:jc w:val="center"/>
      </w:pPr>
      <w:r>
        <w:rPr>
          <w:color w:val="666666"/>
          <w:sz w:val="18"/>
          <w:szCs w:val="18"/>
        </w:rPr>
        <w:t xml:space="preserve">C/O Meena Dev, Main Road, Sadri, Rajasthan – 306702, India</w:t>
      </w:r>
    </w:p>
    <w:p>
      <w:pPr>
        <w:spacing w:after="40"/>
        <w:jc w:val="center"/>
      </w:pPr>
      <w:r>
        <w:rPr>
          <w:color w:val="666666"/>
          <w:sz w:val="18"/>
          <w:szCs w:val="18"/>
        </w:rPr>
        <w:t xml:space="preserve">hello@hybridmonks.com  |  +91 96608 77411  |  GSTIN: 08AATFH7649R1Z2</w:t>
      </w:r>
    </w:p>
    <w:p>
      <w:r>
        <w:br w:type="page"/>
      </w:r>
    </w:p>
    <w:p>
      <w:pPr>
        <w:pStyle w:val="Heading1"/>
        <w:spacing w:after="120" w:before="260"/>
      </w:pPr>
      <w:bookmarkStart w:name="_ztoc_17" w:id="1001"/>
      <w:r>
        <w:rPr>
          <w:b/>
          <w:bCs/>
        </w:rPr>
        <w:t xml:space="preserve">Document Control &amp; Version History</w:t>
      </w:r>
      <w:bookmarkEnd w:id="1001"/>
    </w:p>
    <w:p>
      <w:pPr>
        <w:spacing w:after="120"/>
      </w:pPr>
      <w:r>
        <w:t xml:space="preserve">This document is maintained under version control. Any material amendment will be recorded in the table below and reflected in the version number and effective date on the cover page.</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1200"/>
        <w:gridCol w:w="1600"/>
        <w:gridCol w:w="4560"/>
        <w:gridCol w:w="2000"/>
      </w:tblGrid>
      <w:tr>
        <w:trPr>
          <w:tblHeader/>
        </w:trPr>
        <w:tc>
          <w:tcPr>
            <w:tcW w:type="dxa" w:w="1200"/>
            <w:shd w:fill="E8E8E8" w:val="clear"/>
            <w:tcMar>
              <w:top w:type="dxa" w:w="60"/>
              <w:left w:type="dxa" w:w="90"/>
              <w:bottom w:type="dxa" w:w="60"/>
              <w:right w:type="dxa" w:w="90"/>
            </w:tcMar>
          </w:tcPr>
          <w:p>
            <w:r>
              <w:rPr>
                <w:b/>
                <w:bCs/>
                <w:sz w:val="20"/>
                <w:szCs w:val="20"/>
              </w:rPr>
              <w:t xml:space="preserve">Version</w:t>
            </w:r>
          </w:p>
        </w:tc>
        <w:tc>
          <w:tcPr>
            <w:tcW w:type="dxa" w:w="1600"/>
            <w:shd w:fill="E8E8E8" w:val="clear"/>
            <w:tcMar>
              <w:top w:type="dxa" w:w="60"/>
              <w:left w:type="dxa" w:w="90"/>
              <w:bottom w:type="dxa" w:w="60"/>
              <w:right w:type="dxa" w:w="90"/>
            </w:tcMar>
          </w:tcPr>
          <w:p>
            <w:r>
              <w:rPr>
                <w:b/>
                <w:bCs/>
                <w:sz w:val="20"/>
                <w:szCs w:val="20"/>
              </w:rPr>
              <w:t xml:space="preserve">Date</w:t>
            </w:r>
          </w:p>
        </w:tc>
        <w:tc>
          <w:tcPr>
            <w:tcW w:type="dxa" w:w="4560"/>
            <w:shd w:fill="E8E8E8" w:val="clear"/>
            <w:tcMar>
              <w:top w:type="dxa" w:w="60"/>
              <w:left w:type="dxa" w:w="90"/>
              <w:bottom w:type="dxa" w:w="60"/>
              <w:right w:type="dxa" w:w="90"/>
            </w:tcMar>
          </w:tcPr>
          <w:p>
            <w:r>
              <w:rPr>
                <w:b/>
                <w:bCs/>
                <w:sz w:val="20"/>
                <w:szCs w:val="20"/>
              </w:rPr>
              <w:t xml:space="preserve">Summary of Changes</w:t>
            </w:r>
          </w:p>
        </w:tc>
        <w:tc>
          <w:tcPr>
            <w:tcW w:type="dxa" w:w="2000"/>
            <w:shd w:fill="E8E8E8" w:val="clear"/>
            <w:tcMar>
              <w:top w:type="dxa" w:w="60"/>
              <w:left w:type="dxa" w:w="90"/>
              <w:bottom w:type="dxa" w:w="60"/>
              <w:right w:type="dxa" w:w="90"/>
            </w:tcMar>
          </w:tcPr>
          <w:p>
            <w:r>
              <w:rPr>
                <w:b/>
                <w:bCs/>
                <w:sz w:val="20"/>
                <w:szCs w:val="20"/>
              </w:rPr>
              <w:t xml:space="preserve">Approved By</w:t>
            </w:r>
          </w:p>
        </w:tc>
      </w:tr>
      <w:tr>
        <w:tc>
          <w:tcPr>
            <w:tcW w:type="dxa" w:w="1200"/>
            <w:tcMar>
              <w:top w:type="dxa" w:w="60"/>
              <w:left w:type="dxa" w:w="90"/>
              <w:bottom w:type="dxa" w:w="60"/>
              <w:right w:type="dxa" w:w="90"/>
            </w:tcMar>
          </w:tcPr>
          <w:p>
            <w:r>
              <w:rPr>
                <w:b w:val="false"/>
                <w:bCs w:val="false"/>
                <w:sz w:val="20"/>
                <w:szCs w:val="20"/>
              </w:rPr>
              <w:t xml:space="preserve">1.0</w:t>
            </w:r>
          </w:p>
        </w:tc>
        <w:tc>
          <w:tcPr>
            <w:tcW w:type="dxa" w:w="1600"/>
            <w:tcMar>
              <w:top w:type="dxa" w:w="60"/>
              <w:left w:type="dxa" w:w="90"/>
              <w:bottom w:type="dxa" w:w="60"/>
              <w:right w:type="dxa" w:w="90"/>
            </w:tcMar>
          </w:tcPr>
          <w:p>
            <w:r>
              <w:rPr>
                <w:b w:val="false"/>
                <w:bCs w:val="false"/>
                <w:sz w:val="20"/>
                <w:szCs w:val="20"/>
              </w:rPr>
              <w:t xml:space="preserve">[Launch Date]</w:t>
            </w:r>
          </w:p>
        </w:tc>
        <w:tc>
          <w:tcPr>
            <w:tcW w:type="dxa" w:w="4560"/>
            <w:tcMar>
              <w:top w:type="dxa" w:w="60"/>
              <w:left w:type="dxa" w:w="90"/>
              <w:bottom w:type="dxa" w:w="60"/>
              <w:right w:type="dxa" w:w="90"/>
            </w:tcMar>
          </w:tcPr>
          <w:p>
            <w:r>
              <w:rPr>
                <w:b w:val="false"/>
                <w:bCs w:val="false"/>
                <w:sz w:val="20"/>
                <w:szCs w:val="20"/>
              </w:rPr>
              <w:t xml:space="preserve">Initial publication-ready version.</w:t>
            </w:r>
          </w:p>
        </w:tc>
        <w:tc>
          <w:tcPr>
            <w:tcW w:type="dxa" w:w="2000"/>
            <w:tcMar>
              <w:top w:type="dxa" w:w="60"/>
              <w:left w:type="dxa" w:w="90"/>
              <w:bottom w:type="dxa" w:w="60"/>
              <w:right w:type="dxa" w:w="90"/>
            </w:tcMar>
          </w:tcPr>
          <w:p>
            <w:r>
              <w:rPr>
                <w:b w:val="false"/>
                <w:bCs w:val="false"/>
                <w:sz w:val="20"/>
                <w:szCs w:val="20"/>
              </w:rPr>
              <w:t xml:space="preserve">Hybrid Monks LLP</w:t>
            </w:r>
          </w:p>
        </w:tc>
      </w:tr>
    </w:tbl>
    <w:p>
      <w:pPr>
        <w:spacing w:after="120"/>
      </w:pPr>
    </w:p>
    <w:p>
      <w:r>
        <w:br w:type="page"/>
      </w:r>
    </w:p>
    <w:p>
      <w:pPr>
        <w:pStyle w:val="Heading1"/>
        <w:spacing w:after="120" w:before="260"/>
      </w:pPr>
      <w:bookmarkStart w:name="_ztoc_18" w:id="1002"/>
      <w:r>
        <w:rPr>
          <w:b/>
          <w:bCs/>
        </w:rPr>
        <w:t xml:space="preserve">Table of Contents</w:t>
      </w:r>
      <w:bookmarkEnd w:id="1002"/>
    </w:p>
    <w:p>
      <w:pPr>
        <w:spacing w:after="120"/>
      </w:pPr>
      <w:r>
        <w:rPr>
          <w:i/>
          <w:iCs/>
          <w:color w:val="777777"/>
          <w:sz w:val="18"/>
          <w:szCs w:val="18"/>
        </w:rPr>
        <w:t xml:space="preserve">Page numbers below are live fields — in Microsoft Word, press Ctrl+A then F9 to refresh them after editing.</w:t>
      </w:r>
    </w:p>
    <w:p>
      <w:pPr>
        <w:tabs>
          <w:tab w:val="right" w:pos="9350" w:leader="dot"/>
        </w:tabs>
        <w:spacing w:after="60"/>
        <w:ind w:left="0"/>
      </w:pPr>
      <w:hyperlink w:history="1" w:anchor="_ztoc_0">
        <w:r>
          <w:rPr>
            <w:b/>
            <w:bCs/>
            <w:color w:val="1a1a1a"/>
            <w:sz w:val="22"/>
            <w:szCs w:val="22"/>
          </w:rPr>
          <w:t xml:space="preserve">1. INTRODUCTION</w:t>
        </w:r>
      </w:hyperlink>
      <w:r>
        <w:rPr>
          <w:sz w:val="22"/>
          <w:szCs w:val="22"/>
        </w:rPr>
        <w:t xml:space="preserve">	</w:t>
      </w:r>
      <w:hyperlink w:history="1" w:anchor="_ztoc_0">
        <w:fldSimple w:instr="PAGEREF _ztoc_0 \h">
          <w:r>
            <w:t xml:space="preserve">•</w:t>
          </w:r>
        </w:fldSimple>
      </w:hyperlink>
    </w:p>
    <w:p>
      <w:pPr>
        <w:tabs>
          <w:tab w:val="right" w:pos="9350" w:leader="dot"/>
        </w:tabs>
        <w:spacing w:after="60"/>
        <w:ind w:left="0"/>
      </w:pPr>
      <w:hyperlink w:history="1" w:anchor="_ztoc_1">
        <w:r>
          <w:rPr>
            <w:b/>
            <w:bCs/>
            <w:color w:val="1a1a1a"/>
            <w:sz w:val="22"/>
            <w:szCs w:val="22"/>
          </w:rPr>
          <w:t xml:space="preserve">2. DEFINITIONS</w:t>
        </w:r>
      </w:hyperlink>
      <w:r>
        <w:rPr>
          <w:sz w:val="22"/>
          <w:szCs w:val="22"/>
        </w:rPr>
        <w:t xml:space="preserve">	</w:t>
      </w:r>
      <w:hyperlink w:history="1" w:anchor="_ztoc_1">
        <w:fldSimple w:instr="PAGEREF _ztoc_1 \h">
          <w:r>
            <w:t xml:space="preserve">•</w:t>
          </w:r>
        </w:fldSimple>
      </w:hyperlink>
    </w:p>
    <w:p>
      <w:pPr>
        <w:tabs>
          <w:tab w:val="right" w:pos="9350" w:leader="dot"/>
        </w:tabs>
        <w:spacing w:after="60"/>
        <w:ind w:left="0"/>
      </w:pPr>
      <w:hyperlink w:history="1" w:anchor="_ztoc_2">
        <w:r>
          <w:rPr>
            <w:b/>
            <w:bCs/>
            <w:color w:val="1a1a1a"/>
            <w:sz w:val="22"/>
            <w:szCs w:val="22"/>
          </w:rPr>
          <w:t xml:space="preserve">3. PRINCIPLES</w:t>
        </w:r>
      </w:hyperlink>
      <w:r>
        <w:rPr>
          <w:sz w:val="22"/>
          <w:szCs w:val="22"/>
        </w:rPr>
        <w:t xml:space="preserve">	</w:t>
      </w:r>
      <w:hyperlink w:history="1" w:anchor="_ztoc_2">
        <w:fldSimple w:instr="PAGEREF _ztoc_2 \h">
          <w:r>
            <w:t xml:space="preserve">•</w:t>
          </w:r>
        </w:fldSimple>
      </w:hyperlink>
    </w:p>
    <w:p>
      <w:pPr>
        <w:tabs>
          <w:tab w:val="right" w:pos="9350" w:leader="dot"/>
        </w:tabs>
        <w:spacing w:after="60"/>
        <w:ind w:left="0"/>
      </w:pPr>
      <w:hyperlink w:history="1" w:anchor="_ztoc_3">
        <w:r>
          <w:rPr>
            <w:b/>
            <w:bCs/>
            <w:color w:val="1a1a1a"/>
            <w:sz w:val="22"/>
            <w:szCs w:val="22"/>
          </w:rPr>
          <w:t xml:space="preserve">4. HOW TO SUBMIT A COMPLAINT</w:t>
        </w:r>
      </w:hyperlink>
      <w:r>
        <w:rPr>
          <w:sz w:val="22"/>
          <w:szCs w:val="22"/>
        </w:rPr>
        <w:t xml:space="preserve">	</w:t>
      </w:r>
      <w:hyperlink w:history="1" w:anchor="_ztoc_3">
        <w:fldSimple w:instr="PAGEREF _ztoc_3 \h">
          <w:r>
            <w:t xml:space="preserve">•</w:t>
          </w:r>
        </w:fldSimple>
      </w:hyperlink>
    </w:p>
    <w:p>
      <w:pPr>
        <w:tabs>
          <w:tab w:val="right" w:pos="9350" w:leader="dot"/>
        </w:tabs>
        <w:spacing w:after="30"/>
        <w:ind w:left="360"/>
      </w:pPr>
      <w:hyperlink w:history="1" w:anchor="_ztoc_4">
        <w:r>
          <w:rPr>
            <w:b w:val="false"/>
            <w:bCs w:val="false"/>
            <w:color w:val="1a1a1a"/>
            <w:sz w:val="20"/>
            <w:szCs w:val="20"/>
          </w:rPr>
          <w:t xml:space="preserve">4.1 Information to Include</w:t>
        </w:r>
      </w:hyperlink>
      <w:r>
        <w:rPr>
          <w:sz w:val="20"/>
          <w:szCs w:val="20"/>
        </w:rPr>
        <w:t xml:space="preserve">	</w:t>
      </w:r>
      <w:hyperlink w:history="1" w:anchor="_ztoc_4">
        <w:fldSimple w:instr="PAGEREF _ztoc_4 \h">
          <w:r>
            <w:t xml:space="preserve">•</w:t>
          </w:r>
        </w:fldSimple>
      </w:hyperlink>
    </w:p>
    <w:p>
      <w:pPr>
        <w:tabs>
          <w:tab w:val="right" w:pos="9350" w:leader="dot"/>
        </w:tabs>
        <w:spacing w:after="60"/>
        <w:ind w:left="0"/>
      </w:pPr>
      <w:hyperlink w:history="1" w:anchor="_ztoc_5">
        <w:r>
          <w:rPr>
            <w:b/>
            <w:bCs/>
            <w:color w:val="1a1a1a"/>
            <w:sz w:val="22"/>
            <w:szCs w:val="22"/>
          </w:rPr>
          <w:t xml:space="preserve">5. RESOLUTION TIMELINES</w:t>
        </w:r>
      </w:hyperlink>
      <w:r>
        <w:rPr>
          <w:sz w:val="22"/>
          <w:szCs w:val="22"/>
        </w:rPr>
        <w:t xml:space="preserve">	</w:t>
      </w:r>
      <w:hyperlink w:history="1" w:anchor="_ztoc_5">
        <w:fldSimple w:instr="PAGEREF _ztoc_5 \h">
          <w:r>
            <w:t xml:space="preserve">•</w:t>
          </w:r>
        </w:fldSimple>
      </w:hyperlink>
    </w:p>
    <w:p>
      <w:pPr>
        <w:tabs>
          <w:tab w:val="right" w:pos="9350" w:leader="dot"/>
        </w:tabs>
        <w:spacing w:after="60"/>
        <w:ind w:left="0"/>
      </w:pPr>
      <w:hyperlink w:history="1" w:anchor="_ztoc_6">
        <w:r>
          <w:rPr>
            <w:b/>
            <w:bCs/>
            <w:color w:val="1a1a1a"/>
            <w:sz w:val="22"/>
            <w:szCs w:val="22"/>
          </w:rPr>
          <w:t xml:space="preserve">6. ESCALATION</w:t>
        </w:r>
      </w:hyperlink>
      <w:r>
        <w:rPr>
          <w:sz w:val="22"/>
          <w:szCs w:val="22"/>
        </w:rPr>
        <w:t xml:space="preserve">	</w:t>
      </w:r>
      <w:hyperlink w:history="1" w:anchor="_ztoc_6">
        <w:fldSimple w:instr="PAGEREF _ztoc_6 \h">
          <w:r>
            <w:t xml:space="preserve">•</w:t>
          </w:r>
        </w:fldSimple>
      </w:hyperlink>
    </w:p>
    <w:p>
      <w:pPr>
        <w:tabs>
          <w:tab w:val="right" w:pos="9350" w:leader="dot"/>
        </w:tabs>
        <w:spacing w:after="30"/>
        <w:ind w:left="360"/>
      </w:pPr>
      <w:hyperlink w:history="1" w:anchor="_ztoc_7">
        <w:r>
          <w:rPr>
            <w:b w:val="false"/>
            <w:bCs w:val="false"/>
            <w:color w:val="1a1a1a"/>
            <w:sz w:val="20"/>
            <w:szCs w:val="20"/>
          </w:rPr>
          <w:t xml:space="preserve">6.1 Escalation to the Grievance Officer</w:t>
        </w:r>
      </w:hyperlink>
      <w:r>
        <w:rPr>
          <w:sz w:val="20"/>
          <w:szCs w:val="20"/>
        </w:rPr>
        <w:t xml:space="preserve">	</w:t>
      </w:r>
      <w:hyperlink w:history="1" w:anchor="_ztoc_7">
        <w:fldSimple w:instr="PAGEREF _ztoc_7 \h">
          <w:r>
            <w:t xml:space="preserve">•</w:t>
          </w:r>
        </w:fldSimple>
      </w:hyperlink>
    </w:p>
    <w:p>
      <w:pPr>
        <w:tabs>
          <w:tab w:val="right" w:pos="9350" w:leader="dot"/>
        </w:tabs>
        <w:spacing w:after="30"/>
        <w:ind w:left="360"/>
      </w:pPr>
      <w:hyperlink w:history="1" w:anchor="_ztoc_8">
        <w:r>
          <w:rPr>
            <w:b w:val="false"/>
            <w:bCs w:val="false"/>
            <w:color w:val="1a1a1a"/>
            <w:sz w:val="20"/>
            <w:szCs w:val="20"/>
          </w:rPr>
          <w:t xml:space="preserve">6.2 Grievance Officer Details</w:t>
        </w:r>
      </w:hyperlink>
      <w:r>
        <w:rPr>
          <w:sz w:val="20"/>
          <w:szCs w:val="20"/>
        </w:rPr>
        <w:t xml:space="preserve">	</w:t>
      </w:r>
      <w:hyperlink w:history="1" w:anchor="_ztoc_8">
        <w:fldSimple w:instr="PAGEREF _ztoc_8 \h">
          <w:r>
            <w:t xml:space="preserve">•</w:t>
          </w:r>
        </w:fldSimple>
      </w:hyperlink>
    </w:p>
    <w:p>
      <w:pPr>
        <w:tabs>
          <w:tab w:val="right" w:pos="9350" w:leader="dot"/>
        </w:tabs>
        <w:spacing w:after="60"/>
        <w:ind w:left="0"/>
      </w:pPr>
      <w:hyperlink w:history="1" w:anchor="_ztoc_9">
        <w:r>
          <w:rPr>
            <w:b/>
            <w:bCs/>
            <w:color w:val="1a1a1a"/>
            <w:sz w:val="22"/>
            <w:szCs w:val="22"/>
          </w:rPr>
          <w:t xml:space="preserve">7. CONSUMER COMPLAINTS</w:t>
        </w:r>
      </w:hyperlink>
      <w:r>
        <w:rPr>
          <w:sz w:val="22"/>
          <w:szCs w:val="22"/>
        </w:rPr>
        <w:t xml:space="preserve">	</w:t>
      </w:r>
      <w:hyperlink w:history="1" w:anchor="_ztoc_9">
        <w:fldSimple w:instr="PAGEREF _ztoc_9 \h">
          <w:r>
            <w:t xml:space="preserve">•</w:t>
          </w:r>
        </w:fldSimple>
      </w:hyperlink>
    </w:p>
    <w:p>
      <w:pPr>
        <w:tabs>
          <w:tab w:val="right" w:pos="9350" w:leader="dot"/>
        </w:tabs>
        <w:spacing w:after="60"/>
        <w:ind w:left="0"/>
      </w:pPr>
      <w:hyperlink w:history="1" w:anchor="_ztoc_10">
        <w:r>
          <w:rPr>
            <w:b/>
            <w:bCs/>
            <w:color w:val="1a1a1a"/>
            <w:sz w:val="22"/>
            <w:szCs w:val="22"/>
          </w:rPr>
          <w:t xml:space="preserve">8. RESTAURANT PARTNER COMPLAINTS</w:t>
        </w:r>
      </w:hyperlink>
      <w:r>
        <w:rPr>
          <w:sz w:val="22"/>
          <w:szCs w:val="22"/>
        </w:rPr>
        <w:t xml:space="preserve">	</w:t>
      </w:r>
      <w:hyperlink w:history="1" w:anchor="_ztoc_10">
        <w:fldSimple w:instr="PAGEREF _ztoc_10 \h">
          <w:r>
            <w:t xml:space="preserve">•</w:t>
          </w:r>
        </w:fldSimple>
      </w:hyperlink>
    </w:p>
    <w:p>
      <w:pPr>
        <w:tabs>
          <w:tab w:val="right" w:pos="9350" w:leader="dot"/>
        </w:tabs>
        <w:spacing w:after="60"/>
        <w:ind w:left="0"/>
      </w:pPr>
      <w:hyperlink w:history="1" w:anchor="_ztoc_11">
        <w:r>
          <w:rPr>
            <w:b/>
            <w:bCs/>
            <w:color w:val="1a1a1a"/>
            <w:sz w:val="22"/>
            <w:szCs w:val="22"/>
          </w:rPr>
          <w:t xml:space="preserve">9. DELIVERY PARTNER COMPLAINTS</w:t>
        </w:r>
      </w:hyperlink>
      <w:r>
        <w:rPr>
          <w:sz w:val="22"/>
          <w:szCs w:val="22"/>
        </w:rPr>
        <w:t xml:space="preserve">	</w:t>
      </w:r>
      <w:hyperlink w:history="1" w:anchor="_ztoc_11">
        <w:fldSimple w:instr="PAGEREF _ztoc_11 \h">
          <w:r>
            <w:t xml:space="preserve">•</w:t>
          </w:r>
        </w:fldSimple>
      </w:hyperlink>
    </w:p>
    <w:p>
      <w:pPr>
        <w:tabs>
          <w:tab w:val="right" w:pos="9350" w:leader="dot"/>
        </w:tabs>
        <w:spacing w:after="60"/>
        <w:ind w:left="0"/>
      </w:pPr>
      <w:hyperlink w:history="1" w:anchor="_ztoc_12">
        <w:r>
          <w:rPr>
            <w:b/>
            <w:bCs/>
            <w:color w:val="1a1a1a"/>
            <w:sz w:val="22"/>
            <w:szCs w:val="22"/>
          </w:rPr>
          <w:t xml:space="preserve">10. PRIVACY AND DATA COMPLAINTS</w:t>
        </w:r>
      </w:hyperlink>
      <w:r>
        <w:rPr>
          <w:sz w:val="22"/>
          <w:szCs w:val="22"/>
        </w:rPr>
        <w:t xml:space="preserve">	</w:t>
      </w:r>
      <w:hyperlink w:history="1" w:anchor="_ztoc_12">
        <w:fldSimple w:instr="PAGEREF _ztoc_12 \h">
          <w:r>
            <w:t xml:space="preserve">•</w:t>
          </w:r>
        </w:fldSimple>
      </w:hyperlink>
    </w:p>
    <w:p>
      <w:pPr>
        <w:tabs>
          <w:tab w:val="right" w:pos="9350" w:leader="dot"/>
        </w:tabs>
        <w:spacing w:after="60"/>
        <w:ind w:left="0"/>
      </w:pPr>
      <w:hyperlink w:history="1" w:anchor="_ztoc_13">
        <w:r>
          <w:rPr>
            <w:b/>
            <w:bCs/>
            <w:color w:val="1a1a1a"/>
            <w:sz w:val="22"/>
            <w:szCs w:val="22"/>
          </w:rPr>
          <w:t xml:space="preserve">11. LEGAL NOTICES</w:t>
        </w:r>
      </w:hyperlink>
      <w:r>
        <w:rPr>
          <w:sz w:val="22"/>
          <w:szCs w:val="22"/>
        </w:rPr>
        <w:t xml:space="preserve">	</w:t>
      </w:r>
      <w:hyperlink w:history="1" w:anchor="_ztoc_13">
        <w:fldSimple w:instr="PAGEREF _ztoc_13 \h">
          <w:r>
            <w:t xml:space="preserve">•</w:t>
          </w:r>
        </w:fldSimple>
      </w:hyperlink>
    </w:p>
    <w:p>
      <w:pPr>
        <w:tabs>
          <w:tab w:val="right" w:pos="9350" w:leader="dot"/>
        </w:tabs>
        <w:spacing w:after="60"/>
        <w:ind w:left="0"/>
      </w:pPr>
      <w:hyperlink w:history="1" w:anchor="_ztoc_14">
        <w:r>
          <w:rPr>
            <w:b/>
            <w:bCs/>
            <w:color w:val="1a1a1a"/>
            <w:sz w:val="22"/>
            <w:szCs w:val="22"/>
          </w:rPr>
          <w:t xml:space="preserve">12. RECORD-KEEPING</w:t>
        </w:r>
      </w:hyperlink>
      <w:r>
        <w:rPr>
          <w:sz w:val="22"/>
          <w:szCs w:val="22"/>
        </w:rPr>
        <w:t xml:space="preserve">	</w:t>
      </w:r>
      <w:hyperlink w:history="1" w:anchor="_ztoc_14">
        <w:fldSimple w:instr="PAGEREF _ztoc_14 \h">
          <w:r>
            <w:t xml:space="preserve">•</w:t>
          </w:r>
        </w:fldSimple>
      </w:hyperlink>
    </w:p>
    <w:p>
      <w:pPr>
        <w:tabs>
          <w:tab w:val="right" w:pos="9350" w:leader="dot"/>
        </w:tabs>
        <w:spacing w:after="60"/>
        <w:ind w:left="0"/>
      </w:pPr>
      <w:hyperlink w:history="1" w:anchor="_ztoc_15">
        <w:r>
          <w:rPr>
            <w:b/>
            <w:bCs/>
            <w:color w:val="1a1a1a"/>
            <w:sz w:val="22"/>
            <w:szCs w:val="22"/>
          </w:rPr>
          <w:t xml:space="preserve">13. CHANGES TO THIS POLICY</w:t>
        </w:r>
      </w:hyperlink>
      <w:r>
        <w:rPr>
          <w:sz w:val="22"/>
          <w:szCs w:val="22"/>
        </w:rPr>
        <w:t xml:space="preserve">	</w:t>
      </w:r>
      <w:hyperlink w:history="1" w:anchor="_ztoc_15">
        <w:fldSimple w:instr="PAGEREF _ztoc_15 \h">
          <w:r>
            <w:t xml:space="preserve">•</w:t>
          </w:r>
        </w:fldSimple>
      </w:hyperlink>
    </w:p>
    <w:p>
      <w:pPr>
        <w:tabs>
          <w:tab w:val="right" w:pos="9350" w:leader="dot"/>
        </w:tabs>
        <w:spacing w:after="60"/>
        <w:ind w:left="0"/>
      </w:pPr>
      <w:hyperlink w:history="1" w:anchor="_ztoc_16">
        <w:r>
          <w:rPr>
            <w:b/>
            <w:bCs/>
            <w:color w:val="1a1a1a"/>
            <w:sz w:val="22"/>
            <w:szCs w:val="22"/>
          </w:rPr>
          <w:t xml:space="preserve">14. CONTACT INFORMATION</w:t>
        </w:r>
      </w:hyperlink>
      <w:r>
        <w:rPr>
          <w:sz w:val="22"/>
          <w:szCs w:val="22"/>
        </w:rPr>
        <w:t xml:space="preserve">	</w:t>
      </w:r>
      <w:hyperlink w:history="1" w:anchor="_ztoc_16">
        <w:fldSimple w:instr="PAGEREF _ztoc_16 \h">
          <w:r>
            <w:t xml:space="preserve">•</w:t>
          </w:r>
        </w:fldSimple>
      </w:hyperlink>
    </w:p>
    <w:p>
      <w:r>
        <w:br w:type="page"/>
      </w:r>
    </w:p>
    <w:p>
      <w:pPr>
        <w:pStyle w:val="Heading1"/>
        <w:spacing w:after="120" w:before="260"/>
      </w:pPr>
      <w:bookmarkStart w:name="_ztoc_0" w:id="1003"/>
      <w:r>
        <w:rPr>
          <w:b/>
          <w:bCs/>
        </w:rPr>
        <w:t xml:space="preserve">1. INTRODUCTION</w:t>
      </w:r>
      <w:bookmarkEnd w:id="1003"/>
    </w:p>
    <w:p>
      <w:pPr>
        <w:spacing w:after="120"/>
      </w:pPr>
      <w:r>
        <w:t xml:space="preserve">This Grievance Redressal Policy ("Policy") explains how Customers, Restaurant Partners, and Delivery Partners can raise complaints and grievances relating to the Zopiq platform, operated by Hybrid Monks LLP ("Zopiq", "Company", "we", "our", or "us"), and how those grievances are handled. It is designed to provide a fair, accessible, and time-bound process, consistent with applicable Indian law, including the Consumer Protection Act, 2019, the Information Technology Act, 2000, and the Digital Personal Data Protection Act, 2023.</w:t>
      </w:r>
    </w:p>
    <w:p>
      <w:pPr>
        <w:pStyle w:val="Heading1"/>
        <w:spacing w:after="120" w:before="260"/>
      </w:pPr>
      <w:bookmarkStart w:name="_ztoc_1" w:id="1004"/>
      <w:r>
        <w:rPr>
          <w:b/>
          <w:bCs/>
        </w:rPr>
        <w:t xml:space="preserve">2. DEFINITIONS</w:t>
      </w:r>
      <w:bookmarkEnd w:id="1004"/>
    </w:p>
    <w:p>
      <w:pPr>
        <w:spacing w:after="120"/>
      </w:pPr>
      <w:r>
        <w:t xml:space="preserve">Grievance means any complaint, concern, or dispute raised by a User relating to the Platform, an order, a settlement, conduct, or the handling of personal data.</w:t>
      </w:r>
    </w:p>
    <w:p>
      <w:pPr>
        <w:spacing w:after="120"/>
      </w:pPr>
      <w:r>
        <w:t xml:space="preserve">Complainant means the User raising a Grievance.</w:t>
      </w:r>
    </w:p>
    <w:p>
      <w:pPr>
        <w:spacing w:after="120"/>
      </w:pPr>
      <w:r>
        <w:t xml:space="preserve">Grievance Officer means the person designated by Zopiq to oversee grievance handling.</w:t>
      </w:r>
    </w:p>
    <w:p>
      <w:pPr>
        <w:spacing w:after="120"/>
      </w:pPr>
      <w:r>
        <w:t xml:space="preserve">Resolution means the outcome communicated to the Complainant after review.</w:t>
      </w:r>
    </w:p>
    <w:p>
      <w:pPr>
        <w:pStyle w:val="Heading1"/>
        <w:spacing w:after="120" w:before="260"/>
      </w:pPr>
      <w:bookmarkStart w:name="_ztoc_2" w:id="1005"/>
      <w:r>
        <w:rPr>
          <w:b/>
          <w:bCs/>
        </w:rPr>
        <w:t xml:space="preserve">3. PRINCIPLES</w:t>
      </w:r>
      <w:bookmarkEnd w:id="1005"/>
    </w:p>
    <w:p>
      <w:pPr>
        <w:spacing w:after="120"/>
      </w:pPr>
      <w:r>
        <w:t xml:space="preserve">Grievance handling is guided by the following principles:</w:t>
      </w:r>
    </w:p>
    <w:p>
      <w:pPr>
        <w:pStyle w:val="ListParagraph"/>
        <w:numPr>
          <w:ilvl w:val="0"/>
          <w:numId w:val="1"/>
        </w:numPr>
        <w:spacing w:after="40"/>
      </w:pPr>
      <w:r>
        <w:t xml:space="preserve">Accessibility: multiple channels are available to raise a Grievance.</w:t>
      </w:r>
    </w:p>
    <w:p>
      <w:pPr>
        <w:pStyle w:val="ListParagraph"/>
        <w:numPr>
          <w:ilvl w:val="0"/>
          <w:numId w:val="1"/>
        </w:numPr>
        <w:spacing w:after="40"/>
      </w:pPr>
      <w:r>
        <w:t xml:space="preserve">Fairness: Grievances are assessed objectively and on their merits.</w:t>
      </w:r>
    </w:p>
    <w:p>
      <w:pPr>
        <w:pStyle w:val="ListParagraph"/>
        <w:numPr>
          <w:ilvl w:val="0"/>
          <w:numId w:val="1"/>
        </w:numPr>
        <w:spacing w:after="40"/>
      </w:pPr>
      <w:r>
        <w:t xml:space="preserve">Timeliness: Grievances are acknowledged and resolved within reasonable timeframes.</w:t>
      </w:r>
    </w:p>
    <w:p>
      <w:pPr>
        <w:pStyle w:val="ListParagraph"/>
        <w:numPr>
          <w:ilvl w:val="0"/>
          <w:numId w:val="1"/>
        </w:numPr>
        <w:spacing w:after="40"/>
      </w:pPr>
      <w:r>
        <w:t xml:space="preserve">Transparency: outcomes are communicated to the Complainant.</w:t>
      </w:r>
    </w:p>
    <w:p>
      <w:pPr>
        <w:pStyle w:val="ListParagraph"/>
        <w:numPr>
          <w:ilvl w:val="0"/>
          <w:numId w:val="1"/>
        </w:numPr>
        <w:spacing w:after="40"/>
      </w:pPr>
      <w:r>
        <w:t xml:space="preserve">Confidentiality: personal data is handled in line with the Privacy Policy.</w:t>
      </w:r>
    </w:p>
    <w:p>
      <w:pPr>
        <w:pStyle w:val="Heading1"/>
        <w:spacing w:after="120" w:before="260"/>
      </w:pPr>
      <w:bookmarkStart w:name="_ztoc_3" w:id="1006"/>
      <w:r>
        <w:rPr>
          <w:b/>
          <w:bCs/>
        </w:rPr>
        <w:t xml:space="preserve">4. HOW TO SUBMIT A COMPLAINT</w:t>
      </w:r>
      <w:bookmarkEnd w:id="1006"/>
    </w:p>
    <w:p>
      <w:pPr>
        <w:spacing w:after="120"/>
      </w:pPr>
      <w:r>
        <w:t xml:space="preserve">A Grievance may be submitted through any of the following channels:</w:t>
      </w:r>
    </w:p>
    <w:p>
      <w:pPr>
        <w:pStyle w:val="ListParagraph"/>
        <w:numPr>
          <w:ilvl w:val="0"/>
          <w:numId w:val="1"/>
        </w:numPr>
        <w:spacing w:after="40"/>
      </w:pPr>
      <w:r>
        <w:t xml:space="preserve">In-app support within the Customer, Restaurant Partner, or Delivery Partner Application.</w:t>
      </w:r>
    </w:p>
    <w:p>
      <w:pPr>
        <w:pStyle w:val="ListParagraph"/>
        <w:numPr>
          <w:ilvl w:val="0"/>
          <w:numId w:val="1"/>
        </w:numPr>
        <w:spacing w:after="40"/>
      </w:pPr>
      <w:r>
        <w:t xml:space="preserve">Email to hello@hybridmonks.com.</w:t>
      </w:r>
    </w:p>
    <w:p>
      <w:pPr>
        <w:pStyle w:val="ListParagraph"/>
        <w:numPr>
          <w:ilvl w:val="0"/>
          <w:numId w:val="1"/>
        </w:numPr>
        <w:spacing w:after="40"/>
      </w:pPr>
      <w:r>
        <w:t xml:space="preserve">Phone at +91 96608 77411.</w:t>
      </w:r>
    </w:p>
    <w:p>
      <w:pPr>
        <w:pStyle w:val="ListParagraph"/>
        <w:numPr>
          <w:ilvl w:val="0"/>
          <w:numId w:val="1"/>
        </w:numPr>
        <w:spacing w:after="40"/>
      </w:pPr>
      <w:r>
        <w:t xml:space="preserve">Written correspondence to the registered office address.</w:t>
      </w:r>
    </w:p>
    <w:p>
      <w:pPr>
        <w:pStyle w:val="Heading2"/>
        <w:spacing w:after="70" w:before="160"/>
      </w:pPr>
      <w:bookmarkStart w:name="_ztoc_4" w:id="1007"/>
      <w:r>
        <w:rPr>
          <w:b/>
          <w:bCs/>
        </w:rPr>
        <w:t xml:space="preserve">4.1 Information to Include</w:t>
      </w:r>
      <w:bookmarkEnd w:id="1007"/>
    </w:p>
    <w:p>
      <w:pPr>
        <w:spacing w:after="120"/>
      </w:pPr>
      <w:r>
        <w:t xml:space="preserve">To help resolve a Grievance efficiently, the Complainant should provide account details, the relevant order or reference number, a clear description of the issue, and any supporting information or evidence.</w:t>
      </w:r>
    </w:p>
    <w:p>
      <w:pPr>
        <w:pStyle w:val="Heading1"/>
        <w:spacing w:after="120" w:before="260"/>
      </w:pPr>
      <w:bookmarkStart w:name="_ztoc_5" w:id="1008"/>
      <w:r>
        <w:rPr>
          <w:b/>
          <w:bCs/>
        </w:rPr>
        <w:t xml:space="preserve">5. RESOLUTION TIMELINES</w:t>
      </w:r>
      <w:bookmarkEnd w:id="1008"/>
    </w:p>
    <w:p>
      <w:pPr>
        <w:spacing w:after="120"/>
      </w:pPr>
      <w:r>
        <w:t xml:space="preserve">Zopiq aims to acknowledge and resolve Grievances within reasonable timeframes, which may vary with complexity. Indicative targets are set out below.</w:t>
      </w:r>
    </w:p>
    <w:tbl>
      <w:tblPr>
        <w:tblW w:type="dxa" w:w="9000"/>
        <w:tblBorders>
          <w:top w:val="single" w:color="BBBBBB" w:sz="4"/>
          <w:left w:val="single" w:color="BBBBBB" w:sz="4"/>
          <w:bottom w:val="single" w:color="BBBBBB" w:sz="4"/>
          <w:right w:val="single" w:color="BBBBBB" w:sz="4"/>
          <w:insideH w:val="single" w:color="BBBBBB" w:sz="4"/>
          <w:insideV w:val="single" w:color="BBBBBB" w:sz="4"/>
        </w:tblBorders>
      </w:tblPr>
      <w:tblGrid>
        <w:gridCol w:w="3600"/>
        <w:gridCol w:w="5400"/>
      </w:tblGrid>
      <w:tr>
        <w:trPr>
          <w:tblHeader/>
        </w:trPr>
        <w:tc>
          <w:tcPr>
            <w:tcW w:type="dxa" w:w="3600"/>
            <w:shd w:fill="E8E8E8" w:val="clear"/>
            <w:tcMar>
              <w:top w:type="dxa" w:w="60"/>
              <w:left w:type="dxa" w:w="90"/>
              <w:bottom w:type="dxa" w:w="60"/>
              <w:right w:type="dxa" w:w="90"/>
            </w:tcMar>
          </w:tcPr>
          <w:p>
            <w:r>
              <w:rPr>
                <w:b/>
                <w:bCs/>
                <w:sz w:val="20"/>
                <w:szCs w:val="20"/>
              </w:rPr>
              <w:t xml:space="preserve">Stage</w:t>
            </w:r>
          </w:p>
        </w:tc>
        <w:tc>
          <w:tcPr>
            <w:tcW w:type="dxa" w:w="5400"/>
            <w:shd w:fill="E8E8E8" w:val="clear"/>
            <w:tcMar>
              <w:top w:type="dxa" w:w="60"/>
              <w:left w:type="dxa" w:w="90"/>
              <w:bottom w:type="dxa" w:w="60"/>
              <w:right w:type="dxa" w:w="90"/>
            </w:tcMar>
          </w:tcPr>
          <w:p>
            <w:r>
              <w:rPr>
                <w:b/>
                <w:bCs/>
                <w:sz w:val="20"/>
                <w:szCs w:val="20"/>
              </w:rPr>
              <w:t xml:space="preserve">Indicative Timeframe</w:t>
            </w:r>
          </w:p>
        </w:tc>
      </w:tr>
      <w:tr>
        <w:tc>
          <w:tcPr>
            <w:tcW w:type="dxa" w:w="3600"/>
            <w:tcMar>
              <w:top w:type="dxa" w:w="60"/>
              <w:left w:type="dxa" w:w="90"/>
              <w:bottom w:type="dxa" w:w="60"/>
              <w:right w:type="dxa" w:w="90"/>
            </w:tcMar>
          </w:tcPr>
          <w:p>
            <w:r>
              <w:rPr>
                <w:b w:val="false"/>
                <w:bCs w:val="false"/>
                <w:sz w:val="20"/>
                <w:szCs w:val="20"/>
              </w:rPr>
              <w:t xml:space="preserve">Acknowledgement of Grievance</w:t>
            </w:r>
          </w:p>
        </w:tc>
        <w:tc>
          <w:tcPr>
            <w:tcW w:type="dxa" w:w="5400"/>
            <w:tcMar>
              <w:top w:type="dxa" w:w="60"/>
              <w:left w:type="dxa" w:w="90"/>
              <w:bottom w:type="dxa" w:w="60"/>
              <w:right w:type="dxa" w:w="90"/>
            </w:tcMar>
          </w:tcPr>
          <w:p>
            <w:r>
              <w:rPr>
                <w:b w:val="false"/>
                <w:bCs w:val="false"/>
                <w:sz w:val="20"/>
                <w:szCs w:val="20"/>
              </w:rPr>
              <w:t xml:space="preserve">Promptly after receipt, typically within a few working days.</w:t>
            </w:r>
          </w:p>
        </w:tc>
      </w:tr>
      <w:tr>
        <w:tc>
          <w:tcPr>
            <w:tcW w:type="dxa" w:w="3600"/>
            <w:tcMar>
              <w:top w:type="dxa" w:w="60"/>
              <w:left w:type="dxa" w:w="90"/>
              <w:bottom w:type="dxa" w:w="60"/>
              <w:right w:type="dxa" w:w="90"/>
            </w:tcMar>
          </w:tcPr>
          <w:p>
            <w:r>
              <w:rPr>
                <w:b w:val="false"/>
                <w:bCs w:val="false"/>
                <w:sz w:val="20"/>
                <w:szCs w:val="20"/>
              </w:rPr>
              <w:t xml:space="preserve">First response / assessment</w:t>
            </w:r>
          </w:p>
        </w:tc>
        <w:tc>
          <w:tcPr>
            <w:tcW w:type="dxa" w:w="5400"/>
            <w:tcMar>
              <w:top w:type="dxa" w:w="60"/>
              <w:left w:type="dxa" w:w="90"/>
              <w:bottom w:type="dxa" w:w="60"/>
              <w:right w:type="dxa" w:w="90"/>
            </w:tcMar>
          </w:tcPr>
          <w:p>
            <w:r>
              <w:rPr>
                <w:b w:val="false"/>
                <w:bCs w:val="false"/>
                <w:sz w:val="20"/>
                <w:szCs w:val="20"/>
              </w:rPr>
              <w:t xml:space="preserve">Within a reasonable period after acknowledgement.</w:t>
            </w:r>
          </w:p>
        </w:tc>
      </w:tr>
      <w:tr>
        <w:tc>
          <w:tcPr>
            <w:tcW w:type="dxa" w:w="3600"/>
            <w:tcMar>
              <w:top w:type="dxa" w:w="60"/>
              <w:left w:type="dxa" w:w="90"/>
              <w:bottom w:type="dxa" w:w="60"/>
              <w:right w:type="dxa" w:w="90"/>
            </w:tcMar>
          </w:tcPr>
          <w:p>
            <w:r>
              <w:rPr>
                <w:b w:val="false"/>
                <w:bCs w:val="false"/>
                <w:sz w:val="20"/>
                <w:szCs w:val="20"/>
              </w:rPr>
              <w:t xml:space="preserve">Resolution of standard Grievances</w:t>
            </w:r>
          </w:p>
        </w:tc>
        <w:tc>
          <w:tcPr>
            <w:tcW w:type="dxa" w:w="5400"/>
            <w:tcMar>
              <w:top w:type="dxa" w:w="60"/>
              <w:left w:type="dxa" w:w="90"/>
              <w:bottom w:type="dxa" w:w="60"/>
              <w:right w:type="dxa" w:w="90"/>
            </w:tcMar>
          </w:tcPr>
          <w:p>
            <w:r>
              <w:rPr>
                <w:b w:val="false"/>
                <w:bCs w:val="false"/>
                <w:sz w:val="20"/>
                <w:szCs w:val="20"/>
              </w:rPr>
              <w:t xml:space="preserve">Within a reasonable period, subject to investigation and complexity.</w:t>
            </w:r>
          </w:p>
        </w:tc>
      </w:tr>
      <w:tr>
        <w:tc>
          <w:tcPr>
            <w:tcW w:type="dxa" w:w="3600"/>
            <w:tcMar>
              <w:top w:type="dxa" w:w="60"/>
              <w:left w:type="dxa" w:w="90"/>
              <w:bottom w:type="dxa" w:w="60"/>
              <w:right w:type="dxa" w:w="90"/>
            </w:tcMar>
          </w:tcPr>
          <w:p>
            <w:r>
              <w:rPr>
                <w:b w:val="false"/>
                <w:bCs w:val="false"/>
                <w:sz w:val="20"/>
                <w:szCs w:val="20"/>
              </w:rPr>
              <w:t xml:space="preserve">Complex or disputed matters</w:t>
            </w:r>
          </w:p>
        </w:tc>
        <w:tc>
          <w:tcPr>
            <w:tcW w:type="dxa" w:w="5400"/>
            <w:tcMar>
              <w:top w:type="dxa" w:w="60"/>
              <w:left w:type="dxa" w:w="90"/>
              <w:bottom w:type="dxa" w:w="60"/>
              <w:right w:type="dxa" w:w="90"/>
            </w:tcMar>
          </w:tcPr>
          <w:p>
            <w:r>
              <w:rPr>
                <w:b w:val="false"/>
                <w:bCs w:val="false"/>
                <w:sz w:val="20"/>
                <w:szCs w:val="20"/>
              </w:rPr>
              <w:t xml:space="preserve">May require additional time; the Complainant will be kept informed.</w:t>
            </w:r>
          </w:p>
        </w:tc>
      </w:tr>
    </w:tbl>
    <w:p>
      <w:pPr>
        <w:spacing w:after="120"/>
      </w:pPr>
    </w:p>
    <w:p>
      <w:pPr>
        <w:spacing w:after="120"/>
      </w:pPr>
      <w:r>
        <w:t xml:space="preserve">These are service targets and not guarantees; statutory timeframes, where applicable, are observed.</w:t>
      </w:r>
    </w:p>
    <w:p>
      <w:pPr>
        <w:pStyle w:val="Heading1"/>
        <w:spacing w:after="120" w:before="260"/>
      </w:pPr>
      <w:bookmarkStart w:name="_ztoc_6" w:id="1009"/>
      <w:r>
        <w:rPr>
          <w:b/>
          <w:bCs/>
        </w:rPr>
        <w:t xml:space="preserve">6. ESCALATION</w:t>
      </w:r>
      <w:bookmarkEnd w:id="1009"/>
    </w:p>
    <w:p>
      <w:pPr>
        <w:spacing w:after="120"/>
      </w:pPr>
      <w:r>
        <w:t xml:space="preserve">If a Complainant is not satisfied with the initial response, the Grievance may be escalated.</w:t>
      </w:r>
    </w:p>
    <w:p>
      <w:pPr>
        <w:pStyle w:val="Heading2"/>
        <w:spacing w:after="70" w:before="160"/>
      </w:pPr>
      <w:bookmarkStart w:name="_ztoc_7" w:id="1010"/>
      <w:r>
        <w:rPr>
          <w:b/>
          <w:bCs/>
        </w:rPr>
        <w:t xml:space="preserve">6.1 Escalation to the Grievance Officer</w:t>
      </w:r>
      <w:bookmarkEnd w:id="1010"/>
    </w:p>
    <w:p>
      <w:pPr>
        <w:spacing w:after="120"/>
      </w:pPr>
      <w:r>
        <w:t xml:space="preserve">Unresolved or escalated Grievances may be directed to the Grievance Officer, who will review the matter afresh, consider the Complainant’s submissions and relevant evidence, and communicate an outcome.</w:t>
      </w:r>
    </w:p>
    <w:p>
      <w:pPr>
        <w:pStyle w:val="Heading2"/>
        <w:spacing w:after="70" w:before="160"/>
      </w:pPr>
      <w:bookmarkStart w:name="_ztoc_8" w:id="1011"/>
      <w:r>
        <w:rPr>
          <w:b/>
          <w:bCs/>
        </w:rPr>
        <w:t xml:space="preserve">6.2 Grievance Officer Details</w:t>
      </w:r>
      <w:bookmarkEnd w:id="1011"/>
    </w:p>
    <w:p>
      <w:pPr>
        <w:spacing w:after="120"/>
      </w:pPr>
      <w:r>
        <w:t xml:space="preserve">Zopiq designates a Grievance Officer for the Platform. The Grievance Officer can be reached via the contact details in this Policy. Zopiq will publish or update the Grievance Officer’s designation as required by applicable law.</w:t>
      </w:r>
    </w:p>
    <w:p>
      <w:pPr>
        <w:pStyle w:val="Heading1"/>
        <w:spacing w:after="120" w:before="260"/>
      </w:pPr>
      <w:bookmarkStart w:name="_ztoc_9" w:id="1012"/>
      <w:r>
        <w:rPr>
          <w:b/>
          <w:bCs/>
        </w:rPr>
        <w:t xml:space="preserve">7. CONSUMER COMPLAINTS</w:t>
      </w:r>
      <w:bookmarkEnd w:id="1012"/>
    </w:p>
    <w:p>
      <w:pPr>
        <w:spacing w:after="120"/>
      </w:pPr>
      <w:r>
        <w:t xml:space="preserve">Consumer Grievances typically relate to orders, refunds, missing or damaged items, delivery issues, payments, or service quality. These are handled under this Policy together with the Refund &amp; Cancellation Policy and Payment &amp; Settlement Policy. Nothing in this Policy limits a consumer’s rights under the Consumer Protection Act, 2019, or the ability to approach a competent consumer forum.</w:t>
      </w:r>
    </w:p>
    <w:p>
      <w:pPr>
        <w:pStyle w:val="Heading1"/>
        <w:spacing w:after="120" w:before="260"/>
      </w:pPr>
      <w:bookmarkStart w:name="_ztoc_10" w:id="1013"/>
      <w:r>
        <w:rPr>
          <w:b/>
          <w:bCs/>
        </w:rPr>
        <w:t xml:space="preserve">8. RESTAURANT PARTNER COMPLAINTS</w:t>
      </w:r>
      <w:bookmarkEnd w:id="1013"/>
    </w:p>
    <w:p>
      <w:pPr>
        <w:spacing w:after="120"/>
      </w:pPr>
      <w:r>
        <w:t xml:space="preserve">Restaurant Partner Grievances typically relate to settlements, deductions, order disputes, ratings, account actions, or support. These are handled under this Policy together with the Restaurant Partner Agreement, Merchant SLA, and Payment &amp; Settlement Policy. Restaurant Partners should raise settlement-related Grievances with relevant order and settlement references.</w:t>
      </w:r>
    </w:p>
    <w:p>
      <w:pPr>
        <w:pStyle w:val="Heading1"/>
        <w:spacing w:after="120" w:before="260"/>
      </w:pPr>
      <w:bookmarkStart w:name="_ztoc_11" w:id="1014"/>
      <w:r>
        <w:rPr>
          <w:b/>
          <w:bCs/>
        </w:rPr>
        <w:t xml:space="preserve">9. DELIVERY PARTNER COMPLAINTS</w:t>
      </w:r>
      <w:bookmarkEnd w:id="1014"/>
    </w:p>
    <w:p>
      <w:pPr>
        <w:spacing w:after="120"/>
      </w:pPr>
      <w:r>
        <w:t xml:space="preserve">Delivery Partner Grievances typically relate to earnings, payouts, deductions, assignments, account actions, or safety. These are handled under this Policy together with the Delivery Partner Agreement and Payment &amp; Settlement Policy. Safety-related Grievances are treated with priority.</w:t>
      </w:r>
    </w:p>
    <w:p>
      <w:pPr>
        <w:pStyle w:val="Heading1"/>
        <w:spacing w:after="120" w:before="260"/>
      </w:pPr>
      <w:bookmarkStart w:name="_ztoc_12" w:id="1015"/>
      <w:r>
        <w:rPr>
          <w:b/>
          <w:bCs/>
        </w:rPr>
        <w:t xml:space="preserve">10. PRIVACY AND DATA COMPLAINTS</w:t>
      </w:r>
      <w:bookmarkEnd w:id="1015"/>
    </w:p>
    <w:p>
      <w:pPr>
        <w:spacing w:after="120"/>
      </w:pPr>
      <w:r>
        <w:t xml:space="preserve">Grievances relating to the handling of personal data — including access, correction, deletion, or withdrawal of consent — are handled in accordance with the Privacy Policy and the Digital Personal Data Protection Act, 2023. Such Grievances may be directed to the Grievance Officer or the contact details in this Policy. Zopiq may require reasonable identity verification before acting on data-related requests.</w:t>
      </w:r>
    </w:p>
    <w:p>
      <w:pPr>
        <w:pStyle w:val="Heading1"/>
        <w:spacing w:after="120" w:before="260"/>
      </w:pPr>
      <w:bookmarkStart w:name="_ztoc_13" w:id="1016"/>
      <w:r>
        <w:rPr>
          <w:b/>
          <w:bCs/>
        </w:rPr>
        <w:t xml:space="preserve">11. LEGAL NOTICES</w:t>
      </w:r>
      <w:bookmarkEnd w:id="1016"/>
    </w:p>
    <w:p>
      <w:pPr>
        <w:spacing w:after="120"/>
      </w:pPr>
      <w:r>
        <w:t xml:space="preserve">Formal legal notices should be sent in writing to the registered office address or to hello@hybridmonks.com, unless Zopiq designates another address in writing. Before initiating legal proceedings, Users are encouraged to make reasonable efforts to resolve disputes through this Policy and, where appropriate, may mutually agree to mediation, consistent with the dispute-resolution provisions of the Terms &amp; Conditions and relevant agreements.</w:t>
      </w:r>
    </w:p>
    <w:p>
      <w:pPr>
        <w:pStyle w:val="Heading1"/>
        <w:spacing w:after="120" w:before="260"/>
      </w:pPr>
      <w:bookmarkStart w:name="_ztoc_14" w:id="1017"/>
      <w:r>
        <w:rPr>
          <w:b/>
          <w:bCs/>
        </w:rPr>
        <w:t xml:space="preserve">12. RECORD-KEEPING</w:t>
      </w:r>
      <w:bookmarkEnd w:id="1017"/>
    </w:p>
    <w:p>
      <w:pPr>
        <w:spacing w:after="120"/>
      </w:pPr>
      <w:r>
        <w:t xml:space="preserve">Zopiq maintains records of Grievances and their resolution for service quality, dispute resolution, and legal compliance, in accordance with the Privacy Policy and Account Deletion &amp; Data Retention Policy.</w:t>
      </w:r>
    </w:p>
    <w:p>
      <w:pPr>
        <w:pStyle w:val="Heading1"/>
        <w:spacing w:after="120" w:before="260"/>
      </w:pPr>
      <w:bookmarkStart w:name="_ztoc_15" w:id="1018"/>
      <w:r>
        <w:rPr>
          <w:b/>
          <w:bCs/>
        </w:rPr>
        <w:t xml:space="preserve">13. CHANGES TO THIS POLICY</w:t>
      </w:r>
      <w:bookmarkEnd w:id="1018"/>
    </w:p>
    <w:p>
      <w:pPr>
        <w:spacing w:after="120"/>
      </w:pPr>
      <w:r>
        <w:t xml:space="preserve">Zopiq may update this Policy from time to time to reflect changes in law, Platform features, or process. Material changes will be communicated through the Platform or by other reasonable means. The "Last Updated" date on the cover page indicates the latest version.</w:t>
      </w:r>
    </w:p>
    <w:p>
      <w:pPr>
        <w:pStyle w:val="Heading1"/>
        <w:spacing w:after="120" w:before="260"/>
      </w:pPr>
      <w:bookmarkStart w:name="_ztoc_16" w:id="1019"/>
      <w:r>
        <w:rPr>
          <w:b/>
          <w:bCs/>
        </w:rPr>
        <w:t xml:space="preserve">14. CONTACT INFORMATION</w:t>
      </w:r>
      <w:bookmarkEnd w:id="1019"/>
    </w:p>
    <w:p>
      <w:pPr>
        <w:spacing w:after="120"/>
      </w:pPr>
      <w:r>
        <w:t xml:space="preserve">For questions, requests, or concerns relating to this document, please contact:</w:t>
      </w:r>
    </w:p>
    <w:p>
      <w:pPr>
        <w:spacing w:after="120"/>
      </w:pPr>
      <w:r>
        <w:rPr>
          <w:b/>
          <w:bCs/>
        </w:rPr>
        <w:t xml:space="preserve">Hybrid Monks LLP</w:t>
      </w:r>
    </w:p>
    <w:p>
      <w:pPr>
        <w:spacing w:after="120"/>
      </w:pPr>
      <w:r>
        <w:t xml:space="preserve">Brand: Zopiq</w:t>
      </w:r>
    </w:p>
    <w:p>
      <w:pPr>
        <w:spacing w:after="120"/>
      </w:pPr>
      <w:r>
        <w:t xml:space="preserve">Registered Office: C/O Meena Dev, Main Road, Sadri, Rajasthan – 306702, India</w:t>
      </w:r>
    </w:p>
    <w:p>
      <w:pPr>
        <w:spacing w:after="120"/>
      </w:pPr>
      <w:r>
        <w:t xml:space="preserve">Email: hello@hybridmonks.com</w:t>
      </w:r>
    </w:p>
    <w:p>
      <w:pPr>
        <w:spacing w:after="120"/>
      </w:pPr>
      <w:r>
        <w:t xml:space="preserve">Phone: +91 96608 77411</w:t>
      </w:r>
    </w:p>
    <w:p>
      <w:pPr>
        <w:spacing w:after="120"/>
      </w:pPr>
      <w:r>
        <w:t xml:space="preserve">GSTIN: 08AATFH7649R1Z2</w:t>
      </w:r>
    </w:p>
    <w:sectPr>
      <w:headerReference w:type="default" r:id="rId7"/>
      <w:footerReference w:type="default" r:id="rId8"/>
      <w:pgSz w:w="11906" w:h="16838" w:orient="portrait"/>
      <w:pgMar w:top="1180" w:right="1200" w:bottom="11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color w:val="888888"/>
        <w:sz w:val="16"/>
        <w:szCs w:val="16"/>
      </w:rPr>
      <w:t xml:space="preserve">Zopiq Grievance Redressal Policy  |  Confidential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9026"/>
      </w:tabs>
    </w:pPr>
    <w:r>
      <w:rPr>
        <w:color w:val="888888"/>
        <w:sz w:val="16"/>
        <w:szCs w:val="16"/>
      </w:rPr>
      <w:t xml:space="preserve">Zopiq — Grievance Redressal Policy</w:t>
    </w:r>
    <w:r>
      <w:rPr>
        <w:color w:val="888888"/>
        <w:sz w:val="16"/>
        <w:szCs w:val="16"/>
      </w:rPr>
      <w:t xml:space="preserve">	Hybrid Monks LLP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outlineLvl w:val="0"/>
    </w:pPr>
    <w:rPr>
      <w:color w:val="1A1A1A"/>
      <w:sz w:val="32"/>
      <w:szCs w:val="32"/>
    </w:rPr>
  </w:style>
  <w:style w:type="paragraph" w:styleId="Heading2">
    <w:name w:val="Heading 2"/>
    <w:basedOn w:val="Normal"/>
    <w:next w:val="Normal"/>
    <w:qFormat/>
    <w:pPr>
      <w:outlineLvl w:val="1"/>
    </w:pPr>
    <w:rPr>
      <w:color w:val="2A2A2A"/>
      <w:sz w:val="26"/>
      <w:szCs w:val="26"/>
    </w:rPr>
  </w:style>
  <w:style w:type="paragraph" w:styleId="Heading3">
    <w:name w:val="Heading 3"/>
    <w:basedOn w:val="Normal"/>
    <w:next w:val="Normal"/>
    <w:qFormat/>
    <w:pPr>
      <w:outlineLvl w:val="2"/>
    </w:pPr>
    <w:rPr>
      <w:color w:val="3A3A3A"/>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pPr>
    <w:rPr>
      <w:b/>
      <w:bCs/>
      <w:color w:val="1a1a1a"/>
      <w:sz w:val="28"/>
      <w:szCs w:val="28"/>
    </w:rPr>
  </w:style>
  <w:style w:type="paragraph" w:styleId="Heading2">
    <w:name w:val="Heading 2"/>
    <w:basedOn w:val="Normal"/>
    <w:next w:val="Normal"/>
    <w:qFormat/>
    <w:pPr>
      <w:spacing w:after="70" w:before="160"/>
    </w:pPr>
    <w:rPr>
      <w:b/>
      <w:bCs/>
      <w:color w:val="2a2a2a"/>
      <w:sz w:val="24"/>
      <w:szCs w:val="24"/>
    </w:rPr>
  </w:style>
  <w:style w:type="paragraph" w:styleId="Heading3">
    <w:name w:val="Heading 3"/>
    <w:basedOn w:val="Normal"/>
    <w:next w:val="Normal"/>
    <w:qFormat/>
    <w:pPr>
      <w:spacing w:after="60" w:before="120"/>
    </w:pPr>
    <w:rPr>
      <w:b/>
      <w:bCs/>
      <w:color w:val="3a3a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Zopiq Grievance Redressal Policy</dc:title>
  <dc:creator>Hybrid Monks LLP</dc:creator>
  <cp:lastModifiedBy>Un-named</cp:lastModifiedBy>
  <cp:revision>1</cp:revision>
  <dcterms:created xsi:type="dcterms:W3CDTF">2026-08-16T16:37:28.483Z</dcterms:created>
  <dcterms:modified xsi:type="dcterms:W3CDTF">2026-08-16T16:37:28.483Z</dcterms:modified>
</cp:coreProperties>
</file>

<file path=docProps/custom.xml><?xml version="1.0" encoding="utf-8"?>
<Properties xmlns="http://schemas.openxmlformats.org/officeDocument/2006/custom-properties" xmlns:vt="http://schemas.openxmlformats.org/officeDocument/2006/docPropsVTypes"/>
</file>