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a1a1a"/>
          <w:sz w:val="56"/>
          <w:szCs w:val="56"/>
        </w:rPr>
        <w:t xml:space="preserve">ZOPIQ</w:t>
      </w:r>
    </w:p>
    <w:p>
      <w:pPr>
        <w:spacing w:after="600"/>
        <w:jc w:val="center"/>
      </w:pPr>
      <w:r>
        <w:rPr>
          <w:color w:val="666666"/>
          <w:sz w:val="24"/>
          <w:szCs w:val="24"/>
        </w:rPr>
        <w:t xml:space="preserve">Legal &amp; Operational Documentation</w:t>
      </w:r>
    </w:p>
    <w:p>
      <w:pPr>
        <w:pBdr>
          <w:bottom w:val="single" w:color="CCCCCC" w:sz="6" w:space="4"/>
        </w:pBdr>
        <w:spacing w:after="400"/>
        <w:jc w:val="center"/>
      </w:pPr>
    </w:p>
    <w:p>
      <w:pPr>
        <w:spacing w:after="120"/>
        <w:jc w:val="center"/>
      </w:pPr>
      <w:r>
        <w:rPr>
          <w:b/>
          <w:bCs/>
          <w:sz w:val="40"/>
          <w:szCs w:val="40"/>
        </w:rPr>
        <w:t xml:space="preserve">PAYMENT &amp; SETTLEMENT POLICY</w:t>
      </w:r>
    </w:p>
    <w:p>
      <w:pPr>
        <w:spacing w:after="400"/>
        <w:jc w:val="center"/>
      </w:pPr>
      <w:r>
        <w:rPr>
          <w:color w:val="444444"/>
          <w:sz w:val="24"/>
          <w:szCs w:val="24"/>
        </w:rPr>
        <w:t xml:space="preserve">Payments, Refunds, Settlements, and Payouts</w:t>
      </w:r>
    </w:p>
    <w:p>
      <w:pPr>
        <w:pBdr>
          <w:bottom w:val="single" w:color="CCCCCC" w:sz="6" w:space="4"/>
        </w:pBdr>
        <w:spacing w:after="400" w:before="400"/>
        <w:jc w:val="center"/>
      </w:pPr>
    </w:p>
    <w:p>
      <w:pPr>
        <w:spacing w:after="60"/>
        <w:jc w:val="center"/>
      </w:pPr>
      <w:r>
        <w:rPr>
          <w:b/>
          <w:bCs/>
          <w:color w:val="555555"/>
          <w:sz w:val="20"/>
          <w:szCs w:val="20"/>
        </w:rPr>
        <w:t xml:space="preserve">Document:  </w:t>
      </w:r>
      <w:r>
        <w:rPr>
          <w:sz w:val="20"/>
          <w:szCs w:val="20"/>
        </w:rPr>
        <w:t xml:space="preserve">ZOPIQ-LEGAL-12</w:t>
      </w:r>
    </w:p>
    <w:p>
      <w:pPr>
        <w:spacing w:after="60"/>
        <w:jc w:val="center"/>
      </w:pPr>
      <w:r>
        <w:rPr>
          <w:b/>
          <w:bCs/>
          <w:color w:val="555555"/>
          <w:sz w:val="20"/>
          <w:szCs w:val="20"/>
        </w:rPr>
        <w:t xml:space="preserve">Version:  </w:t>
      </w:r>
      <w:r>
        <w:rPr>
          <w:sz w:val="20"/>
          <w:szCs w:val="20"/>
        </w:rPr>
        <w:t xml:space="preserve">1.0</w:t>
      </w:r>
    </w:p>
    <w:p>
      <w:pPr>
        <w:spacing w:after="60"/>
        <w:jc w:val="center"/>
      </w:pPr>
      <w:r>
        <w:rPr>
          <w:b/>
          <w:bCs/>
          <w:color w:val="555555"/>
          <w:sz w:val="20"/>
          <w:szCs w:val="20"/>
        </w:rPr>
        <w:t xml:space="preserve">Status:  </w:t>
      </w:r>
      <w:r>
        <w:rPr>
          <w:sz w:val="20"/>
          <w:szCs w:val="20"/>
        </w:rPr>
        <w:t xml:space="preserve">Publication-Ready</w:t>
      </w:r>
    </w:p>
    <w:p>
      <w:pPr>
        <w:spacing w:after="60"/>
        <w:jc w:val="center"/>
      </w:pPr>
      <w:r>
        <w:rPr>
          <w:b/>
          <w:bCs/>
          <w:color w:val="555555"/>
          <w:sz w:val="20"/>
          <w:szCs w:val="20"/>
        </w:rPr>
        <w:t xml:space="preserve">Effective Date:  </w:t>
      </w:r>
      <w:r>
        <w:rPr>
          <w:sz w:val="20"/>
          <w:szCs w:val="20"/>
        </w:rPr>
        <w:t xml:space="preserve">[To be inserted on launch]</w:t>
      </w:r>
    </w:p>
    <w:p>
      <w:pPr>
        <w:spacing w:after="60"/>
        <w:jc w:val="center"/>
      </w:pPr>
      <w:r>
        <w:rPr>
          <w:b/>
          <w:bCs/>
          <w:color w:val="555555"/>
          <w:sz w:val="20"/>
          <w:szCs w:val="20"/>
        </w:rPr>
        <w:t xml:space="preserve">Owner:  </w:t>
      </w:r>
      <w:r>
        <w:rPr>
          <w:sz w:val="20"/>
          <w:szCs w:val="20"/>
        </w:rPr>
        <w:t xml:space="preserve">Hybrid Monks LLP (Zopiq)</w:t>
      </w:r>
    </w:p>
    <w:p>
      <w:pPr>
        <w:spacing w:after="40" w:before="1400"/>
        <w:jc w:val="center"/>
      </w:pPr>
      <w:r>
        <w:rPr>
          <w:b/>
          <w:bCs/>
          <w:sz w:val="22"/>
          <w:szCs w:val="22"/>
        </w:rPr>
        <w:t xml:space="preserve">Hybrid Monks LLP</w:t>
      </w:r>
    </w:p>
    <w:p>
      <w:pPr>
        <w:spacing w:after="40"/>
        <w:jc w:val="center"/>
      </w:pPr>
      <w:r>
        <w:rPr>
          <w:color w:val="666666"/>
          <w:sz w:val="18"/>
          <w:szCs w:val="18"/>
        </w:rPr>
        <w:t xml:space="preserve">C/O Meena Dev, Main Road, Sadri, Rajasthan – 306702, India</w:t>
      </w:r>
    </w:p>
    <w:p>
      <w:pPr>
        <w:spacing w:after="40"/>
        <w:jc w:val="center"/>
      </w:pPr>
      <w:r>
        <w:rPr>
          <w:color w:val="666666"/>
          <w:sz w:val="18"/>
          <w:szCs w:val="18"/>
        </w:rPr>
        <w:t xml:space="preserve">hello@hybridmonks.com  |  +91 96608 77411  |  GSTIN: 08AATFH7649R1Z2</w:t>
      </w:r>
    </w:p>
    <w:p>
      <w:r>
        <w:br w:type="page"/>
      </w:r>
    </w:p>
    <w:p>
      <w:pPr>
        <w:pStyle w:val="Heading1"/>
        <w:spacing w:after="120" w:before="260"/>
      </w:pPr>
      <w:bookmarkStart w:name="_ztoc_28" w:id="1001"/>
      <w:r>
        <w:rPr>
          <w:b/>
          <w:bCs/>
        </w:rPr>
        <w:t xml:space="preserve">Document Control &amp; Version History</w:t>
      </w:r>
      <w:bookmarkEnd w:id="1001"/>
    </w:p>
    <w:p>
      <w:pPr>
        <w:spacing w:after="120"/>
      </w:pPr>
      <w:r>
        <w:t xml:space="preserve">This document is maintained under version control. Any material amendment will be recorded in the table below and reflected in the version number and effective date on the cover page.</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200"/>
        <w:gridCol w:w="1600"/>
        <w:gridCol w:w="4560"/>
        <w:gridCol w:w="2000"/>
      </w:tblGrid>
      <w:tr>
        <w:trPr>
          <w:tblHeader/>
        </w:trPr>
        <w:tc>
          <w:tcPr>
            <w:tcW w:type="dxa" w:w="1200"/>
            <w:shd w:fill="E8E8E8" w:val="clear"/>
            <w:tcMar>
              <w:top w:type="dxa" w:w="60"/>
              <w:left w:type="dxa" w:w="90"/>
              <w:bottom w:type="dxa" w:w="60"/>
              <w:right w:type="dxa" w:w="90"/>
            </w:tcMar>
          </w:tcPr>
          <w:p>
            <w:r>
              <w:rPr>
                <w:b/>
                <w:bCs/>
                <w:sz w:val="20"/>
                <w:szCs w:val="20"/>
              </w:rPr>
              <w:t xml:space="preserve">Version</w:t>
            </w:r>
          </w:p>
        </w:tc>
        <w:tc>
          <w:tcPr>
            <w:tcW w:type="dxa" w:w="1600"/>
            <w:shd w:fill="E8E8E8" w:val="clear"/>
            <w:tcMar>
              <w:top w:type="dxa" w:w="60"/>
              <w:left w:type="dxa" w:w="90"/>
              <w:bottom w:type="dxa" w:w="60"/>
              <w:right w:type="dxa" w:w="90"/>
            </w:tcMar>
          </w:tcPr>
          <w:p>
            <w:r>
              <w:rPr>
                <w:b/>
                <w:bCs/>
                <w:sz w:val="20"/>
                <w:szCs w:val="20"/>
              </w:rPr>
              <w:t xml:space="preserve">Date</w:t>
            </w:r>
          </w:p>
        </w:tc>
        <w:tc>
          <w:tcPr>
            <w:tcW w:type="dxa" w:w="4560"/>
            <w:shd w:fill="E8E8E8" w:val="clear"/>
            <w:tcMar>
              <w:top w:type="dxa" w:w="60"/>
              <w:left w:type="dxa" w:w="90"/>
              <w:bottom w:type="dxa" w:w="60"/>
              <w:right w:type="dxa" w:w="90"/>
            </w:tcMar>
          </w:tcPr>
          <w:p>
            <w:r>
              <w:rPr>
                <w:b/>
                <w:bCs/>
                <w:sz w:val="20"/>
                <w:szCs w:val="20"/>
              </w:rPr>
              <w:t xml:space="preserve">Summary of Changes</w:t>
            </w:r>
          </w:p>
        </w:tc>
        <w:tc>
          <w:tcPr>
            <w:tcW w:type="dxa" w:w="2000"/>
            <w:shd w:fill="E8E8E8" w:val="clear"/>
            <w:tcMar>
              <w:top w:type="dxa" w:w="60"/>
              <w:left w:type="dxa" w:w="90"/>
              <w:bottom w:type="dxa" w:w="60"/>
              <w:right w:type="dxa" w:w="90"/>
            </w:tcMar>
          </w:tcPr>
          <w:p>
            <w:r>
              <w:rPr>
                <w:b/>
                <w:bCs/>
                <w:sz w:val="20"/>
                <w:szCs w:val="20"/>
              </w:rPr>
              <w:t xml:space="preserve">Approved By</w:t>
            </w:r>
          </w:p>
        </w:tc>
      </w:tr>
      <w:tr>
        <w:tc>
          <w:tcPr>
            <w:tcW w:type="dxa" w:w="1200"/>
            <w:tcMar>
              <w:top w:type="dxa" w:w="60"/>
              <w:left w:type="dxa" w:w="90"/>
              <w:bottom w:type="dxa" w:w="60"/>
              <w:right w:type="dxa" w:w="90"/>
            </w:tcMar>
          </w:tcPr>
          <w:p>
            <w:r>
              <w:rPr>
                <w:b w:val="false"/>
                <w:bCs w:val="false"/>
                <w:sz w:val="20"/>
                <w:szCs w:val="20"/>
              </w:rPr>
              <w:t xml:space="preserve">1.0</w:t>
            </w:r>
          </w:p>
        </w:tc>
        <w:tc>
          <w:tcPr>
            <w:tcW w:type="dxa" w:w="1600"/>
            <w:tcMar>
              <w:top w:type="dxa" w:w="60"/>
              <w:left w:type="dxa" w:w="90"/>
              <w:bottom w:type="dxa" w:w="60"/>
              <w:right w:type="dxa" w:w="90"/>
            </w:tcMar>
          </w:tcPr>
          <w:p>
            <w:r>
              <w:rPr>
                <w:b w:val="false"/>
                <w:bCs w:val="false"/>
                <w:sz w:val="20"/>
                <w:szCs w:val="20"/>
              </w:rPr>
              <w:t xml:space="preserve">[Launch Date]</w:t>
            </w:r>
          </w:p>
        </w:tc>
        <w:tc>
          <w:tcPr>
            <w:tcW w:type="dxa" w:w="4560"/>
            <w:tcMar>
              <w:top w:type="dxa" w:w="60"/>
              <w:left w:type="dxa" w:w="90"/>
              <w:bottom w:type="dxa" w:w="60"/>
              <w:right w:type="dxa" w:w="90"/>
            </w:tcMar>
          </w:tcPr>
          <w:p>
            <w:r>
              <w:rPr>
                <w:b w:val="false"/>
                <w:bCs w:val="false"/>
                <w:sz w:val="20"/>
                <w:szCs w:val="20"/>
              </w:rPr>
              <w:t xml:space="preserve">Initial publication-ready version.</w:t>
            </w:r>
          </w:p>
        </w:tc>
        <w:tc>
          <w:tcPr>
            <w:tcW w:type="dxa" w:w="2000"/>
            <w:tcMar>
              <w:top w:type="dxa" w:w="60"/>
              <w:left w:type="dxa" w:w="90"/>
              <w:bottom w:type="dxa" w:w="60"/>
              <w:right w:type="dxa" w:w="90"/>
            </w:tcMar>
          </w:tcPr>
          <w:p>
            <w:r>
              <w:rPr>
                <w:b w:val="false"/>
                <w:bCs w:val="false"/>
                <w:sz w:val="20"/>
                <w:szCs w:val="20"/>
              </w:rPr>
              <w:t xml:space="preserve">Hybrid Monks LLP</w:t>
            </w:r>
          </w:p>
        </w:tc>
      </w:tr>
    </w:tbl>
    <w:p>
      <w:pPr>
        <w:spacing w:after="120"/>
      </w:pPr>
    </w:p>
    <w:p>
      <w:r>
        <w:br w:type="page"/>
      </w:r>
    </w:p>
    <w:p>
      <w:pPr>
        <w:pStyle w:val="Heading1"/>
        <w:spacing w:after="120" w:before="260"/>
      </w:pPr>
      <w:bookmarkStart w:name="_ztoc_29" w:id="1002"/>
      <w:r>
        <w:rPr>
          <w:b/>
          <w:bCs/>
        </w:rPr>
        <w:t xml:space="preserve">Table of Contents</w:t>
      </w:r>
      <w:bookmarkEnd w:id="1002"/>
    </w:p>
    <w:p>
      <w:pPr>
        <w:spacing w:after="120"/>
      </w:pPr>
      <w:r>
        <w:rPr>
          <w:i/>
          <w:iCs/>
          <w:color w:val="777777"/>
          <w:sz w:val="18"/>
          <w:szCs w:val="18"/>
        </w:rPr>
        <w:t xml:space="preserve">Page numbers below are live fields — in Microsoft Word, press Ctrl+A then F9 to refresh them after editing.</w:t>
      </w:r>
    </w:p>
    <w:p>
      <w:pPr>
        <w:tabs>
          <w:tab w:val="right" w:pos="9350" w:leader="dot"/>
        </w:tabs>
        <w:spacing w:after="60"/>
        <w:ind w:left="0"/>
      </w:pPr>
      <w:hyperlink w:history="1" w:anchor="_ztoc_0">
        <w:r>
          <w:rPr>
            <w:b/>
            <w:bCs/>
            <w:color w:val="1a1a1a"/>
            <w:sz w:val="22"/>
            <w:szCs w:val="22"/>
          </w:rPr>
          <w:t xml:space="preserve">1. INTRODUCTION</w:t>
        </w:r>
      </w:hyperlink>
      <w:r>
        <w:rPr>
          <w:sz w:val="22"/>
          <w:szCs w:val="22"/>
        </w:rPr>
        <w:t xml:space="preserve">	</w:t>
      </w:r>
      <w:hyperlink w:history="1" w:anchor="_ztoc_0">
        <w:fldSimple w:instr="PAGEREF _ztoc_0 \h">
          <w:r>
            <w:t xml:space="preserve">•</w:t>
          </w:r>
        </w:fldSimple>
      </w:hyperlink>
    </w:p>
    <w:p>
      <w:pPr>
        <w:tabs>
          <w:tab w:val="right" w:pos="9350" w:leader="dot"/>
        </w:tabs>
        <w:spacing w:after="60"/>
        <w:ind w:left="0"/>
      </w:pPr>
      <w:hyperlink w:history="1" w:anchor="_ztoc_1">
        <w:r>
          <w:rPr>
            <w:b/>
            <w:bCs/>
            <w:color w:val="1a1a1a"/>
            <w:sz w:val="22"/>
            <w:szCs w:val="22"/>
          </w:rPr>
          <w:t xml:space="preserve">2. DEFINITIONS</w:t>
        </w:r>
      </w:hyperlink>
      <w:r>
        <w:rPr>
          <w:sz w:val="22"/>
          <w:szCs w:val="22"/>
        </w:rPr>
        <w:t xml:space="preserve">	</w:t>
      </w:r>
      <w:hyperlink w:history="1" w:anchor="_ztoc_1">
        <w:fldSimple w:instr="PAGEREF _ztoc_1 \h">
          <w:r>
            <w:t xml:space="preserve">•</w:t>
          </w:r>
        </w:fldSimple>
      </w:hyperlink>
    </w:p>
    <w:p>
      <w:pPr>
        <w:tabs>
          <w:tab w:val="right" w:pos="9350" w:leader="dot"/>
        </w:tabs>
        <w:spacing w:after="60"/>
        <w:ind w:left="0"/>
      </w:pPr>
      <w:hyperlink w:history="1" w:anchor="_ztoc_2">
        <w:r>
          <w:rPr>
            <w:b/>
            <w:bCs/>
            <w:color w:val="1a1a1a"/>
            <w:sz w:val="22"/>
            <w:szCs w:val="22"/>
          </w:rPr>
          <w:t xml:space="preserve">3. PAYMENT METHODS</w:t>
        </w:r>
      </w:hyperlink>
      <w:r>
        <w:rPr>
          <w:sz w:val="22"/>
          <w:szCs w:val="22"/>
        </w:rPr>
        <w:t xml:space="preserve">	</w:t>
      </w:r>
      <w:hyperlink w:history="1" w:anchor="_ztoc_2">
        <w:fldSimple w:instr="PAGEREF _ztoc_2 \h">
          <w:r>
            <w:t xml:space="preserve">•</w:t>
          </w:r>
        </w:fldSimple>
      </w:hyperlink>
    </w:p>
    <w:p>
      <w:pPr>
        <w:tabs>
          <w:tab w:val="right" w:pos="9350" w:leader="dot"/>
        </w:tabs>
        <w:spacing w:after="60"/>
        <w:ind w:left="0"/>
      </w:pPr>
      <w:hyperlink w:history="1" w:anchor="_ztoc_3">
        <w:r>
          <w:rPr>
            <w:b/>
            <w:bCs/>
            <w:color w:val="1a1a1a"/>
            <w:sz w:val="22"/>
            <w:szCs w:val="22"/>
          </w:rPr>
          <w:t xml:space="preserve">4. CUSTOMER PAYMENT STRUCTURE</w:t>
        </w:r>
      </w:hyperlink>
      <w:r>
        <w:rPr>
          <w:sz w:val="22"/>
          <w:szCs w:val="22"/>
        </w:rPr>
        <w:t xml:space="preserve">	</w:t>
      </w:r>
      <w:hyperlink w:history="1" w:anchor="_ztoc_3">
        <w:fldSimple w:instr="PAGEREF _ztoc_3 \h">
          <w:r>
            <w:t xml:space="preserve">•</w:t>
          </w:r>
        </w:fldSimple>
      </w:hyperlink>
    </w:p>
    <w:p>
      <w:pPr>
        <w:tabs>
          <w:tab w:val="right" w:pos="9350" w:leader="dot"/>
        </w:tabs>
        <w:spacing w:after="30"/>
        <w:ind w:left="360"/>
      </w:pPr>
      <w:hyperlink w:history="1" w:anchor="_ztoc_4">
        <w:r>
          <w:rPr>
            <w:b w:val="false"/>
            <w:bCs w:val="false"/>
            <w:color w:val="1a1a1a"/>
            <w:sz w:val="20"/>
            <w:szCs w:val="20"/>
          </w:rPr>
          <w:t xml:space="preserve">4.1 40% Advance Payment</w:t>
        </w:r>
      </w:hyperlink>
      <w:r>
        <w:rPr>
          <w:sz w:val="20"/>
          <w:szCs w:val="20"/>
        </w:rPr>
        <w:t xml:space="preserve">	</w:t>
      </w:r>
      <w:hyperlink w:history="1" w:anchor="_ztoc_4">
        <w:fldSimple w:instr="PAGEREF _ztoc_4 \h">
          <w:r>
            <w:t xml:space="preserve">•</w:t>
          </w:r>
        </w:fldSimple>
      </w:hyperlink>
    </w:p>
    <w:p>
      <w:pPr>
        <w:tabs>
          <w:tab w:val="right" w:pos="9350" w:leader="dot"/>
        </w:tabs>
        <w:spacing w:after="30"/>
        <w:ind w:left="360"/>
      </w:pPr>
      <w:hyperlink w:history="1" w:anchor="_ztoc_5">
        <w:r>
          <w:rPr>
            <w:b w:val="false"/>
            <w:bCs w:val="false"/>
            <w:color w:val="1a1a1a"/>
            <w:sz w:val="20"/>
            <w:szCs w:val="20"/>
          </w:rPr>
          <w:t xml:space="preserve">4.2 60% on Delivery</w:t>
        </w:r>
      </w:hyperlink>
      <w:r>
        <w:rPr>
          <w:sz w:val="20"/>
          <w:szCs w:val="20"/>
        </w:rPr>
        <w:t xml:space="preserve">	</w:t>
      </w:r>
      <w:hyperlink w:history="1" w:anchor="_ztoc_5">
        <w:fldSimple w:instr="PAGEREF _ztoc_5 \h">
          <w:r>
            <w:t xml:space="preserve">•</w:t>
          </w:r>
        </w:fldSimple>
      </w:hyperlink>
    </w:p>
    <w:p>
      <w:pPr>
        <w:tabs>
          <w:tab w:val="right" w:pos="9350" w:leader="dot"/>
        </w:tabs>
        <w:spacing w:after="30"/>
        <w:ind w:left="360"/>
      </w:pPr>
      <w:hyperlink w:history="1" w:anchor="_ztoc_6">
        <w:r>
          <w:rPr>
            <w:b w:val="false"/>
            <w:bCs w:val="false"/>
            <w:color w:val="1a1a1a"/>
            <w:sz w:val="20"/>
            <w:szCs w:val="20"/>
          </w:rPr>
          <w:t xml:space="preserve">4.3 Non-Refundable Advance</w:t>
        </w:r>
      </w:hyperlink>
      <w:r>
        <w:rPr>
          <w:sz w:val="20"/>
          <w:szCs w:val="20"/>
        </w:rPr>
        <w:t xml:space="preserve">	</w:t>
      </w:r>
      <w:hyperlink w:history="1" w:anchor="_ztoc_6">
        <w:fldSimple w:instr="PAGEREF _ztoc_6 \h">
          <w:r>
            <w:t xml:space="preserve">•</w:t>
          </w:r>
        </w:fldSimple>
      </w:hyperlink>
    </w:p>
    <w:p>
      <w:pPr>
        <w:tabs>
          <w:tab w:val="right" w:pos="9350" w:leader="dot"/>
        </w:tabs>
        <w:spacing w:after="30"/>
        <w:ind w:left="360"/>
      </w:pPr>
      <w:hyperlink w:history="1" w:anchor="_ztoc_7">
        <w:r>
          <w:rPr>
            <w:b w:val="false"/>
            <w:bCs w:val="false"/>
            <w:color w:val="1a1a1a"/>
            <w:sz w:val="20"/>
            <w:szCs w:val="20"/>
          </w:rPr>
          <w:t xml:space="preserve">4.4 Prepaid Orders</w:t>
        </w:r>
      </w:hyperlink>
      <w:r>
        <w:rPr>
          <w:sz w:val="20"/>
          <w:szCs w:val="20"/>
        </w:rPr>
        <w:t xml:space="preserve">	</w:t>
      </w:r>
      <w:hyperlink w:history="1" w:anchor="_ztoc_7">
        <w:fldSimple w:instr="PAGEREF _ztoc_7 \h">
          <w:r>
            <w:t xml:space="preserve">•</w:t>
          </w:r>
        </w:fldSimple>
      </w:hyperlink>
    </w:p>
    <w:p>
      <w:pPr>
        <w:tabs>
          <w:tab w:val="right" w:pos="9350" w:leader="dot"/>
        </w:tabs>
        <w:spacing w:after="60"/>
        <w:ind w:left="0"/>
      </w:pPr>
      <w:hyperlink w:history="1" w:anchor="_ztoc_8">
        <w:r>
          <w:rPr>
            <w:b/>
            <w:bCs/>
            <w:color w:val="1a1a1a"/>
            <w:sz w:val="22"/>
            <w:szCs w:val="22"/>
          </w:rPr>
          <w:t xml:space="preserve">5. DELIVERY FEES</w:t>
        </w:r>
      </w:hyperlink>
      <w:r>
        <w:rPr>
          <w:sz w:val="22"/>
          <w:szCs w:val="22"/>
        </w:rPr>
        <w:t xml:space="preserve">	</w:t>
      </w:r>
      <w:hyperlink w:history="1" w:anchor="_ztoc_8">
        <w:fldSimple w:instr="PAGEREF _ztoc_8 \h">
          <w:r>
            <w:t xml:space="preserve">•</w:t>
          </w:r>
        </w:fldSimple>
      </w:hyperlink>
    </w:p>
    <w:p>
      <w:pPr>
        <w:tabs>
          <w:tab w:val="right" w:pos="9350" w:leader="dot"/>
        </w:tabs>
        <w:spacing w:after="60"/>
        <w:ind w:left="0"/>
      </w:pPr>
      <w:hyperlink w:history="1" w:anchor="_ztoc_9">
        <w:r>
          <w:rPr>
            <w:b/>
            <w:bCs/>
            <w:color w:val="1a1a1a"/>
            <w:sz w:val="22"/>
            <w:szCs w:val="22"/>
          </w:rPr>
          <w:t xml:space="preserve">6. RESTAURANT COMMISSION</w:t>
        </w:r>
      </w:hyperlink>
      <w:r>
        <w:rPr>
          <w:sz w:val="22"/>
          <w:szCs w:val="22"/>
        </w:rPr>
        <w:t xml:space="preserve">	</w:t>
      </w:r>
      <w:hyperlink w:history="1" w:anchor="_ztoc_9">
        <w:fldSimple w:instr="PAGEREF _ztoc_9 \h">
          <w:r>
            <w:t xml:space="preserve">•</w:t>
          </w:r>
        </w:fldSimple>
      </w:hyperlink>
    </w:p>
    <w:p>
      <w:pPr>
        <w:tabs>
          <w:tab w:val="right" w:pos="9350" w:leader="dot"/>
        </w:tabs>
        <w:spacing w:after="60"/>
        <w:ind w:left="0"/>
      </w:pPr>
      <w:hyperlink w:history="1" w:anchor="_ztoc_10">
        <w:r>
          <w:rPr>
            <w:b/>
            <w:bCs/>
            <w:color w:val="1a1a1a"/>
            <w:sz w:val="22"/>
            <w:szCs w:val="22"/>
          </w:rPr>
          <w:t xml:space="preserve">7. RESTAURANT SETTLEMENT</w:t>
        </w:r>
      </w:hyperlink>
      <w:r>
        <w:rPr>
          <w:sz w:val="22"/>
          <w:szCs w:val="22"/>
        </w:rPr>
        <w:t xml:space="preserve">	</w:t>
      </w:r>
      <w:hyperlink w:history="1" w:anchor="_ztoc_10">
        <w:fldSimple w:instr="PAGEREF _ztoc_10 \h">
          <w:r>
            <w:t xml:space="preserve">•</w:t>
          </w:r>
        </w:fldSimple>
      </w:hyperlink>
    </w:p>
    <w:p>
      <w:pPr>
        <w:tabs>
          <w:tab w:val="right" w:pos="9350" w:leader="dot"/>
        </w:tabs>
        <w:spacing w:after="30"/>
        <w:ind w:left="360"/>
      </w:pPr>
      <w:hyperlink w:history="1" w:anchor="_ztoc_11">
        <w:r>
          <w:rPr>
            <w:b w:val="false"/>
            <w:bCs w:val="false"/>
            <w:color w:val="1a1a1a"/>
            <w:sz w:val="20"/>
            <w:szCs w:val="20"/>
          </w:rPr>
          <w:t xml:space="preserve">7.1 Deductions</w:t>
        </w:r>
      </w:hyperlink>
      <w:r>
        <w:rPr>
          <w:sz w:val="20"/>
          <w:szCs w:val="20"/>
        </w:rPr>
        <w:t xml:space="preserve">	</w:t>
      </w:r>
      <w:hyperlink w:history="1" w:anchor="_ztoc_11">
        <w:fldSimple w:instr="PAGEREF _ztoc_11 \h">
          <w:r>
            <w:t xml:space="preserve">•</w:t>
          </w:r>
        </w:fldSimple>
      </w:hyperlink>
    </w:p>
    <w:p>
      <w:pPr>
        <w:tabs>
          <w:tab w:val="right" w:pos="9350" w:leader="dot"/>
        </w:tabs>
        <w:spacing w:after="30"/>
        <w:ind w:left="360"/>
      </w:pPr>
      <w:hyperlink w:history="1" w:anchor="_ztoc_12">
        <w:r>
          <w:rPr>
            <w:b w:val="false"/>
            <w:bCs w:val="false"/>
            <w:color w:val="1a1a1a"/>
            <w:sz w:val="20"/>
            <w:szCs w:val="20"/>
          </w:rPr>
          <w:t xml:space="preserve">7.2 Settlement Reports</w:t>
        </w:r>
      </w:hyperlink>
      <w:r>
        <w:rPr>
          <w:sz w:val="20"/>
          <w:szCs w:val="20"/>
        </w:rPr>
        <w:t xml:space="preserve">	</w:t>
      </w:r>
      <w:hyperlink w:history="1" w:anchor="_ztoc_12">
        <w:fldSimple w:instr="PAGEREF _ztoc_12 \h">
          <w:r>
            <w:t xml:space="preserve">•</w:t>
          </w:r>
        </w:fldSimple>
      </w:hyperlink>
    </w:p>
    <w:p>
      <w:pPr>
        <w:tabs>
          <w:tab w:val="right" w:pos="9350" w:leader="dot"/>
        </w:tabs>
        <w:spacing w:after="30"/>
        <w:ind w:left="360"/>
      </w:pPr>
      <w:hyperlink w:history="1" w:anchor="_ztoc_13">
        <w:r>
          <w:rPr>
            <w:b w:val="false"/>
            <w:bCs w:val="false"/>
            <w:color w:val="1a1a1a"/>
            <w:sz w:val="20"/>
            <w:szCs w:val="20"/>
          </w:rPr>
          <w:t xml:space="preserve">7.3 Withholding</w:t>
        </w:r>
      </w:hyperlink>
      <w:r>
        <w:rPr>
          <w:sz w:val="20"/>
          <w:szCs w:val="20"/>
        </w:rPr>
        <w:t xml:space="preserve">	</w:t>
      </w:r>
      <w:hyperlink w:history="1" w:anchor="_ztoc_13">
        <w:fldSimple w:instr="PAGEREF _ztoc_13 \h">
          <w:r>
            <w:t xml:space="preserve">•</w:t>
          </w:r>
        </w:fldSimple>
      </w:hyperlink>
    </w:p>
    <w:p>
      <w:pPr>
        <w:tabs>
          <w:tab w:val="right" w:pos="9350" w:leader="dot"/>
        </w:tabs>
        <w:spacing w:after="60"/>
        <w:ind w:left="0"/>
      </w:pPr>
      <w:hyperlink w:history="1" w:anchor="_ztoc_14">
        <w:r>
          <w:rPr>
            <w:b/>
            <w:bCs/>
            <w:color w:val="1a1a1a"/>
            <w:sz w:val="22"/>
            <w:szCs w:val="22"/>
          </w:rPr>
          <w:t xml:space="preserve">8. DELIVERY PARTNER PAYOUTS</w:t>
        </w:r>
      </w:hyperlink>
      <w:r>
        <w:rPr>
          <w:sz w:val="22"/>
          <w:szCs w:val="22"/>
        </w:rPr>
        <w:t xml:space="preserve">	</w:t>
      </w:r>
      <w:hyperlink w:history="1" w:anchor="_ztoc_14">
        <w:fldSimple w:instr="PAGEREF _ztoc_14 \h">
          <w:r>
            <w:t xml:space="preserve">•</w:t>
          </w:r>
        </w:fldSimple>
      </w:hyperlink>
    </w:p>
    <w:p>
      <w:pPr>
        <w:tabs>
          <w:tab w:val="right" w:pos="9350" w:leader="dot"/>
        </w:tabs>
        <w:spacing w:after="30"/>
        <w:ind w:left="360"/>
      </w:pPr>
      <w:hyperlink w:history="1" w:anchor="_ztoc_15">
        <w:r>
          <w:rPr>
            <w:b w:val="false"/>
            <w:bCs w:val="false"/>
            <w:color w:val="1a1a1a"/>
            <w:sz w:val="20"/>
            <w:szCs w:val="20"/>
          </w:rPr>
          <w:t xml:space="preserve">8.1 Composition</w:t>
        </w:r>
      </w:hyperlink>
      <w:r>
        <w:rPr>
          <w:sz w:val="20"/>
          <w:szCs w:val="20"/>
        </w:rPr>
        <w:t xml:space="preserve">	</w:t>
      </w:r>
      <w:hyperlink w:history="1" w:anchor="_ztoc_15">
        <w:fldSimple w:instr="PAGEREF _ztoc_15 \h">
          <w:r>
            <w:t xml:space="preserve">•</w:t>
          </w:r>
        </w:fldSimple>
      </w:hyperlink>
    </w:p>
    <w:p>
      <w:pPr>
        <w:tabs>
          <w:tab w:val="right" w:pos="9350" w:leader="dot"/>
        </w:tabs>
        <w:spacing w:after="30"/>
        <w:ind w:left="360"/>
      </w:pPr>
      <w:hyperlink w:history="1" w:anchor="_ztoc_16">
        <w:r>
          <w:rPr>
            <w:b w:val="false"/>
            <w:bCs w:val="false"/>
            <w:color w:val="1a1a1a"/>
            <w:sz w:val="20"/>
            <w:szCs w:val="20"/>
          </w:rPr>
          <w:t xml:space="preserve">8.2 Records</w:t>
        </w:r>
      </w:hyperlink>
      <w:r>
        <w:rPr>
          <w:sz w:val="20"/>
          <w:szCs w:val="20"/>
        </w:rPr>
        <w:t xml:space="preserve">	</w:t>
      </w:r>
      <w:hyperlink w:history="1" w:anchor="_ztoc_16">
        <w:fldSimple w:instr="PAGEREF _ztoc_16 \h">
          <w:r>
            <w:t xml:space="preserve">•</w:t>
          </w:r>
        </w:fldSimple>
      </w:hyperlink>
    </w:p>
    <w:p>
      <w:pPr>
        <w:tabs>
          <w:tab w:val="right" w:pos="9350" w:leader="dot"/>
        </w:tabs>
        <w:spacing w:after="30"/>
        <w:ind w:left="360"/>
      </w:pPr>
      <w:hyperlink w:history="1" w:anchor="_ztoc_17">
        <w:r>
          <w:rPr>
            <w:b w:val="false"/>
            <w:bCs w:val="false"/>
            <w:color w:val="1a1a1a"/>
            <w:sz w:val="20"/>
            <w:szCs w:val="20"/>
          </w:rPr>
          <w:t xml:space="preserve">8.3 Withholding</w:t>
        </w:r>
      </w:hyperlink>
      <w:r>
        <w:rPr>
          <w:sz w:val="20"/>
          <w:szCs w:val="20"/>
        </w:rPr>
        <w:t xml:space="preserve">	</w:t>
      </w:r>
      <w:hyperlink w:history="1" w:anchor="_ztoc_17">
        <w:fldSimple w:instr="PAGEREF _ztoc_17 \h">
          <w:r>
            <w:t xml:space="preserve">•</w:t>
          </w:r>
        </w:fldSimple>
      </w:hyperlink>
    </w:p>
    <w:p>
      <w:pPr>
        <w:tabs>
          <w:tab w:val="right" w:pos="9350" w:leader="dot"/>
        </w:tabs>
        <w:spacing w:after="60"/>
        <w:ind w:left="0"/>
      </w:pPr>
      <w:hyperlink w:history="1" w:anchor="_ztoc_18">
        <w:r>
          <w:rPr>
            <w:b/>
            <w:bCs/>
            <w:color w:val="1a1a1a"/>
            <w:sz w:val="22"/>
            <w:szCs w:val="22"/>
          </w:rPr>
          <w:t xml:space="preserve">9. FAILED PAYMENTS</w:t>
        </w:r>
      </w:hyperlink>
      <w:r>
        <w:rPr>
          <w:sz w:val="22"/>
          <w:szCs w:val="22"/>
        </w:rPr>
        <w:t xml:space="preserve">	</w:t>
      </w:r>
      <w:hyperlink w:history="1" w:anchor="_ztoc_18">
        <w:fldSimple w:instr="PAGEREF _ztoc_18 \h">
          <w:r>
            <w:t xml:space="preserve">•</w:t>
          </w:r>
        </w:fldSimple>
      </w:hyperlink>
    </w:p>
    <w:p>
      <w:pPr>
        <w:tabs>
          <w:tab w:val="right" w:pos="9350" w:leader="dot"/>
        </w:tabs>
        <w:spacing w:after="60"/>
        <w:ind w:left="0"/>
      </w:pPr>
      <w:hyperlink w:history="1" w:anchor="_ztoc_19">
        <w:r>
          <w:rPr>
            <w:b/>
            <w:bCs/>
            <w:color w:val="1a1a1a"/>
            <w:sz w:val="22"/>
            <w:szCs w:val="22"/>
          </w:rPr>
          <w:t xml:space="preserve">10. REFUND SETTLEMENT</w:t>
        </w:r>
      </w:hyperlink>
      <w:r>
        <w:rPr>
          <w:sz w:val="22"/>
          <w:szCs w:val="22"/>
        </w:rPr>
        <w:t xml:space="preserve">	</w:t>
      </w:r>
      <w:hyperlink w:history="1" w:anchor="_ztoc_19">
        <w:fldSimple w:instr="PAGEREF _ztoc_19 \h">
          <w:r>
            <w:t xml:space="preserve">•</w:t>
          </w:r>
        </w:fldSimple>
      </w:hyperlink>
    </w:p>
    <w:p>
      <w:pPr>
        <w:tabs>
          <w:tab w:val="right" w:pos="9350" w:leader="dot"/>
        </w:tabs>
        <w:spacing w:after="60"/>
        <w:ind w:left="0"/>
      </w:pPr>
      <w:hyperlink w:history="1" w:anchor="_ztoc_20">
        <w:r>
          <w:rPr>
            <w:b/>
            <w:bCs/>
            <w:color w:val="1a1a1a"/>
            <w:sz w:val="22"/>
            <w:szCs w:val="22"/>
          </w:rPr>
          <w:t xml:space="preserve">11. TAXES</w:t>
        </w:r>
      </w:hyperlink>
      <w:r>
        <w:rPr>
          <w:sz w:val="22"/>
          <w:szCs w:val="22"/>
        </w:rPr>
        <w:t xml:space="preserve">	</w:t>
      </w:r>
      <w:hyperlink w:history="1" w:anchor="_ztoc_20">
        <w:fldSimple w:instr="PAGEREF _ztoc_20 \h">
          <w:r>
            <w:t xml:space="preserve">•</w:t>
          </w:r>
        </w:fldSimple>
      </w:hyperlink>
    </w:p>
    <w:p>
      <w:pPr>
        <w:tabs>
          <w:tab w:val="right" w:pos="9350" w:leader="dot"/>
        </w:tabs>
        <w:spacing w:after="60"/>
        <w:ind w:left="0"/>
      </w:pPr>
      <w:hyperlink w:history="1" w:anchor="_ztoc_21">
        <w:r>
          <w:rPr>
            <w:b/>
            <w:bCs/>
            <w:color w:val="1a1a1a"/>
            <w:sz w:val="22"/>
            <w:szCs w:val="22"/>
          </w:rPr>
          <w:t xml:space="preserve">12. RECONCILIATION</w:t>
        </w:r>
      </w:hyperlink>
      <w:r>
        <w:rPr>
          <w:sz w:val="22"/>
          <w:szCs w:val="22"/>
        </w:rPr>
        <w:t xml:space="preserve">	</w:t>
      </w:r>
      <w:hyperlink w:history="1" w:anchor="_ztoc_21">
        <w:fldSimple w:instr="PAGEREF _ztoc_21 \h">
          <w:r>
            <w:t xml:space="preserve">•</w:t>
          </w:r>
        </w:fldSimple>
      </w:hyperlink>
    </w:p>
    <w:p>
      <w:pPr>
        <w:tabs>
          <w:tab w:val="right" w:pos="9350" w:leader="dot"/>
        </w:tabs>
        <w:spacing w:after="60"/>
        <w:ind w:left="0"/>
      </w:pPr>
      <w:hyperlink w:history="1" w:anchor="_ztoc_22">
        <w:r>
          <w:rPr>
            <w:b/>
            <w:bCs/>
            <w:color w:val="1a1a1a"/>
            <w:sz w:val="22"/>
            <w:szCs w:val="22"/>
          </w:rPr>
          <w:t xml:space="preserve">13. PAYMENT AND SETTLEMENT DISPUTES</w:t>
        </w:r>
      </w:hyperlink>
      <w:r>
        <w:rPr>
          <w:sz w:val="22"/>
          <w:szCs w:val="22"/>
        </w:rPr>
        <w:t xml:space="preserve">	</w:t>
      </w:r>
      <w:hyperlink w:history="1" w:anchor="_ztoc_22">
        <w:fldSimple w:instr="PAGEREF _ztoc_22 \h">
          <w:r>
            <w:t xml:space="preserve">•</w:t>
          </w:r>
        </w:fldSimple>
      </w:hyperlink>
    </w:p>
    <w:p>
      <w:pPr>
        <w:tabs>
          <w:tab w:val="right" w:pos="9350" w:leader="dot"/>
        </w:tabs>
        <w:spacing w:after="30"/>
        <w:ind w:left="360"/>
      </w:pPr>
      <w:hyperlink w:history="1" w:anchor="_ztoc_23">
        <w:r>
          <w:rPr>
            <w:b w:val="false"/>
            <w:bCs w:val="false"/>
            <w:color w:val="1a1a1a"/>
            <w:sz w:val="20"/>
            <w:szCs w:val="20"/>
          </w:rPr>
          <w:t xml:space="preserve">13.1 Handling</w:t>
        </w:r>
      </w:hyperlink>
      <w:r>
        <w:rPr>
          <w:sz w:val="20"/>
          <w:szCs w:val="20"/>
        </w:rPr>
        <w:t xml:space="preserve">	</w:t>
      </w:r>
      <w:hyperlink w:history="1" w:anchor="_ztoc_23">
        <w:fldSimple w:instr="PAGEREF _ztoc_23 \h">
          <w:r>
            <w:t xml:space="preserve">•</w:t>
          </w:r>
        </w:fldSimple>
      </w:hyperlink>
    </w:p>
    <w:p>
      <w:pPr>
        <w:tabs>
          <w:tab w:val="right" w:pos="9350" w:leader="dot"/>
        </w:tabs>
        <w:spacing w:after="30"/>
        <w:ind w:left="360"/>
      </w:pPr>
      <w:hyperlink w:history="1" w:anchor="_ztoc_24">
        <w:r>
          <w:rPr>
            <w:b w:val="false"/>
            <w:bCs w:val="false"/>
            <w:color w:val="1a1a1a"/>
            <w:sz w:val="20"/>
            <w:szCs w:val="20"/>
          </w:rPr>
          <w:t xml:space="preserve">13.2 Chargebacks</w:t>
        </w:r>
      </w:hyperlink>
      <w:r>
        <w:rPr>
          <w:sz w:val="20"/>
          <w:szCs w:val="20"/>
        </w:rPr>
        <w:t xml:space="preserve">	</w:t>
      </w:r>
      <w:hyperlink w:history="1" w:anchor="_ztoc_24">
        <w:fldSimple w:instr="PAGEREF _ztoc_24 \h">
          <w:r>
            <w:t xml:space="preserve">•</w:t>
          </w:r>
        </w:fldSimple>
      </w:hyperlink>
    </w:p>
    <w:p>
      <w:pPr>
        <w:tabs>
          <w:tab w:val="right" w:pos="9350" w:leader="dot"/>
        </w:tabs>
        <w:spacing w:after="60"/>
        <w:ind w:left="0"/>
      </w:pPr>
      <w:hyperlink w:history="1" w:anchor="_ztoc_25">
        <w:r>
          <w:rPr>
            <w:b/>
            <w:bCs/>
            <w:color w:val="1a1a1a"/>
            <w:sz w:val="22"/>
            <w:szCs w:val="22"/>
          </w:rPr>
          <w:t xml:space="preserve">14. SUMMARY OF KEY COMMERCIAL TERMS</w:t>
        </w:r>
      </w:hyperlink>
      <w:r>
        <w:rPr>
          <w:sz w:val="22"/>
          <w:szCs w:val="22"/>
        </w:rPr>
        <w:t xml:space="preserve">	</w:t>
      </w:r>
      <w:hyperlink w:history="1" w:anchor="_ztoc_25">
        <w:fldSimple w:instr="PAGEREF _ztoc_25 \h">
          <w:r>
            <w:t xml:space="preserve">•</w:t>
          </w:r>
        </w:fldSimple>
      </w:hyperlink>
    </w:p>
    <w:p>
      <w:pPr>
        <w:tabs>
          <w:tab w:val="right" w:pos="9350" w:leader="dot"/>
        </w:tabs>
        <w:spacing w:after="60"/>
        <w:ind w:left="0"/>
      </w:pPr>
      <w:hyperlink w:history="1" w:anchor="_ztoc_26">
        <w:r>
          <w:rPr>
            <w:b/>
            <w:bCs/>
            <w:color w:val="1a1a1a"/>
            <w:sz w:val="22"/>
            <w:szCs w:val="22"/>
          </w:rPr>
          <w:t xml:space="preserve">15. CHANGES TO THIS POLICY</w:t>
        </w:r>
      </w:hyperlink>
      <w:r>
        <w:rPr>
          <w:sz w:val="22"/>
          <w:szCs w:val="22"/>
        </w:rPr>
        <w:t xml:space="preserve">	</w:t>
      </w:r>
      <w:hyperlink w:history="1" w:anchor="_ztoc_26">
        <w:fldSimple w:instr="PAGEREF _ztoc_26 \h">
          <w:r>
            <w:t xml:space="preserve">•</w:t>
          </w:r>
        </w:fldSimple>
      </w:hyperlink>
    </w:p>
    <w:p>
      <w:pPr>
        <w:tabs>
          <w:tab w:val="right" w:pos="9350" w:leader="dot"/>
        </w:tabs>
        <w:spacing w:after="60"/>
        <w:ind w:left="0"/>
      </w:pPr>
      <w:hyperlink w:history="1" w:anchor="_ztoc_27">
        <w:r>
          <w:rPr>
            <w:b/>
            <w:bCs/>
            <w:color w:val="1a1a1a"/>
            <w:sz w:val="22"/>
            <w:szCs w:val="22"/>
          </w:rPr>
          <w:t xml:space="preserve">16. CONTACT INFORMATION</w:t>
        </w:r>
      </w:hyperlink>
      <w:r>
        <w:rPr>
          <w:sz w:val="22"/>
          <w:szCs w:val="22"/>
        </w:rPr>
        <w:t xml:space="preserve">	</w:t>
      </w:r>
      <w:hyperlink w:history="1" w:anchor="_ztoc_27">
        <w:fldSimple w:instr="PAGEREF _ztoc_27 \h">
          <w:r>
            <w:t xml:space="preserve">•</w:t>
          </w:r>
        </w:fldSimple>
      </w:hyperlink>
    </w:p>
    <w:p>
      <w:r>
        <w:br w:type="page"/>
      </w:r>
    </w:p>
    <w:p>
      <w:pPr>
        <w:pStyle w:val="Heading1"/>
        <w:spacing w:after="120" w:before="260"/>
      </w:pPr>
      <w:bookmarkStart w:name="_ztoc_0" w:id="1003"/>
      <w:r>
        <w:rPr>
          <w:b/>
          <w:bCs/>
        </w:rPr>
        <w:t xml:space="preserve">1. INTRODUCTION</w:t>
      </w:r>
      <w:bookmarkEnd w:id="1003"/>
    </w:p>
    <w:p>
      <w:pPr>
        <w:spacing w:after="120"/>
      </w:pPr>
      <w:r>
        <w:t xml:space="preserve">This Payment &amp; Settlement Policy ("Policy") explains how payments, refunds, settlements, and payouts work on the Zopiq platform, operated by Hybrid Monks LLP ("Zopiq", "Company", "we", "our", or "us"). It applies to Customers, Restaurant Partners, and Delivery Partners, and supplements the Terms &amp; Conditions, Refund &amp; Cancellation Policy, and Partner Agreements.</w:t>
      </w:r>
    </w:p>
    <w:p>
      <w:pPr>
        <w:pStyle w:val="Heading1"/>
        <w:spacing w:after="120" w:before="260"/>
      </w:pPr>
      <w:bookmarkStart w:name="_ztoc_1" w:id="1004"/>
      <w:r>
        <w:rPr>
          <w:b/>
          <w:bCs/>
        </w:rPr>
        <w:t xml:space="preserve">2. DEFINITIONS</w:t>
      </w:r>
      <w:bookmarkEnd w:id="1004"/>
    </w:p>
    <w:p>
      <w:pPr>
        <w:spacing w:after="120"/>
      </w:pPr>
      <w:r>
        <w:t xml:space="preserve">Advance Payment means the mandatory 40% of the total order value paid online before confirmation of a COD order.</w:t>
      </w:r>
    </w:p>
    <w:p>
      <w:pPr>
        <w:spacing w:after="120"/>
      </w:pPr>
      <w:r>
        <w:t xml:space="preserve">COD means Cash on Delivery, where the Customer pays the Advance Payment online and the balance on delivery.</w:t>
      </w:r>
    </w:p>
    <w:p>
      <w:pPr>
        <w:spacing w:after="120"/>
      </w:pPr>
      <w:r>
        <w:t xml:space="preserve">Commission means the platform fee payable to Zopiq in respect of items sold, being ₹10 per item unless otherwise agreed in writing.</w:t>
      </w:r>
    </w:p>
    <w:p>
      <w:pPr>
        <w:spacing w:after="120"/>
      </w:pPr>
      <w:r>
        <w:t xml:space="preserve">Settlement means the amount payable to a Restaurant Partner after applicable deductions.</w:t>
      </w:r>
    </w:p>
    <w:p>
      <w:pPr>
        <w:spacing w:after="120"/>
      </w:pPr>
      <w:r>
        <w:t xml:space="preserve">Payout means the amount payable to a Delivery Partner after applicable deductions.</w:t>
      </w:r>
    </w:p>
    <w:p>
      <w:pPr>
        <w:spacing w:after="120"/>
      </w:pPr>
      <w:r>
        <w:t xml:space="preserve">Reconciliation means the process of verifying transactions before Settlement or Payout.</w:t>
      </w:r>
    </w:p>
    <w:p>
      <w:pPr>
        <w:pStyle w:val="Heading1"/>
        <w:spacing w:after="120" w:before="260"/>
      </w:pPr>
      <w:bookmarkStart w:name="_ztoc_2" w:id="1005"/>
      <w:r>
        <w:rPr>
          <w:b/>
          <w:bCs/>
        </w:rPr>
        <w:t xml:space="preserve">3. PAYMENT METHODS</w:t>
      </w:r>
      <w:bookmarkEnd w:id="1005"/>
    </w:p>
    <w:p>
      <w:pPr>
        <w:spacing w:after="120"/>
      </w:pPr>
      <w:r>
        <w:t xml:space="preserve">Zopiq supports electronic payment methods including UPI, debit cards, credit cards, net banking, and other options made available on the Platform. Cash on Delivery is available only where offered by Zopiq. Payment processing is handled by authorised third-party payment service providers; Zopiq does not store complete card or UPI PIN credentials and is not responsible for failures, delays, or errors caused by external payment systems.</w:t>
      </w:r>
    </w:p>
    <w:p>
      <w:pPr>
        <w:pStyle w:val="Heading1"/>
        <w:spacing w:after="120" w:before="260"/>
      </w:pPr>
      <w:bookmarkStart w:name="_ztoc_3" w:id="1006"/>
      <w:r>
        <w:rPr>
          <w:b/>
          <w:bCs/>
        </w:rPr>
        <w:t xml:space="preserve">4. CUSTOMER PAYMENT STRUCTURE</w:t>
      </w:r>
      <w:bookmarkEnd w:id="1006"/>
    </w:p>
    <w:p>
      <w:pPr>
        <w:pStyle w:val="Heading2"/>
        <w:spacing w:after="70" w:before="160"/>
      </w:pPr>
      <w:bookmarkStart w:name="_ztoc_4" w:id="1007"/>
      <w:r>
        <w:rPr>
          <w:b/>
          <w:bCs/>
        </w:rPr>
        <w:t xml:space="preserve">4.1 40% Advance Payment</w:t>
      </w:r>
      <w:bookmarkEnd w:id="1007"/>
    </w:p>
    <w:p>
      <w:pPr>
        <w:spacing w:after="120"/>
      </w:pPr>
      <w:r>
        <w:t xml:space="preserve">For every COD order, the Customer pays 40% of the total order value online as an Advance Payment before the order is confirmed. An order requiring an Advance Payment is not confirmed until the required amount has been successfully received.</w:t>
      </w:r>
    </w:p>
    <w:p>
      <w:pPr>
        <w:pStyle w:val="Heading2"/>
        <w:spacing w:after="70" w:before="160"/>
      </w:pPr>
      <w:bookmarkStart w:name="_ztoc_5" w:id="1008"/>
      <w:r>
        <w:rPr>
          <w:b/>
          <w:bCs/>
        </w:rPr>
        <w:t xml:space="preserve">4.2 60% on Delivery</w:t>
      </w:r>
      <w:bookmarkEnd w:id="1008"/>
    </w:p>
    <w:p>
      <w:pPr>
        <w:spacing w:after="120"/>
      </w:pPr>
      <w:r>
        <w:t xml:space="preserve">The remaining 60% is paid in cash, or by another accepted method, upon successful delivery, if permitted by the Platform. Where a balance is due at delivery, the Customer must pay it before taking possession of the order, unless another arrangement is expressly permitted.</w:t>
      </w:r>
    </w:p>
    <w:p>
      <w:pPr>
        <w:pStyle w:val="Heading2"/>
        <w:spacing w:after="70" w:before="160"/>
      </w:pPr>
      <w:bookmarkStart w:name="_ztoc_6" w:id="1009"/>
      <w:r>
        <w:rPr>
          <w:b/>
          <w:bCs/>
        </w:rPr>
        <w:t xml:space="preserve">4.3 Non-Refundable Advance</w:t>
      </w:r>
      <w:bookmarkEnd w:id="1009"/>
    </w:p>
    <w:p>
      <w:pPr>
        <w:spacing w:after="120"/>
      </w:pPr>
      <w:r>
        <w:t xml:space="preserve">Where a COD order fails due to Customer fault — refusal, unreachability, a wrong address, or abandonment after preparation — the 40% Advance Payment is non-refundable, as set out in the Refund &amp; Cancellation Policy.</w:t>
      </w:r>
    </w:p>
    <w:p>
      <w:pPr>
        <w:pStyle w:val="Heading2"/>
        <w:spacing w:after="70" w:before="160"/>
      </w:pPr>
      <w:bookmarkStart w:name="_ztoc_7" w:id="1010"/>
      <w:r>
        <w:rPr>
          <w:b/>
          <w:bCs/>
        </w:rPr>
        <w:t xml:space="preserve">4.4 Prepaid Orders</w:t>
      </w:r>
      <w:bookmarkEnd w:id="1010"/>
    </w:p>
    <w:p>
      <w:pPr>
        <w:spacing w:after="120"/>
      </w:pPr>
      <w:r>
        <w:t xml:space="preserve">For prepaid orders, the full amount is collected online at the time of placement, subject to the same confirmation and refund principles.</w:t>
      </w:r>
    </w:p>
    <w:p>
      <w:pPr>
        <w:pStyle w:val="Heading1"/>
        <w:spacing w:after="120" w:before="260"/>
      </w:pPr>
      <w:bookmarkStart w:name="_ztoc_8" w:id="1011"/>
      <w:r>
        <w:rPr>
          <w:b/>
          <w:bCs/>
        </w:rPr>
        <w:t xml:space="preserve">5. DELIVERY FEES</w:t>
      </w:r>
      <w:bookmarkEnd w:id="1011"/>
    </w:p>
    <w:p>
      <w:pPr>
        <w:spacing w:after="120"/>
      </w:pPr>
      <w:r>
        <w:t xml:space="preserve">Delivery fees are dynamic and may vary based on distance, demand, weather (including rain), time of day (including night), availability of Delivery Partners, government restrictions, and special events. Zopiq does not guarantee fixed delivery fees, and Customers are informed of the applicable charges before confirming an order.</w:t>
      </w:r>
    </w:p>
    <w:p>
      <w:pPr>
        <w:pStyle w:val="Heading1"/>
        <w:spacing w:after="120" w:before="260"/>
      </w:pPr>
      <w:bookmarkStart w:name="_ztoc_9" w:id="1012"/>
      <w:r>
        <w:rPr>
          <w:b/>
          <w:bCs/>
        </w:rPr>
        <w:t xml:space="preserve">6. RESTAURANT COMMISSION</w:t>
      </w:r>
      <w:bookmarkEnd w:id="1012"/>
    </w:p>
    <w:p>
      <w:pPr>
        <w:spacing w:after="120"/>
      </w:pPr>
      <w:r>
        <w:t xml:space="preserve">Unless otherwise agreed in writing, Zopiq charges a platform Commission of ₹10 per item sold through the Platform. Commission is deducted before Settlement. Zopiq may revise commission structures prospectively with reasonable notice to Restaurant Partners.</w:t>
      </w:r>
    </w:p>
    <w:p>
      <w:pPr>
        <w:pStyle w:val="Heading1"/>
        <w:spacing w:after="120" w:before="260"/>
      </w:pPr>
      <w:bookmarkStart w:name="_ztoc_10" w:id="1013"/>
      <w:r>
        <w:rPr>
          <w:b/>
          <w:bCs/>
        </w:rPr>
        <w:t xml:space="preserve">7. RESTAURANT SETTLEMENT</w:t>
      </w:r>
      <w:bookmarkEnd w:id="1013"/>
    </w:p>
    <w:p>
      <w:pPr>
        <w:spacing w:after="120"/>
      </w:pPr>
      <w:r>
        <w:t xml:space="preserve">Settlements to Restaurant Partners are processed daily, subject to Reconciliation, applicable deductions, refunds, chargebacks, and legal requirements.</w:t>
      </w:r>
    </w:p>
    <w:p>
      <w:pPr>
        <w:pStyle w:val="Heading2"/>
        <w:spacing w:after="70" w:before="160"/>
      </w:pPr>
      <w:bookmarkStart w:name="_ztoc_11" w:id="1014"/>
      <w:r>
        <w:rPr>
          <w:b/>
          <w:bCs/>
        </w:rPr>
        <w:t xml:space="preserve">7.1 Deductions</w:t>
      </w:r>
      <w:bookmarkEnd w:id="1014"/>
    </w:p>
    <w:p>
      <w:pPr>
        <w:spacing w:after="120"/>
      </w:pPr>
      <w:r>
        <w:t xml:space="preserve">Settlements are net of Commission, refunds or adjustments attributable to the Restaurant Partner, and any applicable taxes or statutory deductions.</w:t>
      </w:r>
    </w:p>
    <w:p>
      <w:pPr>
        <w:pStyle w:val="Heading2"/>
        <w:spacing w:after="70" w:before="160"/>
      </w:pPr>
      <w:bookmarkStart w:name="_ztoc_12" w:id="1015"/>
      <w:r>
        <w:rPr>
          <w:b/>
          <w:bCs/>
        </w:rPr>
        <w:t xml:space="preserve">7.2 Settlement Reports</w:t>
      </w:r>
      <w:bookmarkEnd w:id="1015"/>
    </w:p>
    <w:p>
      <w:pPr>
        <w:spacing w:after="120"/>
      </w:pPr>
      <w:r>
        <w:t xml:space="preserve">Settlement reports are made available through the Restaurant Partner Application or dashboard, so Restaurant Partners can review amounts and deductions.</w:t>
      </w:r>
    </w:p>
    <w:p>
      <w:pPr>
        <w:pStyle w:val="Heading2"/>
        <w:spacing w:after="70" w:before="160"/>
      </w:pPr>
      <w:bookmarkStart w:name="_ztoc_13" w:id="1016"/>
      <w:r>
        <w:rPr>
          <w:b/>
          <w:bCs/>
        </w:rPr>
        <w:t xml:space="preserve">7.3 Withholding</w:t>
      </w:r>
      <w:bookmarkEnd w:id="1016"/>
    </w:p>
    <w:p>
      <w:pPr>
        <w:spacing w:after="120"/>
      </w:pPr>
      <w:r>
        <w:t xml:space="preserve">Zopiq may withhold or adjust Settlements where fraud, duplicate transactions, or policy violations are reasonably suspected, pending Investigation and subject to applicable law.</w:t>
      </w:r>
    </w:p>
    <w:p>
      <w:pPr>
        <w:pStyle w:val="Heading1"/>
        <w:spacing w:after="120" w:before="260"/>
      </w:pPr>
      <w:bookmarkStart w:name="_ztoc_14" w:id="1017"/>
      <w:r>
        <w:rPr>
          <w:b/>
          <w:bCs/>
        </w:rPr>
        <w:t xml:space="preserve">8. DELIVERY PARTNER PAYOUTS</w:t>
      </w:r>
      <w:bookmarkEnd w:id="1017"/>
    </w:p>
    <w:p>
      <w:pPr>
        <w:spacing w:after="120"/>
      </w:pPr>
      <w:r>
        <w:t xml:space="preserve">Payouts to Delivery Partners are processed daily, subject to verification of completed deliveries and applicable deductions or adjustments.</w:t>
      </w:r>
    </w:p>
    <w:p>
      <w:pPr>
        <w:pStyle w:val="Heading2"/>
        <w:spacing w:after="70" w:before="160"/>
      </w:pPr>
      <w:bookmarkStart w:name="_ztoc_15" w:id="1018"/>
      <w:r>
        <w:rPr>
          <w:b/>
          <w:bCs/>
        </w:rPr>
        <w:t xml:space="preserve">8.1 Composition</w:t>
      </w:r>
      <w:bookmarkEnd w:id="1018"/>
    </w:p>
    <w:p>
      <w:pPr>
        <w:spacing w:after="120"/>
      </w:pPr>
      <w:r>
        <w:t xml:space="preserve">Payouts comprise delivery fees for completed deliveries and any applicable incentives, net of applicable deductions and taxes.</w:t>
      </w:r>
    </w:p>
    <w:p>
      <w:pPr>
        <w:pStyle w:val="Heading2"/>
        <w:spacing w:after="70" w:before="160"/>
      </w:pPr>
      <w:bookmarkStart w:name="_ztoc_16" w:id="1019"/>
      <w:r>
        <w:rPr>
          <w:b/>
          <w:bCs/>
        </w:rPr>
        <w:t xml:space="preserve">8.2 Records</w:t>
      </w:r>
      <w:bookmarkEnd w:id="1019"/>
    </w:p>
    <w:p>
      <w:pPr>
        <w:spacing w:after="120"/>
      </w:pPr>
      <w:r>
        <w:t xml:space="preserve">Earnings and settlement history are available in the Delivery Partner Application.</w:t>
      </w:r>
    </w:p>
    <w:p>
      <w:pPr>
        <w:pStyle w:val="Heading2"/>
        <w:spacing w:after="70" w:before="160"/>
      </w:pPr>
      <w:bookmarkStart w:name="_ztoc_17" w:id="1020"/>
      <w:r>
        <w:rPr>
          <w:b/>
          <w:bCs/>
        </w:rPr>
        <w:t xml:space="preserve">8.3 Withholding</w:t>
      </w:r>
      <w:bookmarkEnd w:id="1020"/>
    </w:p>
    <w:p>
      <w:pPr>
        <w:spacing w:after="120"/>
      </w:pPr>
      <w:r>
        <w:t xml:space="preserve">Zopiq may withhold or adjust Payouts where fraud, duplicate deliveries, or policy violations are reasonably suspected, pending Investigation and subject to applicable law.</w:t>
      </w:r>
    </w:p>
    <w:p>
      <w:pPr>
        <w:pStyle w:val="Heading1"/>
        <w:spacing w:after="120" w:before="260"/>
      </w:pPr>
      <w:bookmarkStart w:name="_ztoc_18" w:id="1021"/>
      <w:r>
        <w:rPr>
          <w:b/>
          <w:bCs/>
        </w:rPr>
        <w:t xml:space="preserve">9. FAILED PAYMENTS</w:t>
      </w:r>
      <w:bookmarkEnd w:id="1021"/>
    </w:p>
    <w:p>
      <w:pPr>
        <w:spacing w:after="120"/>
      </w:pPr>
      <w:r>
        <w:t xml:space="preserve">Where a payment fails or an amount is debited without a confirmed order, the amount is generally reversed by the payment provider within its standard timelines. If a reversal does not occur automatically, the Customer should contact Customer Support with the transaction reference for reconciliation. In the event of a payment processing issue affecting Settlement, Zopiq may deduct a platform processing fee of ₹10, and the remaining eligible amount is settled to the Restaurant Partner in accordance with the settlement process, subject to applicable laws and Reconciliation.</w:t>
      </w:r>
    </w:p>
    <w:p>
      <w:pPr>
        <w:pStyle w:val="Heading1"/>
        <w:spacing w:after="120" w:before="260"/>
      </w:pPr>
      <w:bookmarkStart w:name="_ztoc_19" w:id="1022"/>
      <w:r>
        <w:rPr>
          <w:b/>
          <w:bCs/>
        </w:rPr>
        <w:t xml:space="preserve">10. REFUND SETTLEMENT</w:t>
      </w:r>
      <w:bookmarkEnd w:id="1022"/>
    </w:p>
    <w:p>
      <w:pPr>
        <w:spacing w:after="120"/>
      </w:pPr>
      <w:r>
        <w:t xml:space="preserve">Approved refunds are issued to the original payment method unless another method is expressly agreed, in accordance with the Refund &amp; Cancellation Policy. Refunds or adjustments attributable to a Restaurant Partner may be deducted from that Restaurant Partner’s Settlements. The time for a refund to reflect depends on the payment provider and the Customer’s bank.</w:t>
      </w:r>
    </w:p>
    <w:p>
      <w:pPr>
        <w:pStyle w:val="Heading1"/>
        <w:spacing w:after="120" w:before="260"/>
      </w:pPr>
      <w:bookmarkStart w:name="_ztoc_20" w:id="1023"/>
      <w:r>
        <w:rPr>
          <w:b/>
          <w:bCs/>
        </w:rPr>
        <w:t xml:space="preserve">11. TAXES</w:t>
      </w:r>
      <w:bookmarkEnd w:id="1023"/>
    </w:p>
    <w:p>
      <w:pPr>
        <w:spacing w:after="120"/>
      </w:pPr>
      <w:r>
        <w:t xml:space="preserve">Amounts may be subject to applicable taxes, including Goods and Services Tax, as required by law. Restaurant Partners and Delivery Partners are responsible for their own tax obligations arising from their activities on the Platform. Zopiq applies tax treatment and deductions as required by applicable law and makes relevant records available where appropriate.</w:t>
      </w:r>
    </w:p>
    <w:p>
      <w:pPr>
        <w:pStyle w:val="Heading1"/>
        <w:spacing w:after="120" w:before="260"/>
      </w:pPr>
      <w:bookmarkStart w:name="_ztoc_21" w:id="1024"/>
      <w:r>
        <w:rPr>
          <w:b/>
          <w:bCs/>
        </w:rPr>
        <w:t xml:space="preserve">12. RECONCILIATION</w:t>
      </w:r>
      <w:bookmarkEnd w:id="1024"/>
    </w:p>
    <w:p>
      <w:pPr>
        <w:spacing w:after="120"/>
      </w:pPr>
      <w:r>
        <w:t xml:space="preserve">Before Settlements and Payouts are finalised, Zopiq reconciles transactions to verify completed orders and deliveries, apply deductions, and account for refunds and chargebacks. Reconciliation protects all parties against errors and fraud, and may cause short, reasonable delays where verification is required.</w:t>
      </w:r>
    </w:p>
    <w:p>
      <w:pPr>
        <w:pStyle w:val="Heading1"/>
        <w:spacing w:after="120" w:before="260"/>
      </w:pPr>
      <w:bookmarkStart w:name="_ztoc_22" w:id="1025"/>
      <w:r>
        <w:rPr>
          <w:b/>
          <w:bCs/>
        </w:rPr>
        <w:t xml:space="preserve">13. PAYMENT AND SETTLEMENT DISPUTES</w:t>
      </w:r>
      <w:bookmarkEnd w:id="1025"/>
    </w:p>
    <w:p>
      <w:pPr>
        <w:spacing w:after="120"/>
      </w:pPr>
      <w:r>
        <w:t xml:space="preserve">Disputes relating to payments, Settlements, or Payouts should be raised through in-app support or the contact details in this Policy, with relevant order and settlement references.</w:t>
      </w:r>
    </w:p>
    <w:p>
      <w:pPr>
        <w:pStyle w:val="Heading2"/>
        <w:spacing w:after="70" w:before="160"/>
      </w:pPr>
      <w:bookmarkStart w:name="_ztoc_23" w:id="1026"/>
      <w:r>
        <w:rPr>
          <w:b/>
          <w:bCs/>
        </w:rPr>
        <w:t xml:space="preserve">13.1 Handling</w:t>
      </w:r>
      <w:bookmarkEnd w:id="1026"/>
    </w:p>
    <w:p>
      <w:pPr>
        <w:spacing w:after="120"/>
      </w:pPr>
      <w:r>
        <w:t xml:space="preserve">Zopiq investigates payment and settlement disputes, may request supporting information, and communicates an outcome. Users are expected to cooperate and provide reasonably requested information.</w:t>
      </w:r>
    </w:p>
    <w:p>
      <w:pPr>
        <w:pStyle w:val="Heading2"/>
        <w:spacing w:after="70" w:before="160"/>
      </w:pPr>
      <w:bookmarkStart w:name="_ztoc_24" w:id="1027"/>
      <w:r>
        <w:rPr>
          <w:b/>
          <w:bCs/>
        </w:rPr>
        <w:t xml:space="preserve">13.2 Chargebacks</w:t>
      </w:r>
      <w:bookmarkEnd w:id="1027"/>
    </w:p>
    <w:p>
      <w:pPr>
        <w:spacing w:after="120"/>
      </w:pPr>
      <w:r>
        <w:t xml:space="preserve">Customers are encouraged to contact support before initiating a chargeback. Chargeback fraud — reversing payment for a validly delivered order — is prohibited and may result in withheld settlements, suspension, or legal action.</w:t>
      </w:r>
    </w:p>
    <w:p>
      <w:pPr>
        <w:pStyle w:val="Heading1"/>
        <w:spacing w:after="120" w:before="260"/>
      </w:pPr>
      <w:bookmarkStart w:name="_ztoc_25" w:id="1028"/>
      <w:r>
        <w:rPr>
          <w:b/>
          <w:bCs/>
        </w:rPr>
        <w:t xml:space="preserve">14. SUMMARY OF KEY COMMERCIAL TERMS</w:t>
      </w:r>
      <w:bookmarkEnd w:id="1028"/>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3200"/>
        <w:gridCol w:w="5800"/>
      </w:tblGrid>
      <w:tr>
        <w:trPr>
          <w:tblHeader/>
        </w:trPr>
        <w:tc>
          <w:tcPr>
            <w:tcW w:type="dxa" w:w="3200"/>
            <w:shd w:fill="E8E8E8" w:val="clear"/>
            <w:tcMar>
              <w:top w:type="dxa" w:w="60"/>
              <w:left w:type="dxa" w:w="90"/>
              <w:bottom w:type="dxa" w:w="60"/>
              <w:right w:type="dxa" w:w="90"/>
            </w:tcMar>
          </w:tcPr>
          <w:p>
            <w:r>
              <w:rPr>
                <w:b/>
                <w:bCs/>
                <w:sz w:val="20"/>
                <w:szCs w:val="20"/>
              </w:rPr>
              <w:t xml:space="preserve">Item</w:t>
            </w:r>
          </w:p>
        </w:tc>
        <w:tc>
          <w:tcPr>
            <w:tcW w:type="dxa" w:w="5800"/>
            <w:shd w:fill="E8E8E8" w:val="clear"/>
            <w:tcMar>
              <w:top w:type="dxa" w:w="60"/>
              <w:left w:type="dxa" w:w="90"/>
              <w:bottom w:type="dxa" w:w="60"/>
              <w:right w:type="dxa" w:w="90"/>
            </w:tcMar>
          </w:tcPr>
          <w:p>
            <w:r>
              <w:rPr>
                <w:b/>
                <w:bCs/>
                <w:sz w:val="20"/>
                <w:szCs w:val="20"/>
              </w:rPr>
              <w:t xml:space="preserve">Term</w:t>
            </w:r>
          </w:p>
        </w:tc>
      </w:tr>
      <w:tr>
        <w:tc>
          <w:tcPr>
            <w:tcW w:type="dxa" w:w="3200"/>
            <w:tcMar>
              <w:top w:type="dxa" w:w="60"/>
              <w:left w:type="dxa" w:w="90"/>
              <w:bottom w:type="dxa" w:w="60"/>
              <w:right w:type="dxa" w:w="90"/>
            </w:tcMar>
          </w:tcPr>
          <w:p>
            <w:r>
              <w:rPr>
                <w:b w:val="false"/>
                <w:bCs w:val="false"/>
                <w:sz w:val="20"/>
                <w:szCs w:val="20"/>
              </w:rPr>
              <w:t xml:space="preserve">COD advance</w:t>
            </w:r>
          </w:p>
        </w:tc>
        <w:tc>
          <w:tcPr>
            <w:tcW w:type="dxa" w:w="5800"/>
            <w:tcMar>
              <w:top w:type="dxa" w:w="60"/>
              <w:left w:type="dxa" w:w="90"/>
              <w:bottom w:type="dxa" w:w="60"/>
              <w:right w:type="dxa" w:w="90"/>
            </w:tcMar>
          </w:tcPr>
          <w:p>
            <w:r>
              <w:rPr>
                <w:b w:val="false"/>
                <w:bCs w:val="false"/>
                <w:sz w:val="20"/>
                <w:szCs w:val="20"/>
              </w:rPr>
              <w:t xml:space="preserve">40% of order value, paid online before confirmation.</w:t>
            </w:r>
          </w:p>
        </w:tc>
      </w:tr>
      <w:tr>
        <w:tc>
          <w:tcPr>
            <w:tcW w:type="dxa" w:w="3200"/>
            <w:tcMar>
              <w:top w:type="dxa" w:w="60"/>
              <w:left w:type="dxa" w:w="90"/>
              <w:bottom w:type="dxa" w:w="60"/>
              <w:right w:type="dxa" w:w="90"/>
            </w:tcMar>
          </w:tcPr>
          <w:p>
            <w:r>
              <w:rPr>
                <w:b w:val="false"/>
                <w:bCs w:val="false"/>
                <w:sz w:val="20"/>
                <w:szCs w:val="20"/>
              </w:rPr>
              <w:t xml:space="preserve">COD balance</w:t>
            </w:r>
          </w:p>
        </w:tc>
        <w:tc>
          <w:tcPr>
            <w:tcW w:type="dxa" w:w="5800"/>
            <w:tcMar>
              <w:top w:type="dxa" w:w="60"/>
              <w:left w:type="dxa" w:w="90"/>
              <w:bottom w:type="dxa" w:w="60"/>
              <w:right w:type="dxa" w:w="90"/>
            </w:tcMar>
          </w:tcPr>
          <w:p>
            <w:r>
              <w:rPr>
                <w:b w:val="false"/>
                <w:bCs w:val="false"/>
                <w:sz w:val="20"/>
                <w:szCs w:val="20"/>
              </w:rPr>
              <w:t xml:space="preserve">60% on delivery (or another accepted method), where permitted.</w:t>
            </w:r>
          </w:p>
        </w:tc>
      </w:tr>
      <w:tr>
        <w:tc>
          <w:tcPr>
            <w:tcW w:type="dxa" w:w="3200"/>
            <w:tcMar>
              <w:top w:type="dxa" w:w="60"/>
              <w:left w:type="dxa" w:w="90"/>
              <w:bottom w:type="dxa" w:w="60"/>
              <w:right w:type="dxa" w:w="90"/>
            </w:tcMar>
          </w:tcPr>
          <w:p>
            <w:r>
              <w:rPr>
                <w:b w:val="false"/>
                <w:bCs w:val="false"/>
                <w:sz w:val="20"/>
                <w:szCs w:val="20"/>
              </w:rPr>
              <w:t xml:space="preserve">Non-refundable advance</w:t>
            </w:r>
          </w:p>
        </w:tc>
        <w:tc>
          <w:tcPr>
            <w:tcW w:type="dxa" w:w="5800"/>
            <w:tcMar>
              <w:top w:type="dxa" w:w="60"/>
              <w:left w:type="dxa" w:w="90"/>
              <w:bottom w:type="dxa" w:w="60"/>
              <w:right w:type="dxa" w:w="90"/>
            </w:tcMar>
          </w:tcPr>
          <w:p>
            <w:r>
              <w:rPr>
                <w:b w:val="false"/>
                <w:bCs w:val="false"/>
                <w:sz w:val="20"/>
                <w:szCs w:val="20"/>
              </w:rPr>
              <w:t xml:space="preserve">Where COD order fails due to Customer fault.</w:t>
            </w:r>
          </w:p>
        </w:tc>
      </w:tr>
      <w:tr>
        <w:tc>
          <w:tcPr>
            <w:tcW w:type="dxa" w:w="3200"/>
            <w:tcMar>
              <w:top w:type="dxa" w:w="60"/>
              <w:left w:type="dxa" w:w="90"/>
              <w:bottom w:type="dxa" w:w="60"/>
              <w:right w:type="dxa" w:w="90"/>
            </w:tcMar>
          </w:tcPr>
          <w:p>
            <w:r>
              <w:rPr>
                <w:b w:val="false"/>
                <w:bCs w:val="false"/>
                <w:sz w:val="20"/>
                <w:szCs w:val="20"/>
              </w:rPr>
              <w:t xml:space="preserve">Restaurant commission</w:t>
            </w:r>
          </w:p>
        </w:tc>
        <w:tc>
          <w:tcPr>
            <w:tcW w:type="dxa" w:w="5800"/>
            <w:tcMar>
              <w:top w:type="dxa" w:w="60"/>
              <w:left w:type="dxa" w:w="90"/>
              <w:bottom w:type="dxa" w:w="60"/>
              <w:right w:type="dxa" w:w="90"/>
            </w:tcMar>
          </w:tcPr>
          <w:p>
            <w:r>
              <w:rPr>
                <w:b w:val="false"/>
                <w:bCs w:val="false"/>
                <w:sz w:val="20"/>
                <w:szCs w:val="20"/>
              </w:rPr>
              <w:t xml:space="preserve">₹10 per item sold, unless otherwise agreed in writing.</w:t>
            </w:r>
          </w:p>
        </w:tc>
      </w:tr>
      <w:tr>
        <w:tc>
          <w:tcPr>
            <w:tcW w:type="dxa" w:w="3200"/>
            <w:tcMar>
              <w:top w:type="dxa" w:w="60"/>
              <w:left w:type="dxa" w:w="90"/>
              <w:bottom w:type="dxa" w:w="60"/>
              <w:right w:type="dxa" w:w="90"/>
            </w:tcMar>
          </w:tcPr>
          <w:p>
            <w:r>
              <w:rPr>
                <w:b w:val="false"/>
                <w:bCs w:val="false"/>
                <w:sz w:val="20"/>
                <w:szCs w:val="20"/>
              </w:rPr>
              <w:t xml:space="preserve">Restaurant settlement</w:t>
            </w:r>
          </w:p>
        </w:tc>
        <w:tc>
          <w:tcPr>
            <w:tcW w:type="dxa" w:w="5800"/>
            <w:tcMar>
              <w:top w:type="dxa" w:w="60"/>
              <w:left w:type="dxa" w:w="90"/>
              <w:bottom w:type="dxa" w:w="60"/>
              <w:right w:type="dxa" w:w="90"/>
            </w:tcMar>
          </w:tcPr>
          <w:p>
            <w:r>
              <w:rPr>
                <w:b w:val="false"/>
                <w:bCs w:val="false"/>
                <w:sz w:val="20"/>
                <w:szCs w:val="20"/>
              </w:rPr>
              <w:t xml:space="preserve">Daily, subject to reconciliation and deductions.</w:t>
            </w:r>
          </w:p>
        </w:tc>
      </w:tr>
      <w:tr>
        <w:tc>
          <w:tcPr>
            <w:tcW w:type="dxa" w:w="3200"/>
            <w:tcMar>
              <w:top w:type="dxa" w:w="60"/>
              <w:left w:type="dxa" w:w="90"/>
              <w:bottom w:type="dxa" w:w="60"/>
              <w:right w:type="dxa" w:w="90"/>
            </w:tcMar>
          </w:tcPr>
          <w:p>
            <w:r>
              <w:rPr>
                <w:b w:val="false"/>
                <w:bCs w:val="false"/>
                <w:sz w:val="20"/>
                <w:szCs w:val="20"/>
              </w:rPr>
              <w:t xml:space="preserve">Delivery payout</w:t>
            </w:r>
          </w:p>
        </w:tc>
        <w:tc>
          <w:tcPr>
            <w:tcW w:type="dxa" w:w="5800"/>
            <w:tcMar>
              <w:top w:type="dxa" w:w="60"/>
              <w:left w:type="dxa" w:w="90"/>
              <w:bottom w:type="dxa" w:w="60"/>
              <w:right w:type="dxa" w:w="90"/>
            </w:tcMar>
          </w:tcPr>
          <w:p>
            <w:r>
              <w:rPr>
                <w:b w:val="false"/>
                <w:bCs w:val="false"/>
                <w:sz w:val="20"/>
                <w:szCs w:val="20"/>
              </w:rPr>
              <w:t xml:space="preserve">Daily, subject to verification and deductions.</w:t>
            </w:r>
          </w:p>
        </w:tc>
      </w:tr>
      <w:tr>
        <w:tc>
          <w:tcPr>
            <w:tcW w:type="dxa" w:w="3200"/>
            <w:tcMar>
              <w:top w:type="dxa" w:w="60"/>
              <w:left w:type="dxa" w:w="90"/>
              <w:bottom w:type="dxa" w:w="60"/>
              <w:right w:type="dxa" w:w="90"/>
            </w:tcMar>
          </w:tcPr>
          <w:p>
            <w:r>
              <w:rPr>
                <w:b w:val="false"/>
                <w:bCs w:val="false"/>
                <w:sz w:val="20"/>
                <w:szCs w:val="20"/>
              </w:rPr>
              <w:t xml:space="preserve">Delivery fee</w:t>
            </w:r>
          </w:p>
        </w:tc>
        <w:tc>
          <w:tcPr>
            <w:tcW w:type="dxa" w:w="5800"/>
            <w:tcMar>
              <w:top w:type="dxa" w:w="60"/>
              <w:left w:type="dxa" w:w="90"/>
              <w:bottom w:type="dxa" w:w="60"/>
              <w:right w:type="dxa" w:w="90"/>
            </w:tcMar>
          </w:tcPr>
          <w:p>
            <w:r>
              <w:rPr>
                <w:b w:val="false"/>
                <w:bCs w:val="false"/>
                <w:sz w:val="20"/>
                <w:szCs w:val="20"/>
              </w:rPr>
              <w:t xml:space="preserve">Dynamic; based on distance, demand, weather, time, availability.</w:t>
            </w:r>
          </w:p>
        </w:tc>
      </w:tr>
      <w:tr>
        <w:tc>
          <w:tcPr>
            <w:tcW w:type="dxa" w:w="3200"/>
            <w:tcMar>
              <w:top w:type="dxa" w:w="60"/>
              <w:left w:type="dxa" w:w="90"/>
              <w:bottom w:type="dxa" w:w="60"/>
              <w:right w:type="dxa" w:w="90"/>
            </w:tcMar>
          </w:tcPr>
          <w:p>
            <w:r>
              <w:rPr>
                <w:b w:val="false"/>
                <w:bCs w:val="false"/>
                <w:sz w:val="20"/>
                <w:szCs w:val="20"/>
              </w:rPr>
              <w:t xml:space="preserve">Processing fee (settlement issue)</w:t>
            </w:r>
          </w:p>
        </w:tc>
        <w:tc>
          <w:tcPr>
            <w:tcW w:type="dxa" w:w="5800"/>
            <w:tcMar>
              <w:top w:type="dxa" w:w="60"/>
              <w:left w:type="dxa" w:w="90"/>
              <w:bottom w:type="dxa" w:w="60"/>
              <w:right w:type="dxa" w:w="90"/>
            </w:tcMar>
          </w:tcPr>
          <w:p>
            <w:r>
              <w:rPr>
                <w:b w:val="false"/>
                <w:bCs w:val="false"/>
                <w:sz w:val="20"/>
                <w:szCs w:val="20"/>
              </w:rPr>
              <w:t xml:space="preserve">₹10 may be deducted where a payment processing issue affects settlement.</w:t>
            </w:r>
          </w:p>
        </w:tc>
      </w:tr>
    </w:tbl>
    <w:p>
      <w:pPr>
        <w:spacing w:after="120"/>
      </w:pPr>
    </w:p>
    <w:p>
      <w:pPr>
        <w:pStyle w:val="Heading1"/>
        <w:spacing w:after="120" w:before="260"/>
      </w:pPr>
      <w:bookmarkStart w:name="_ztoc_26" w:id="1029"/>
      <w:r>
        <w:rPr>
          <w:b/>
          <w:bCs/>
        </w:rPr>
        <w:t xml:space="preserve">15. CHANGES TO THIS POLICY</w:t>
      </w:r>
      <w:bookmarkEnd w:id="1029"/>
    </w:p>
    <w:p>
      <w:pPr>
        <w:spacing w:after="120"/>
      </w:pPr>
      <w:r>
        <w:t xml:space="preserve">Zopiq may update this Policy prospectively to reflect changes in law, payment methods, or commercial terms, with reasonable notice where appropriate. Continued use of the Platform after the effective date constitutes acceptance of the updated Policy.</w:t>
      </w:r>
    </w:p>
    <w:p>
      <w:pPr>
        <w:pStyle w:val="Heading1"/>
        <w:spacing w:after="120" w:before="260"/>
      </w:pPr>
      <w:bookmarkStart w:name="_ztoc_27" w:id="1030"/>
      <w:r>
        <w:rPr>
          <w:b/>
          <w:bCs/>
        </w:rPr>
        <w:t xml:space="preserve">16. CONTACT INFORMATION</w:t>
      </w:r>
      <w:bookmarkEnd w:id="1030"/>
    </w:p>
    <w:p>
      <w:pPr>
        <w:spacing w:after="120"/>
      </w:pPr>
      <w:r>
        <w:t xml:space="preserve">For questions, requests, or concerns relating to this document, please contact:</w:t>
      </w:r>
    </w:p>
    <w:p>
      <w:pPr>
        <w:spacing w:after="120"/>
      </w:pPr>
      <w:r>
        <w:rPr>
          <w:b/>
          <w:bCs/>
        </w:rPr>
        <w:t xml:space="preserve">Hybrid Monks LLP</w:t>
      </w:r>
    </w:p>
    <w:p>
      <w:pPr>
        <w:spacing w:after="120"/>
      </w:pPr>
      <w:r>
        <w:t xml:space="preserve">Brand: Zopiq</w:t>
      </w:r>
    </w:p>
    <w:p>
      <w:pPr>
        <w:spacing w:after="120"/>
      </w:pPr>
      <w:r>
        <w:t xml:space="preserve">Registered Office: C/O Meena Dev, Main Road, Sadri, Rajasthan – 306702, India</w:t>
      </w:r>
    </w:p>
    <w:p>
      <w:pPr>
        <w:spacing w:after="120"/>
      </w:pPr>
      <w:r>
        <w:t xml:space="preserve">Email: hello@hybridmonks.com</w:t>
      </w:r>
    </w:p>
    <w:p>
      <w:pPr>
        <w:spacing w:after="120"/>
      </w:pPr>
      <w:r>
        <w:t xml:space="preserve">Phone: +91 96608 77411</w:t>
      </w:r>
    </w:p>
    <w:p>
      <w:pPr>
        <w:spacing w:after="120"/>
      </w:pPr>
      <w:r>
        <w:t xml:space="preserve">GSTIN: 08AATFH7649R1Z2</w:t>
      </w:r>
    </w:p>
    <w:sectPr>
      <w:headerReference w:type="default" r:id="rId7"/>
      <w:footerReference w:type="default" r:id="rId8"/>
      <w:pgSz w:w="11906" w:h="16838" w:orient="portrait"/>
      <w:pgMar w:top="1180" w:right="1200" w:bottom="11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color w:val="888888"/>
        <w:sz w:val="16"/>
        <w:szCs w:val="16"/>
      </w:rPr>
      <w:t xml:space="preserve">Zopiq Payment &amp; Settlement Policy  |  Confidential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color w:val="888888"/>
        <w:sz w:val="16"/>
        <w:szCs w:val="16"/>
      </w:rPr>
      <w:t xml:space="preserve">Zopiq — Payment &amp; Settlement Policy</w:t>
    </w:r>
    <w:r>
      <w:rPr>
        <w:color w:val="888888"/>
        <w:sz w:val="16"/>
        <w:szCs w:val="16"/>
      </w:rPr>
      <w:t xml:space="preserve">	Hybrid Monks LLP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color w:val="1A1A1A"/>
      <w:sz w:val="32"/>
      <w:szCs w:val="32"/>
    </w:rPr>
  </w:style>
  <w:style w:type="paragraph" w:styleId="Heading2">
    <w:name w:val="Heading 2"/>
    <w:basedOn w:val="Normal"/>
    <w:next w:val="Normal"/>
    <w:qFormat/>
    <w:pPr>
      <w:outlineLvl w:val="1"/>
    </w:pPr>
    <w:rPr>
      <w:color w:val="2A2A2A"/>
      <w:sz w:val="26"/>
      <w:szCs w:val="26"/>
    </w:rPr>
  </w:style>
  <w:style w:type="paragraph" w:styleId="Heading3">
    <w:name w:val="Heading 3"/>
    <w:basedOn w:val="Normal"/>
    <w:next w:val="Normal"/>
    <w:qFormat/>
    <w:pPr>
      <w:outlineLvl w:val="2"/>
    </w:pPr>
    <w:rPr>
      <w:color w:val="3A3A3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a1a1a"/>
      <w:sz w:val="28"/>
      <w:szCs w:val="28"/>
    </w:rPr>
  </w:style>
  <w:style w:type="paragraph" w:styleId="Heading2">
    <w:name w:val="Heading 2"/>
    <w:basedOn w:val="Normal"/>
    <w:next w:val="Normal"/>
    <w:qFormat/>
    <w:pPr>
      <w:spacing w:after="70" w:before="160"/>
    </w:pPr>
    <w:rPr>
      <w:b/>
      <w:bCs/>
      <w:color w:val="2a2a2a"/>
      <w:sz w:val="24"/>
      <w:szCs w:val="24"/>
    </w:rPr>
  </w:style>
  <w:style w:type="paragraph" w:styleId="Heading3">
    <w:name w:val="Heading 3"/>
    <w:basedOn w:val="Normal"/>
    <w:next w:val="Normal"/>
    <w:qFormat/>
    <w:pPr>
      <w:spacing w:after="60" w:before="120"/>
    </w:pPr>
    <w:rPr>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Zopiq Payment &amp; Settlement Policy</dc:title>
  <dc:creator>Hybrid Monks LLP</dc:creator>
  <cp:lastModifiedBy>Un-named</cp:lastModifiedBy>
  <cp:revision>1</cp:revision>
  <dcterms:created xsi:type="dcterms:W3CDTF">2026-08-16T16:39:42.291Z</dcterms:created>
  <dcterms:modified xsi:type="dcterms:W3CDTF">2026-08-16T16:39:42.291Z</dcterms:modified>
</cp:coreProperties>
</file>

<file path=docProps/custom.xml><?xml version="1.0" encoding="utf-8"?>
<Properties xmlns="http://schemas.openxmlformats.org/officeDocument/2006/custom-properties" xmlns:vt="http://schemas.openxmlformats.org/officeDocument/2006/docPropsVTypes"/>
</file>