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DELIVERY PARTNER VERIFICATION POLICY</w:t>
      </w:r>
    </w:p>
    <w:p>
      <w:pPr>
        <w:spacing w:after="400"/>
        <w:jc w:val="center"/>
      </w:pPr>
      <w:r>
        <w:rPr>
          <w:color w:val="444444"/>
          <w:sz w:val="24"/>
          <w:szCs w:val="24"/>
        </w:rPr>
        <w:t xml:space="preserve">Identity, Licence, Vehicle, and Ongoing Checks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ZOPIQ-LEGAL-14</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7"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8"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PRINCIPLES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ELIGIBILITY</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IDENTITY VERIFICATION</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DRIVING LICENCE VERIFICATION</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VEHICLE VERIFICATION</w:t>
        </w:r>
      </w:hyperlink>
      <w:r>
        <w:rPr>
          <w:sz w:val="22"/>
          <w:szCs w:val="22"/>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7.1 Documents Summary</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8. BACKGROUND CHECKS</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9. DOCUMENT RENEWAL</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10. COMPLIANCE MONITORING</w:t>
        </w:r>
      </w:hyperlink>
      <w:r>
        <w:rPr>
          <w:sz w:val="22"/>
          <w:szCs w:val="22"/>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11. DEACTIVATION</w:t>
        </w:r>
      </w:hyperlink>
      <w:r>
        <w:rPr>
          <w:sz w:val="22"/>
          <w:szCs w:val="22"/>
        </w:rPr>
        <w:t xml:space="preserve">	</w:t>
      </w:r>
      <w:hyperlink w:history="1" w:anchor="_ztoc_11">
        <w:fldSimple w:instr="PAGEREF _ztoc_11 \h">
          <w:r>
            <w:t xml:space="preserve">•</w:t>
          </w:r>
        </w:fldSimple>
      </w:hyperlink>
    </w:p>
    <w:p>
      <w:pPr>
        <w:tabs>
          <w:tab w:val="right" w:pos="9350" w:leader="dot"/>
        </w:tabs>
        <w:spacing w:after="30"/>
        <w:ind w:left="360"/>
      </w:pPr>
      <w:hyperlink w:history="1" w:anchor="_ztoc_12">
        <w:r>
          <w:rPr>
            <w:b w:val="false"/>
            <w:bCs w:val="false"/>
            <w:color w:val="1a1a1a"/>
            <w:sz w:val="20"/>
            <w:szCs w:val="20"/>
          </w:rPr>
          <w:t xml:space="preserve">11.1 Temporary Deactivation</w:t>
        </w:r>
      </w:hyperlink>
      <w:r>
        <w:rPr>
          <w:sz w:val="20"/>
          <w:szCs w:val="20"/>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11.2 Permanent Deactivation</w:t>
        </w:r>
      </w:hyperlink>
      <w:r>
        <w:rPr>
          <w:sz w:val="20"/>
          <w:szCs w:val="20"/>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12. DATA HANDLING</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13. CHANGES TO THIS POLICY</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14. CONTACT INFORMATION</w:t>
        </w:r>
      </w:hyperlink>
      <w:r>
        <w:rPr>
          <w:sz w:val="22"/>
          <w:szCs w:val="22"/>
        </w:rPr>
        <w:t xml:space="preserve">	</w:t>
      </w:r>
      <w:hyperlink w:history="1" w:anchor="_ztoc_16">
        <w:fldSimple w:instr="PAGEREF _ztoc_16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Delivery Partner Verification Policy ("Policy") describes how Zopiq, operated by Hybrid Monks LLP ("Zopiq", "Company", "we", "our", or "us"), verifies Delivery Partners before and during their participation on the Platform. It supplements the Delivery Partner Agreement, Terms &amp; Conditions, and Privacy Policy.</w:t>
      </w:r>
    </w:p>
    <w:p>
      <w:pPr>
        <w:spacing w:after="120"/>
      </w:pPr>
      <w:r>
        <w:t xml:space="preserve">Verification protects Customers, Restaurant Partners, and Delivery Partners themselves, and helps ensure that Delivery Partners are eligible and legally permitted to provide delivery services.</w:t>
      </w:r>
    </w:p>
    <w:p>
      <w:pPr>
        <w:pStyle w:val="Heading1"/>
        <w:spacing w:after="120" w:before="260"/>
      </w:pPr>
      <w:bookmarkStart w:name="_ztoc_1" w:id="1004"/>
      <w:r>
        <w:rPr>
          <w:b/>
          <w:bCs/>
        </w:rPr>
        <w:t xml:space="preserve">2. DEFINITIONS</w:t>
      </w:r>
      <w:bookmarkEnd w:id="1004"/>
    </w:p>
    <w:p>
      <w:pPr>
        <w:spacing w:after="120"/>
      </w:pPr>
      <w:r>
        <w:t xml:space="preserve">Verification means the process of checking a Delivery Partner’s identity, documents, and eligibility.</w:t>
      </w:r>
    </w:p>
    <w:p>
      <w:pPr>
        <w:spacing w:after="120"/>
      </w:pPr>
      <w:r>
        <w:t xml:space="preserve">Deactivation means suspension or termination of a Delivery Partner’s access to the Platform.</w:t>
      </w:r>
    </w:p>
    <w:p>
      <w:pPr>
        <w:spacing w:after="120"/>
      </w:pPr>
      <w:r>
        <w:t xml:space="preserve">Compliance Monitoring means ongoing checks to confirm continued eligibility.</w:t>
      </w:r>
    </w:p>
    <w:p>
      <w:pPr>
        <w:pStyle w:val="Heading1"/>
        <w:spacing w:after="120" w:before="260"/>
      </w:pPr>
      <w:bookmarkStart w:name="_ztoc_2" w:id="1005"/>
      <w:r>
        <w:rPr>
          <w:b/>
          <w:bCs/>
        </w:rPr>
        <w:t xml:space="preserve">3. PRINCIPLES</w:t>
      </w:r>
      <w:bookmarkEnd w:id="1005"/>
    </w:p>
    <w:p>
      <w:pPr>
        <w:spacing w:after="120"/>
      </w:pPr>
      <w:r>
        <w:t xml:space="preserve">Verification is guided by the following principles:</w:t>
      </w:r>
    </w:p>
    <w:p>
      <w:pPr>
        <w:pStyle w:val="ListParagraph"/>
        <w:numPr>
          <w:ilvl w:val="0"/>
          <w:numId w:val="1"/>
        </w:numPr>
        <w:spacing w:after="40"/>
      </w:pPr>
      <w:r>
        <w:t xml:space="preserve">Only eligible, verified individuals may perform deliveries.</w:t>
      </w:r>
    </w:p>
    <w:p>
      <w:pPr>
        <w:pStyle w:val="ListParagraph"/>
        <w:numPr>
          <w:ilvl w:val="0"/>
          <w:numId w:val="1"/>
        </w:numPr>
        <w:spacing w:after="40"/>
      </w:pPr>
      <w:r>
        <w:t xml:space="preserve">Documents are collected and handled under the Privacy Policy and data minimization.</w:t>
      </w:r>
    </w:p>
    <w:p>
      <w:pPr>
        <w:pStyle w:val="ListParagraph"/>
        <w:numPr>
          <w:ilvl w:val="0"/>
          <w:numId w:val="1"/>
        </w:numPr>
        <w:spacing w:after="40"/>
      </w:pPr>
      <w:r>
        <w:t xml:space="preserve">Verification is ongoing, not only at onboarding.</w:t>
      </w:r>
    </w:p>
    <w:p>
      <w:pPr>
        <w:pStyle w:val="ListParagraph"/>
        <w:numPr>
          <w:ilvl w:val="0"/>
          <w:numId w:val="1"/>
        </w:numPr>
        <w:spacing w:after="40"/>
      </w:pPr>
      <w:r>
        <w:t xml:space="preserve">Invalid documents or failed checks may lead to Deactivation.</w:t>
      </w:r>
    </w:p>
    <w:p>
      <w:pPr>
        <w:pStyle w:val="Heading1"/>
        <w:spacing w:after="120" w:before="260"/>
      </w:pPr>
      <w:bookmarkStart w:name="_ztoc_3" w:id="1006"/>
      <w:r>
        <w:rPr>
          <w:b/>
          <w:bCs/>
        </w:rPr>
        <w:t xml:space="preserve">4. ELIGIBILITY</w:t>
      </w:r>
      <w:bookmarkEnd w:id="1006"/>
    </w:p>
    <w:p>
      <w:pPr>
        <w:spacing w:after="120"/>
      </w:pPr>
      <w:r>
        <w:t xml:space="preserve">To be verified, a Delivery Partner must be at least 18 years of age, hold a valid government-issued identity proof, possess a valid driving licence where applicable to the vehicle used, and operate a legally compliant vehicle where required. The Delivery Partner must be legally permitted to provide delivery services.</w:t>
      </w:r>
    </w:p>
    <w:p>
      <w:pPr>
        <w:pStyle w:val="Heading1"/>
        <w:spacing w:after="120" w:before="260"/>
      </w:pPr>
      <w:bookmarkStart w:name="_ztoc_4" w:id="1007"/>
      <w:r>
        <w:rPr>
          <w:b/>
          <w:bCs/>
        </w:rPr>
        <w:t xml:space="preserve">5. IDENTITY VERIFICATION</w:t>
      </w:r>
      <w:bookmarkEnd w:id="1007"/>
    </w:p>
    <w:p>
      <w:pPr>
        <w:spacing w:after="120"/>
      </w:pPr>
      <w:r>
        <w:t xml:space="preserve">Delivery Partners provide a government-issued identity document and, where applicable, a verification photograph or selfie. Zopiq may verify identity to confirm that the person performing deliveries is the registered, verified individual. Providing false identity information or another person’s documents is treated as identity fraud.</w:t>
      </w:r>
    </w:p>
    <w:p>
      <w:pPr>
        <w:pStyle w:val="Heading1"/>
        <w:spacing w:after="120" w:before="260"/>
      </w:pPr>
      <w:bookmarkStart w:name="_ztoc_5" w:id="1008"/>
      <w:r>
        <w:rPr>
          <w:b/>
          <w:bCs/>
        </w:rPr>
        <w:t xml:space="preserve">6. DRIVING LICENCE VERIFICATION</w:t>
      </w:r>
      <w:bookmarkEnd w:id="1008"/>
    </w:p>
    <w:p>
      <w:pPr>
        <w:spacing w:after="120"/>
      </w:pPr>
      <w:r>
        <w:t xml:space="preserve">Where the Delivery Partner uses a vehicle requiring a licence, a valid driving licence must be provided and kept current. Zopiq may verify licence details and may restrict or deactivate Delivery Partners whose licence is invalid or expired until a valid licence is provided.</w:t>
      </w:r>
    </w:p>
    <w:p>
      <w:pPr>
        <w:pStyle w:val="Heading1"/>
        <w:spacing w:after="120" w:before="260"/>
      </w:pPr>
      <w:bookmarkStart w:name="_ztoc_6" w:id="1009"/>
      <w:r>
        <w:rPr>
          <w:b/>
          <w:bCs/>
        </w:rPr>
        <w:t xml:space="preserve">7. VEHICLE VERIFICATION</w:t>
      </w:r>
      <w:bookmarkEnd w:id="1009"/>
    </w:p>
    <w:p>
      <w:pPr>
        <w:spacing w:after="120"/>
      </w:pPr>
      <w:r>
        <w:t xml:space="preserve">Where applicable, Delivery Partners provide vehicle details such as vehicle type and registration, and insurance details where required. Zopiq may verify these details and expects the vehicle to remain roadworthy and legally compliant. Delivery Partners are responsible for their vehicle, its documents, and compliance with the Motor Vehicles Act and other applicable laws.</w:t>
      </w:r>
    </w:p>
    <w:p>
      <w:pPr>
        <w:pStyle w:val="Heading2"/>
        <w:spacing w:after="70" w:before="160"/>
      </w:pPr>
      <w:bookmarkStart w:name="_ztoc_7" w:id="1010"/>
      <w:r>
        <w:rPr>
          <w:b/>
          <w:bCs/>
        </w:rPr>
        <w:t xml:space="preserve">7.1 Documents Summary</w:t>
      </w:r>
      <w:bookmarkEnd w:id="1010"/>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600"/>
        <w:gridCol w:w="5400"/>
      </w:tblGrid>
      <w:tr>
        <w:trPr>
          <w:tblHeader/>
        </w:trPr>
        <w:tc>
          <w:tcPr>
            <w:tcW w:type="dxa" w:w="3600"/>
            <w:shd w:fill="E8E8E8" w:val="clear"/>
            <w:tcMar>
              <w:top w:type="dxa" w:w="60"/>
              <w:left w:type="dxa" w:w="90"/>
              <w:bottom w:type="dxa" w:w="60"/>
              <w:right w:type="dxa" w:w="90"/>
            </w:tcMar>
          </w:tcPr>
          <w:p>
            <w:r>
              <w:rPr>
                <w:b/>
                <w:bCs/>
                <w:sz w:val="20"/>
                <w:szCs w:val="20"/>
              </w:rPr>
              <w:t xml:space="preserve">Document / Detail</w:t>
            </w:r>
          </w:p>
        </w:tc>
        <w:tc>
          <w:tcPr>
            <w:tcW w:type="dxa" w:w="5400"/>
            <w:shd w:fill="E8E8E8" w:val="clear"/>
            <w:tcMar>
              <w:top w:type="dxa" w:w="60"/>
              <w:left w:type="dxa" w:w="90"/>
              <w:bottom w:type="dxa" w:w="60"/>
              <w:right w:type="dxa" w:w="90"/>
            </w:tcMar>
          </w:tcPr>
          <w:p>
            <w:r>
              <w:rPr>
                <w:b/>
                <w:bCs/>
                <w:sz w:val="20"/>
                <w:szCs w:val="20"/>
              </w:rPr>
              <w:t xml:space="preserve">Purpose</w:t>
            </w:r>
          </w:p>
        </w:tc>
      </w:tr>
      <w:tr>
        <w:tc>
          <w:tcPr>
            <w:tcW w:type="dxa" w:w="3600"/>
            <w:tcMar>
              <w:top w:type="dxa" w:w="60"/>
              <w:left w:type="dxa" w:w="90"/>
              <w:bottom w:type="dxa" w:w="60"/>
              <w:right w:type="dxa" w:w="90"/>
            </w:tcMar>
          </w:tcPr>
          <w:p>
            <w:r>
              <w:rPr>
                <w:b w:val="false"/>
                <w:bCs w:val="false"/>
                <w:sz w:val="20"/>
                <w:szCs w:val="20"/>
              </w:rPr>
              <w:t xml:space="preserve">Government-issued identity document</w:t>
            </w:r>
          </w:p>
        </w:tc>
        <w:tc>
          <w:tcPr>
            <w:tcW w:type="dxa" w:w="5400"/>
            <w:tcMar>
              <w:top w:type="dxa" w:w="60"/>
              <w:left w:type="dxa" w:w="90"/>
              <w:bottom w:type="dxa" w:w="60"/>
              <w:right w:type="dxa" w:w="90"/>
            </w:tcMar>
          </w:tcPr>
          <w:p>
            <w:r>
              <w:rPr>
                <w:b w:val="false"/>
                <w:bCs w:val="false"/>
                <w:sz w:val="20"/>
                <w:szCs w:val="20"/>
              </w:rPr>
              <w:t xml:space="preserve">Confirm identity and age eligibility.</w:t>
            </w:r>
          </w:p>
        </w:tc>
      </w:tr>
      <w:tr>
        <w:tc>
          <w:tcPr>
            <w:tcW w:type="dxa" w:w="3600"/>
            <w:tcMar>
              <w:top w:type="dxa" w:w="60"/>
              <w:left w:type="dxa" w:w="90"/>
              <w:bottom w:type="dxa" w:w="60"/>
              <w:right w:type="dxa" w:w="90"/>
            </w:tcMar>
          </w:tcPr>
          <w:p>
            <w:r>
              <w:rPr>
                <w:b w:val="false"/>
                <w:bCs w:val="false"/>
                <w:sz w:val="20"/>
                <w:szCs w:val="20"/>
              </w:rPr>
              <w:t xml:space="preserve">Verification photograph (where applicable)</w:t>
            </w:r>
          </w:p>
        </w:tc>
        <w:tc>
          <w:tcPr>
            <w:tcW w:type="dxa" w:w="5400"/>
            <w:tcMar>
              <w:top w:type="dxa" w:w="60"/>
              <w:left w:type="dxa" w:w="90"/>
              <w:bottom w:type="dxa" w:w="60"/>
              <w:right w:type="dxa" w:w="90"/>
            </w:tcMar>
          </w:tcPr>
          <w:p>
            <w:r>
              <w:rPr>
                <w:b w:val="false"/>
                <w:bCs w:val="false"/>
                <w:sz w:val="20"/>
                <w:szCs w:val="20"/>
              </w:rPr>
              <w:t xml:space="preserve">Confirm the person performing deliveries.</w:t>
            </w:r>
          </w:p>
        </w:tc>
      </w:tr>
      <w:tr>
        <w:tc>
          <w:tcPr>
            <w:tcW w:type="dxa" w:w="3600"/>
            <w:tcMar>
              <w:top w:type="dxa" w:w="60"/>
              <w:left w:type="dxa" w:w="90"/>
              <w:bottom w:type="dxa" w:w="60"/>
              <w:right w:type="dxa" w:w="90"/>
            </w:tcMar>
          </w:tcPr>
          <w:p>
            <w:r>
              <w:rPr>
                <w:b w:val="false"/>
                <w:bCs w:val="false"/>
                <w:sz w:val="20"/>
                <w:szCs w:val="20"/>
              </w:rPr>
              <w:t xml:space="preserve">Driving licence (where applicable)</w:t>
            </w:r>
          </w:p>
        </w:tc>
        <w:tc>
          <w:tcPr>
            <w:tcW w:type="dxa" w:w="5400"/>
            <w:tcMar>
              <w:top w:type="dxa" w:w="60"/>
              <w:left w:type="dxa" w:w="90"/>
              <w:bottom w:type="dxa" w:w="60"/>
              <w:right w:type="dxa" w:w="90"/>
            </w:tcMar>
          </w:tcPr>
          <w:p>
            <w:r>
              <w:rPr>
                <w:b w:val="false"/>
                <w:bCs w:val="false"/>
                <w:sz w:val="20"/>
                <w:szCs w:val="20"/>
              </w:rPr>
              <w:t xml:space="preserve">Confirm legal authorisation to operate the vehicle.</w:t>
            </w:r>
          </w:p>
        </w:tc>
      </w:tr>
      <w:tr>
        <w:tc>
          <w:tcPr>
            <w:tcW w:type="dxa" w:w="3600"/>
            <w:tcMar>
              <w:top w:type="dxa" w:w="60"/>
              <w:left w:type="dxa" w:w="90"/>
              <w:bottom w:type="dxa" w:w="60"/>
              <w:right w:type="dxa" w:w="90"/>
            </w:tcMar>
          </w:tcPr>
          <w:p>
            <w:r>
              <w:rPr>
                <w:b w:val="false"/>
                <w:bCs w:val="false"/>
                <w:sz w:val="20"/>
                <w:szCs w:val="20"/>
              </w:rPr>
              <w:t xml:space="preserve">Vehicle registration (where applicable)</w:t>
            </w:r>
          </w:p>
        </w:tc>
        <w:tc>
          <w:tcPr>
            <w:tcW w:type="dxa" w:w="5400"/>
            <w:tcMar>
              <w:top w:type="dxa" w:w="60"/>
              <w:left w:type="dxa" w:w="90"/>
              <w:bottom w:type="dxa" w:w="60"/>
              <w:right w:type="dxa" w:w="90"/>
            </w:tcMar>
          </w:tcPr>
          <w:p>
            <w:r>
              <w:rPr>
                <w:b w:val="false"/>
                <w:bCs w:val="false"/>
                <w:sz w:val="20"/>
                <w:szCs w:val="20"/>
              </w:rPr>
              <w:t xml:space="preserve">Confirm a legally compliant vehicle.</w:t>
            </w:r>
          </w:p>
        </w:tc>
      </w:tr>
      <w:tr>
        <w:tc>
          <w:tcPr>
            <w:tcW w:type="dxa" w:w="3600"/>
            <w:tcMar>
              <w:top w:type="dxa" w:w="60"/>
              <w:left w:type="dxa" w:w="90"/>
              <w:bottom w:type="dxa" w:w="60"/>
              <w:right w:type="dxa" w:w="90"/>
            </w:tcMar>
          </w:tcPr>
          <w:p>
            <w:r>
              <w:rPr>
                <w:b w:val="false"/>
                <w:bCs w:val="false"/>
                <w:sz w:val="20"/>
                <w:szCs w:val="20"/>
              </w:rPr>
              <w:t xml:space="preserve">Insurance details (where required)</w:t>
            </w:r>
          </w:p>
        </w:tc>
        <w:tc>
          <w:tcPr>
            <w:tcW w:type="dxa" w:w="5400"/>
            <w:tcMar>
              <w:top w:type="dxa" w:w="60"/>
              <w:left w:type="dxa" w:w="90"/>
              <w:bottom w:type="dxa" w:w="60"/>
              <w:right w:type="dxa" w:w="90"/>
            </w:tcMar>
          </w:tcPr>
          <w:p>
            <w:r>
              <w:rPr>
                <w:b w:val="false"/>
                <w:bCs w:val="false"/>
                <w:sz w:val="20"/>
                <w:szCs w:val="20"/>
              </w:rPr>
              <w:t xml:space="preserve">Confirm required coverage.</w:t>
            </w:r>
          </w:p>
        </w:tc>
      </w:tr>
      <w:tr>
        <w:tc>
          <w:tcPr>
            <w:tcW w:type="dxa" w:w="3600"/>
            <w:tcMar>
              <w:top w:type="dxa" w:w="60"/>
              <w:left w:type="dxa" w:w="90"/>
              <w:bottom w:type="dxa" w:w="60"/>
              <w:right w:type="dxa" w:w="90"/>
            </w:tcMar>
          </w:tcPr>
          <w:p>
            <w:r>
              <w:rPr>
                <w:b w:val="false"/>
                <w:bCs w:val="false"/>
                <w:sz w:val="20"/>
                <w:szCs w:val="20"/>
              </w:rPr>
              <w:t xml:space="preserve">Bank / UPI details</w:t>
            </w:r>
          </w:p>
        </w:tc>
        <w:tc>
          <w:tcPr>
            <w:tcW w:type="dxa" w:w="5400"/>
            <w:tcMar>
              <w:top w:type="dxa" w:w="60"/>
              <w:left w:type="dxa" w:w="90"/>
              <w:bottom w:type="dxa" w:w="60"/>
              <w:right w:type="dxa" w:w="90"/>
            </w:tcMar>
          </w:tcPr>
          <w:p>
            <w:r>
              <w:rPr>
                <w:b w:val="false"/>
                <w:bCs w:val="false"/>
                <w:sz w:val="20"/>
                <w:szCs w:val="20"/>
              </w:rPr>
              <w:t xml:space="preserve">Processing of daily Payouts.</w:t>
            </w:r>
          </w:p>
        </w:tc>
      </w:tr>
    </w:tbl>
    <w:p>
      <w:pPr>
        <w:spacing w:after="120"/>
      </w:pPr>
    </w:p>
    <w:p>
      <w:pPr>
        <w:pStyle w:val="Heading1"/>
        <w:spacing w:after="120" w:before="260"/>
      </w:pPr>
      <w:bookmarkStart w:name="_ztoc_8" w:id="1011"/>
      <w:r>
        <w:rPr>
          <w:b/>
          <w:bCs/>
        </w:rPr>
        <w:t xml:space="preserve">8. BACKGROUND CHECKS</w:t>
      </w:r>
      <w:bookmarkEnd w:id="1011"/>
    </w:p>
    <w:p>
      <w:pPr>
        <w:spacing w:after="120"/>
      </w:pPr>
      <w:r>
        <w:t xml:space="preserve">Where permitted by applicable law, Zopiq may carry out background or verification checks appropriate to the delivery role, using authorised verification providers. Such checks are conducted consistently with the Privacy Policy and applicable law, and are limited to what is reasonably necessary for safety and eligibility. Delivery Partners may be required to consent to checks as a condition of participation.</w:t>
      </w:r>
    </w:p>
    <w:p>
      <w:pPr>
        <w:pStyle w:val="Heading1"/>
        <w:spacing w:after="120" w:before="260"/>
      </w:pPr>
      <w:bookmarkStart w:name="_ztoc_9" w:id="1012"/>
      <w:r>
        <w:rPr>
          <w:b/>
          <w:bCs/>
        </w:rPr>
        <w:t xml:space="preserve">9. DOCUMENT RENEWAL</w:t>
      </w:r>
      <w:bookmarkEnd w:id="1012"/>
    </w:p>
    <w:p>
      <w:pPr>
        <w:spacing w:after="120"/>
      </w:pPr>
      <w:r>
        <w:t xml:space="preserve">Documents must remain valid throughout participation. Delivery Partners are responsible for renewing their driving licence, vehicle registration, insurance, and other applicable documents before they expire, and for updating Zopiq with current details. Zopiq may request updated documents periodically and may restrict or deactivate Delivery Partners whose required documents have lapsed until valid documents are provided.</w:t>
      </w:r>
    </w:p>
    <w:p>
      <w:pPr>
        <w:pStyle w:val="Heading1"/>
        <w:spacing w:after="120" w:before="260"/>
      </w:pPr>
      <w:bookmarkStart w:name="_ztoc_10" w:id="1013"/>
      <w:r>
        <w:rPr>
          <w:b/>
          <w:bCs/>
        </w:rPr>
        <w:t xml:space="preserve">10. COMPLIANCE MONITORING</w:t>
      </w:r>
      <w:bookmarkEnd w:id="1013"/>
    </w:p>
    <w:p>
      <w:pPr>
        <w:spacing w:after="120"/>
      </w:pPr>
      <w:r>
        <w:t xml:space="preserve">Zopiq conducts ongoing Compliance Monitoring, which may include periodic re-verification, review of safety reports or complaints, and checks triggered by risk indicators. Delivery Partners are expected to cooperate and provide reasonably requested information.</w:t>
      </w:r>
    </w:p>
    <w:p>
      <w:pPr>
        <w:pStyle w:val="Heading1"/>
        <w:spacing w:after="120" w:before="260"/>
      </w:pPr>
      <w:bookmarkStart w:name="_ztoc_11" w:id="1014"/>
      <w:r>
        <w:rPr>
          <w:b/>
          <w:bCs/>
        </w:rPr>
        <w:t xml:space="preserve">11. DEACTIVATION</w:t>
      </w:r>
      <w:bookmarkEnd w:id="1014"/>
    </w:p>
    <w:p>
      <w:pPr>
        <w:spacing w:after="120"/>
      </w:pPr>
      <w:r>
        <w:t xml:space="preserve">Zopiq may deactivate a Delivery Partner where Verification fails, documents lapse or are invalid, false information or forged documents are provided, or serious safety or conduct concerns arise.</w:t>
      </w:r>
    </w:p>
    <w:p>
      <w:pPr>
        <w:pStyle w:val="Heading2"/>
        <w:spacing w:after="70" w:before="160"/>
      </w:pPr>
      <w:bookmarkStart w:name="_ztoc_12" w:id="1015"/>
      <w:r>
        <w:rPr>
          <w:b/>
          <w:bCs/>
        </w:rPr>
        <w:t xml:space="preserve">11.1 Temporary Deactivation</w:t>
      </w:r>
      <w:bookmarkEnd w:id="1015"/>
    </w:p>
    <w:p>
      <w:pPr>
        <w:spacing w:after="120"/>
      </w:pPr>
      <w:r>
        <w:t xml:space="preserve">Temporary Deactivation may apply while documents are renewed, information is verified, or a concern is investigated. Access may be restored once the matter is resolved.</w:t>
      </w:r>
    </w:p>
    <w:p>
      <w:pPr>
        <w:pStyle w:val="Heading2"/>
        <w:spacing w:after="70" w:before="160"/>
      </w:pPr>
      <w:bookmarkStart w:name="_ztoc_13" w:id="1016"/>
      <w:r>
        <w:rPr>
          <w:b/>
          <w:bCs/>
        </w:rPr>
        <w:t xml:space="preserve">11.2 Permanent Deactivation</w:t>
      </w:r>
      <w:bookmarkEnd w:id="1016"/>
    </w:p>
    <w:p>
      <w:pPr>
        <w:spacing w:after="120"/>
      </w:pPr>
      <w:r>
        <w:t xml:space="preserve">Permanent Deactivation may apply for serious matters such as identity fraud, forged documents, delivery theft, food tampering, violence, or repeated serious violations. Such decisions may be final where necessary to protect users or comply with law.</w:t>
      </w:r>
    </w:p>
    <w:p>
      <w:pPr>
        <w:pStyle w:val="Heading1"/>
        <w:spacing w:after="120" w:before="260"/>
      </w:pPr>
      <w:bookmarkStart w:name="_ztoc_14" w:id="1017"/>
      <w:r>
        <w:rPr>
          <w:b/>
          <w:bCs/>
        </w:rPr>
        <w:t xml:space="preserve">12. DATA HANDLING</w:t>
      </w:r>
      <w:bookmarkEnd w:id="1017"/>
    </w:p>
    <w:p>
      <w:pPr>
        <w:spacing w:after="120"/>
      </w:pPr>
      <w:r>
        <w:t xml:space="preserve">Documents and information collected for Verification are handled in accordance with the Privacy Policy, including confidentiality, access controls, and retention only for as long as necessary or as required by law. Verification data is used only for verification, safety, compliance, fraud prevention, and related legitimate purposes.</w:t>
      </w:r>
    </w:p>
    <w:p>
      <w:pPr>
        <w:pStyle w:val="Heading1"/>
        <w:spacing w:after="120" w:before="260"/>
      </w:pPr>
      <w:bookmarkStart w:name="_ztoc_15" w:id="1018"/>
      <w:r>
        <w:rPr>
          <w:b/>
          <w:bCs/>
        </w:rPr>
        <w:t xml:space="preserve">13. CHANGES TO THIS POLICY</w:t>
      </w:r>
      <w:bookmarkEnd w:id="1018"/>
    </w:p>
    <w:p>
      <w:pPr>
        <w:spacing w:after="120"/>
      </w:pPr>
      <w:r>
        <w:t xml:space="preserve">Zopiq may update this Policy from time to time to reflect changes in law, regulatory requirements, or process. Material changes will be communicated through the Platform or by other reasonable means. The "Last Updated" date on the cover page indicates the latest version.</w:t>
      </w:r>
    </w:p>
    <w:p>
      <w:pPr>
        <w:pStyle w:val="Heading1"/>
        <w:spacing w:after="120" w:before="260"/>
      </w:pPr>
      <w:bookmarkStart w:name="_ztoc_16" w:id="1019"/>
      <w:r>
        <w:rPr>
          <w:b/>
          <w:bCs/>
        </w:rPr>
        <w:t xml:space="preserve">14. CONTACT INFORMATION</w:t>
      </w:r>
      <w:bookmarkEnd w:id="1019"/>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Delivery Partner Verification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Delivery Partner Verification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Delivery Partner Verification Policy</dc:title>
  <dc:creator>Hybrid Monks LLP</dc:creator>
  <cp:lastModifiedBy>Un-named</cp:lastModifiedBy>
  <cp:revision>1</cp:revision>
  <dcterms:created xsi:type="dcterms:W3CDTF">2026-08-16T16:39:42.887Z</dcterms:created>
  <dcterms:modified xsi:type="dcterms:W3CDTF">2026-08-16T16:39:42.887Z</dcterms:modified>
</cp:coreProperties>
</file>

<file path=docProps/custom.xml><?xml version="1.0" encoding="utf-8"?>
<Properties xmlns="http://schemas.openxmlformats.org/officeDocument/2006/custom-properties" xmlns:vt="http://schemas.openxmlformats.org/officeDocument/2006/docPropsVTypes"/>
</file>