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CA52" w14:textId="6BBC0B8F" w:rsidR="004720C8" w:rsidRPr="00EB27F3" w:rsidRDefault="004720C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RESULTS AND OBSERVATIONS</w:t>
      </w:r>
    </w:p>
    <w:p w14:paraId="3515AC54" w14:textId="77777777" w:rsidR="004720C8" w:rsidRPr="00EB27F3" w:rsidRDefault="004720C8" w:rsidP="00EB27F3">
      <w:pPr>
        <w:spacing w:after="0" w:line="360" w:lineRule="auto"/>
        <w:rPr>
          <w:rFonts w:ascii="Times New Roman" w:hAnsi="Times New Roman" w:cs="Times New Roman"/>
          <w:sz w:val="24"/>
          <w:szCs w:val="24"/>
        </w:rPr>
      </w:pPr>
    </w:p>
    <w:p w14:paraId="4C70BECB" w14:textId="501DEEDA" w:rsidR="000D2116" w:rsidRPr="00EB27F3" w:rsidRDefault="000D2116"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w:t>
      </w:r>
      <w:r w:rsidRPr="00EB27F3">
        <w:rPr>
          <w:rFonts w:ascii="Times New Roman" w:hAnsi="Times New Roman" w:cs="Times New Roman"/>
          <w:b/>
          <w:bCs/>
          <w:sz w:val="24"/>
          <w:szCs w:val="24"/>
        </w:rPr>
        <w:t xml:space="preserve">: </w:t>
      </w:r>
      <w:r w:rsidR="00EA605A" w:rsidRPr="00EB27F3">
        <w:rPr>
          <w:rFonts w:ascii="Times New Roman" w:hAnsi="Times New Roman" w:cs="Times New Roman"/>
          <w:b/>
          <w:bCs/>
          <w:sz w:val="24"/>
          <w:szCs w:val="24"/>
        </w:rPr>
        <w:t>Age</w:t>
      </w:r>
      <w:r w:rsidRPr="00EB27F3">
        <w:rPr>
          <w:rFonts w:ascii="Times New Roman" w:hAnsi="Times New Roman" w:cs="Times New Roman"/>
          <w:b/>
          <w:bCs/>
          <w:sz w:val="24"/>
          <w:szCs w:val="24"/>
        </w:rPr>
        <w:t xml:space="preserve"> of the patients (n=5</w:t>
      </w:r>
      <w:r w:rsidR="003D323F" w:rsidRPr="00EB27F3">
        <w:rPr>
          <w:rFonts w:ascii="Times New Roman" w:hAnsi="Times New Roman" w:cs="Times New Roman"/>
          <w:b/>
          <w:bCs/>
          <w:sz w:val="24"/>
          <w:szCs w:val="24"/>
        </w:rPr>
        <w:t>0</w:t>
      </w:r>
      <w:r w:rsidRPr="00EB27F3">
        <w:rPr>
          <w:rFonts w:ascii="Times New Roman" w:hAnsi="Times New Roman" w:cs="Times New Roman"/>
          <w:b/>
          <w:bCs/>
          <w:sz w:val="24"/>
          <w:szCs w:val="24"/>
        </w:rPr>
        <w:t>)</w:t>
      </w:r>
    </w:p>
    <w:p w14:paraId="1D56A40F" w14:textId="77777777" w:rsidR="0042441C" w:rsidRPr="00EB27F3" w:rsidRDefault="0042441C"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42441C" w:rsidRPr="00EB27F3" w14:paraId="3CC01B72" w14:textId="77777777" w:rsidTr="0042441C">
        <w:tc>
          <w:tcPr>
            <w:tcW w:w="3210" w:type="dxa"/>
          </w:tcPr>
          <w:p w14:paraId="3FED5786" w14:textId="48AB9148" w:rsidR="0042441C" w:rsidRPr="00EB27F3" w:rsidRDefault="00805EF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Age (in years)</w:t>
            </w:r>
            <w:r w:rsidR="0042441C" w:rsidRPr="00EB27F3">
              <w:rPr>
                <w:rFonts w:ascii="Times New Roman" w:hAnsi="Times New Roman" w:cs="Times New Roman"/>
                <w:b/>
                <w:bCs/>
                <w:sz w:val="24"/>
                <w:szCs w:val="24"/>
              </w:rPr>
              <w:t xml:space="preserve"> of the patients</w:t>
            </w:r>
          </w:p>
        </w:tc>
        <w:tc>
          <w:tcPr>
            <w:tcW w:w="3210" w:type="dxa"/>
          </w:tcPr>
          <w:p w14:paraId="0F43737E" w14:textId="13095C8D"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29B26B03" w14:textId="09724EBD"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42441C" w:rsidRPr="00EB27F3" w14:paraId="6FDFB994" w14:textId="77777777" w:rsidTr="0042441C">
        <w:tc>
          <w:tcPr>
            <w:tcW w:w="3210" w:type="dxa"/>
          </w:tcPr>
          <w:p w14:paraId="4D69E8EC" w14:textId="2A898DF0" w:rsidR="0042441C" w:rsidRPr="00EB27F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&lt;5</w:t>
            </w:r>
          </w:p>
        </w:tc>
        <w:tc>
          <w:tcPr>
            <w:tcW w:w="3210" w:type="dxa"/>
          </w:tcPr>
          <w:p w14:paraId="73199081" w14:textId="75645D6B" w:rsidR="0042441C"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210" w:type="dxa"/>
          </w:tcPr>
          <w:p w14:paraId="36C99ED9" w14:textId="2515904B" w:rsidR="0042441C"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42441C" w:rsidRPr="00EB27F3" w14:paraId="1138442A" w14:textId="77777777" w:rsidTr="0042441C">
        <w:tc>
          <w:tcPr>
            <w:tcW w:w="3210" w:type="dxa"/>
          </w:tcPr>
          <w:p w14:paraId="74DF5F4B" w14:textId="58970BCC" w:rsidR="0042441C" w:rsidRPr="00EB27F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5-10</w:t>
            </w:r>
          </w:p>
        </w:tc>
        <w:tc>
          <w:tcPr>
            <w:tcW w:w="3210" w:type="dxa"/>
          </w:tcPr>
          <w:p w14:paraId="3857BC41" w14:textId="2660CEA1" w:rsidR="0042441C"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210" w:type="dxa"/>
          </w:tcPr>
          <w:p w14:paraId="18DDD4C5" w14:textId="22D2C476" w:rsidR="0042441C"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4.0</w:t>
            </w:r>
          </w:p>
        </w:tc>
      </w:tr>
      <w:tr w:rsidR="0042441C" w:rsidRPr="00EB27F3" w14:paraId="573D16EB" w14:textId="77777777" w:rsidTr="0042441C">
        <w:tc>
          <w:tcPr>
            <w:tcW w:w="3210" w:type="dxa"/>
          </w:tcPr>
          <w:p w14:paraId="53A0A78B" w14:textId="395CA058" w:rsidR="0042441C" w:rsidRPr="00EB27F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11-20</w:t>
            </w:r>
          </w:p>
        </w:tc>
        <w:tc>
          <w:tcPr>
            <w:tcW w:w="3210" w:type="dxa"/>
          </w:tcPr>
          <w:p w14:paraId="554865FF" w14:textId="6AE3BA99" w:rsidR="0042441C"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210" w:type="dxa"/>
          </w:tcPr>
          <w:p w14:paraId="557DD40F" w14:textId="5AE547BE" w:rsidR="0042441C"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A82803" w:rsidRPr="00EB27F3" w14:paraId="4FC901E7" w14:textId="77777777" w:rsidTr="0042441C">
        <w:tc>
          <w:tcPr>
            <w:tcW w:w="3210" w:type="dxa"/>
          </w:tcPr>
          <w:p w14:paraId="7354DFA3" w14:textId="6CEE05BB" w:rsidR="00A82803" w:rsidRPr="00EB27F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21-30</w:t>
            </w:r>
          </w:p>
        </w:tc>
        <w:tc>
          <w:tcPr>
            <w:tcW w:w="3210" w:type="dxa"/>
          </w:tcPr>
          <w:p w14:paraId="1A1475E4" w14:textId="1A692E8A"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210" w:type="dxa"/>
          </w:tcPr>
          <w:p w14:paraId="1DFB611B" w14:textId="77F3F5B5"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24.0</w:t>
            </w:r>
          </w:p>
        </w:tc>
      </w:tr>
      <w:tr w:rsidR="00A82803" w:rsidRPr="00EB27F3" w14:paraId="17AABDF9" w14:textId="77777777" w:rsidTr="0042441C">
        <w:tc>
          <w:tcPr>
            <w:tcW w:w="3210" w:type="dxa"/>
          </w:tcPr>
          <w:p w14:paraId="6D5AE47D" w14:textId="4B660431" w:rsidR="00A82803" w:rsidRPr="00EB27F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31-40</w:t>
            </w:r>
          </w:p>
        </w:tc>
        <w:tc>
          <w:tcPr>
            <w:tcW w:w="3210" w:type="dxa"/>
          </w:tcPr>
          <w:p w14:paraId="52FC8CFD" w14:textId="1F6F3645"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3210" w:type="dxa"/>
          </w:tcPr>
          <w:p w14:paraId="3DB9B03C" w14:textId="06782883"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38.0</w:t>
            </w:r>
          </w:p>
        </w:tc>
      </w:tr>
      <w:tr w:rsidR="00A82803" w:rsidRPr="00EB27F3" w14:paraId="5FE7592C" w14:textId="77777777" w:rsidTr="0042441C">
        <w:tc>
          <w:tcPr>
            <w:tcW w:w="3210" w:type="dxa"/>
          </w:tcPr>
          <w:p w14:paraId="0C46BA93" w14:textId="5598A7C8" w:rsidR="00A82803" w:rsidRPr="00EB27F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41-50</w:t>
            </w:r>
          </w:p>
        </w:tc>
        <w:tc>
          <w:tcPr>
            <w:tcW w:w="3210" w:type="dxa"/>
          </w:tcPr>
          <w:p w14:paraId="107046F6" w14:textId="0881B7E8"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210" w:type="dxa"/>
          </w:tcPr>
          <w:p w14:paraId="3E5F0FA1" w14:textId="3F887184"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6.0</w:t>
            </w:r>
          </w:p>
        </w:tc>
      </w:tr>
      <w:tr w:rsidR="00A82803" w:rsidRPr="00EB27F3" w14:paraId="0A6C03D8" w14:textId="77777777" w:rsidTr="0042441C">
        <w:tc>
          <w:tcPr>
            <w:tcW w:w="3210" w:type="dxa"/>
          </w:tcPr>
          <w:p w14:paraId="4BA19476" w14:textId="5DDCABF1" w:rsidR="00A8280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51-60</w:t>
            </w:r>
          </w:p>
        </w:tc>
        <w:tc>
          <w:tcPr>
            <w:tcW w:w="3210" w:type="dxa"/>
          </w:tcPr>
          <w:p w14:paraId="10C962BD" w14:textId="7378F3A7"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210" w:type="dxa"/>
          </w:tcPr>
          <w:p w14:paraId="18DDA768" w14:textId="4D0A8668"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4.0</w:t>
            </w:r>
          </w:p>
        </w:tc>
      </w:tr>
      <w:tr w:rsidR="00A82803" w:rsidRPr="00EB27F3" w14:paraId="4DAF2334" w14:textId="77777777" w:rsidTr="0042441C">
        <w:tc>
          <w:tcPr>
            <w:tcW w:w="3210" w:type="dxa"/>
          </w:tcPr>
          <w:p w14:paraId="6CDC3EBF" w14:textId="4B35C31B" w:rsidR="00A82803" w:rsidRDefault="00A82803"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61-72</w:t>
            </w:r>
          </w:p>
        </w:tc>
        <w:tc>
          <w:tcPr>
            <w:tcW w:w="3210" w:type="dxa"/>
          </w:tcPr>
          <w:p w14:paraId="586017F3" w14:textId="02284C9A"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210" w:type="dxa"/>
          </w:tcPr>
          <w:p w14:paraId="7983BB23" w14:textId="645A668B" w:rsidR="00A82803" w:rsidRPr="00EB27F3" w:rsidRDefault="00AA181E" w:rsidP="00EB27F3">
            <w:pPr>
              <w:spacing w:line="360" w:lineRule="auto"/>
              <w:rPr>
                <w:rFonts w:ascii="Times New Roman" w:hAnsi="Times New Roman" w:cs="Times New Roman"/>
                <w:sz w:val="24"/>
                <w:szCs w:val="24"/>
              </w:rPr>
            </w:pPr>
            <w:r>
              <w:rPr>
                <w:rFonts w:ascii="Times New Roman" w:hAnsi="Times New Roman" w:cs="Times New Roman"/>
                <w:sz w:val="24"/>
                <w:szCs w:val="24"/>
              </w:rPr>
              <w:t>12.0</w:t>
            </w:r>
          </w:p>
        </w:tc>
      </w:tr>
      <w:tr w:rsidR="0042441C" w:rsidRPr="00EB27F3" w14:paraId="5858BD0A" w14:textId="77777777" w:rsidTr="0042441C">
        <w:tc>
          <w:tcPr>
            <w:tcW w:w="3210" w:type="dxa"/>
          </w:tcPr>
          <w:p w14:paraId="2ACA3377" w14:textId="244EDA32" w:rsidR="0042441C" w:rsidRPr="00EB27F3" w:rsidRDefault="00AD49E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Mean±SD</w:t>
            </w:r>
          </w:p>
        </w:tc>
        <w:tc>
          <w:tcPr>
            <w:tcW w:w="3210" w:type="dxa"/>
          </w:tcPr>
          <w:p w14:paraId="2A25376B" w14:textId="6D58B042" w:rsidR="0042441C" w:rsidRPr="00EB27F3" w:rsidRDefault="00AD49E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34.28±16.64</w:t>
            </w:r>
          </w:p>
        </w:tc>
        <w:tc>
          <w:tcPr>
            <w:tcW w:w="3210" w:type="dxa"/>
          </w:tcPr>
          <w:p w14:paraId="70CBDFE1" w14:textId="77777777" w:rsidR="0042441C" w:rsidRPr="00EB27F3" w:rsidRDefault="0042441C" w:rsidP="00EB27F3">
            <w:pPr>
              <w:spacing w:line="360" w:lineRule="auto"/>
              <w:rPr>
                <w:rFonts w:ascii="Times New Roman" w:hAnsi="Times New Roman" w:cs="Times New Roman"/>
                <w:sz w:val="24"/>
                <w:szCs w:val="24"/>
              </w:rPr>
            </w:pPr>
          </w:p>
        </w:tc>
      </w:tr>
      <w:tr w:rsidR="0042441C" w:rsidRPr="00EB27F3" w14:paraId="1F7FC310" w14:textId="77777777" w:rsidTr="0042441C">
        <w:tc>
          <w:tcPr>
            <w:tcW w:w="3210" w:type="dxa"/>
          </w:tcPr>
          <w:p w14:paraId="5F58FDAD" w14:textId="40D276D7" w:rsidR="0042441C" w:rsidRPr="00EB27F3" w:rsidRDefault="00AD49E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Range (min, max)</w:t>
            </w:r>
          </w:p>
        </w:tc>
        <w:tc>
          <w:tcPr>
            <w:tcW w:w="3210" w:type="dxa"/>
          </w:tcPr>
          <w:p w14:paraId="7408B5E7" w14:textId="414EAE5E" w:rsidR="0042441C" w:rsidRPr="00EB27F3" w:rsidRDefault="00AD49E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1, 72</w:t>
            </w:r>
          </w:p>
        </w:tc>
        <w:tc>
          <w:tcPr>
            <w:tcW w:w="3210" w:type="dxa"/>
          </w:tcPr>
          <w:p w14:paraId="0D3759E1" w14:textId="77777777" w:rsidR="0042441C" w:rsidRPr="00EB27F3" w:rsidRDefault="0042441C" w:rsidP="00EB27F3">
            <w:pPr>
              <w:spacing w:line="360" w:lineRule="auto"/>
              <w:rPr>
                <w:rFonts w:ascii="Times New Roman" w:hAnsi="Times New Roman" w:cs="Times New Roman"/>
                <w:sz w:val="24"/>
                <w:szCs w:val="24"/>
              </w:rPr>
            </w:pPr>
          </w:p>
        </w:tc>
      </w:tr>
    </w:tbl>
    <w:p w14:paraId="36D97D4E" w14:textId="77777777" w:rsidR="0042441C" w:rsidRPr="00EB27F3" w:rsidRDefault="0042441C" w:rsidP="00EB27F3">
      <w:pPr>
        <w:spacing w:after="0" w:line="360" w:lineRule="auto"/>
        <w:rPr>
          <w:rFonts w:ascii="Times New Roman" w:hAnsi="Times New Roman" w:cs="Times New Roman"/>
          <w:sz w:val="24"/>
          <w:szCs w:val="24"/>
        </w:rPr>
      </w:pPr>
    </w:p>
    <w:p w14:paraId="4BCA6A79" w14:textId="65D015AB" w:rsidR="006A5BD6" w:rsidRPr="00EB27F3" w:rsidRDefault="006A5BD6"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1 presents the age distribution of 50 patients included in the study. The majority of patients are younger, with 40% (20 patients) aged 30 years or younger, and 38% (19 patients) between 31 and 40 years old. A smaller proportion, 22% (11 patients), are older than 40 years. The mean age of the patients is 34.28 years, with a standard deviation of 16.64 years, indicating significant age variability within the sample. The age range spans from 1 to 72 years, highlighting the inclusion of both younger and older patients. </w:t>
      </w:r>
    </w:p>
    <w:p w14:paraId="6B33A7D1" w14:textId="77777777" w:rsidR="00CE5D74" w:rsidRPr="00EB27F3" w:rsidRDefault="00CE5D74"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9D34BC" w:rsidRPr="00EB27F3" w14:paraId="2790B3BA" w14:textId="77777777" w:rsidTr="003B05D6">
        <w:tc>
          <w:tcPr>
            <w:tcW w:w="9630" w:type="dxa"/>
          </w:tcPr>
          <w:p w14:paraId="001B04B8" w14:textId="50EB00E5" w:rsidR="009D34BC" w:rsidRPr="00EB27F3" w:rsidRDefault="003B05D6" w:rsidP="00EB27F3">
            <w:pPr>
              <w:spacing w:line="360" w:lineRule="auto"/>
              <w:jc w:val="center"/>
              <w:rPr>
                <w:rFonts w:ascii="Times New Roman" w:hAnsi="Times New Roman" w:cs="Times New Roman"/>
                <w:sz w:val="24"/>
                <w:szCs w:val="24"/>
              </w:rPr>
            </w:pPr>
            <w:r>
              <w:rPr>
                <w:noProof/>
              </w:rPr>
              <w:lastRenderedPageBreak/>
              <w:drawing>
                <wp:inline distT="0" distB="0" distL="0" distR="0" wp14:anchorId="628E1F44" wp14:editId="4CB22B53">
                  <wp:extent cx="5431809" cy="4243070"/>
                  <wp:effectExtent l="0" t="0" r="16510" b="5080"/>
                  <wp:docPr id="683208286" name="Chart 1">
                    <a:extLst xmlns:a="http://schemas.openxmlformats.org/drawingml/2006/main">
                      <a:ext uri="{FF2B5EF4-FFF2-40B4-BE49-F238E27FC236}">
                        <a16:creationId xmlns:a16="http://schemas.microsoft.com/office/drawing/2014/main" id="{1BD7EAAE-D83F-5CEA-91F4-443610228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9D34BC" w:rsidRPr="00EB27F3" w14:paraId="74FF0943" w14:textId="77777777" w:rsidTr="0052051D">
        <w:tc>
          <w:tcPr>
            <w:tcW w:w="9630" w:type="dxa"/>
          </w:tcPr>
          <w:p w14:paraId="754BB8D7" w14:textId="77777777" w:rsidR="009D34BC" w:rsidRPr="00EB27F3" w:rsidRDefault="009D34BC"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Figure 1: Bar diagram shows age distribution of the study patients</w:t>
            </w:r>
          </w:p>
        </w:tc>
      </w:tr>
    </w:tbl>
    <w:p w14:paraId="77134499" w14:textId="77777777" w:rsidR="009D34BC" w:rsidRPr="00EB27F3" w:rsidRDefault="009D34BC" w:rsidP="00EB27F3">
      <w:pPr>
        <w:spacing w:after="0" w:line="360" w:lineRule="auto"/>
        <w:rPr>
          <w:rFonts w:ascii="Times New Roman" w:hAnsi="Times New Roman" w:cs="Times New Roman"/>
          <w:sz w:val="24"/>
          <w:szCs w:val="24"/>
        </w:rPr>
      </w:pPr>
    </w:p>
    <w:p w14:paraId="7FB93B0B" w14:textId="77777777" w:rsidR="009D34BC" w:rsidRPr="00EB27F3" w:rsidRDefault="009D34BC" w:rsidP="00EB27F3">
      <w:pPr>
        <w:spacing w:after="0" w:line="360" w:lineRule="auto"/>
        <w:rPr>
          <w:rFonts w:ascii="Times New Roman" w:hAnsi="Times New Roman" w:cs="Times New Roman"/>
          <w:sz w:val="24"/>
          <w:szCs w:val="24"/>
        </w:rPr>
      </w:pPr>
    </w:p>
    <w:p w14:paraId="4B6CF79E" w14:textId="77777777" w:rsidR="009D34BC" w:rsidRPr="00EB27F3" w:rsidRDefault="009D34BC" w:rsidP="00EB27F3">
      <w:pPr>
        <w:spacing w:after="0" w:line="360" w:lineRule="auto"/>
        <w:rPr>
          <w:rFonts w:ascii="Times New Roman" w:hAnsi="Times New Roman" w:cs="Times New Roman"/>
          <w:sz w:val="24"/>
          <w:szCs w:val="24"/>
        </w:rPr>
      </w:pPr>
    </w:p>
    <w:p w14:paraId="57FD47F1" w14:textId="77777777" w:rsidR="009D34BC" w:rsidRPr="00EB27F3" w:rsidRDefault="009D34BC" w:rsidP="00EB27F3">
      <w:pPr>
        <w:spacing w:after="0" w:line="360" w:lineRule="auto"/>
        <w:rPr>
          <w:rFonts w:ascii="Times New Roman" w:hAnsi="Times New Roman" w:cs="Times New Roman"/>
          <w:sz w:val="24"/>
          <w:szCs w:val="24"/>
        </w:rPr>
      </w:pPr>
    </w:p>
    <w:p w14:paraId="05992949" w14:textId="77777777" w:rsidR="006A5BD6" w:rsidRPr="00EB27F3" w:rsidRDefault="006A5BD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br w:type="page"/>
      </w:r>
    </w:p>
    <w:p w14:paraId="7BF67092" w14:textId="51CB76CB" w:rsidR="00EA605A" w:rsidRPr="00EB27F3" w:rsidRDefault="00EA605A"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6A5BD6" w:rsidRPr="00EB27F3">
        <w:rPr>
          <w:rFonts w:ascii="Times New Roman" w:hAnsi="Times New Roman" w:cs="Times New Roman"/>
          <w:b/>
          <w:bCs/>
          <w:sz w:val="24"/>
          <w:szCs w:val="24"/>
        </w:rPr>
        <w:t>2</w:t>
      </w:r>
      <w:r w:rsidRPr="00EB27F3">
        <w:rPr>
          <w:rFonts w:ascii="Times New Roman" w:hAnsi="Times New Roman" w:cs="Times New Roman"/>
          <w:b/>
          <w:bCs/>
          <w:sz w:val="24"/>
          <w:szCs w:val="24"/>
        </w:rPr>
        <w:t xml:space="preserve">: </w:t>
      </w:r>
      <w:r w:rsidR="005B40B8" w:rsidRPr="00EB27F3">
        <w:rPr>
          <w:rFonts w:ascii="Times New Roman" w:hAnsi="Times New Roman" w:cs="Times New Roman"/>
          <w:b/>
          <w:bCs/>
          <w:sz w:val="24"/>
          <w:szCs w:val="24"/>
        </w:rPr>
        <w:t>Marital status</w:t>
      </w:r>
      <w:r w:rsidRPr="00EB27F3">
        <w:rPr>
          <w:rFonts w:ascii="Times New Roman" w:hAnsi="Times New Roman" w:cs="Times New Roman"/>
          <w:b/>
          <w:bCs/>
          <w:sz w:val="24"/>
          <w:szCs w:val="24"/>
        </w:rPr>
        <w:t xml:space="preserve"> of the patients (n=50)</w:t>
      </w:r>
    </w:p>
    <w:p w14:paraId="6EC88BB1" w14:textId="77777777" w:rsidR="00100FE6" w:rsidRPr="00EB27F3" w:rsidRDefault="00100FE6"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00FE6" w:rsidRPr="00EB27F3" w14:paraId="764C66FB" w14:textId="77777777" w:rsidTr="0052051D">
        <w:tc>
          <w:tcPr>
            <w:tcW w:w="3210" w:type="dxa"/>
          </w:tcPr>
          <w:p w14:paraId="1EA404C2"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Marital status of the patients</w:t>
            </w:r>
          </w:p>
        </w:tc>
        <w:tc>
          <w:tcPr>
            <w:tcW w:w="3210" w:type="dxa"/>
          </w:tcPr>
          <w:p w14:paraId="155738E8"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4E2ED91F"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100FE6" w:rsidRPr="00EB27F3" w14:paraId="4D9F2290" w14:textId="77777777" w:rsidTr="0052051D">
        <w:tc>
          <w:tcPr>
            <w:tcW w:w="3210" w:type="dxa"/>
          </w:tcPr>
          <w:p w14:paraId="6C179A86"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Married</w:t>
            </w:r>
          </w:p>
        </w:tc>
        <w:tc>
          <w:tcPr>
            <w:tcW w:w="3210" w:type="dxa"/>
          </w:tcPr>
          <w:p w14:paraId="609003E2"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29</w:t>
            </w:r>
          </w:p>
        </w:tc>
        <w:tc>
          <w:tcPr>
            <w:tcW w:w="3210" w:type="dxa"/>
          </w:tcPr>
          <w:p w14:paraId="0FF1E306"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58.0</w:t>
            </w:r>
          </w:p>
        </w:tc>
      </w:tr>
      <w:tr w:rsidR="00100FE6" w:rsidRPr="00EB27F3" w14:paraId="580D910B" w14:textId="77777777" w:rsidTr="0052051D">
        <w:tc>
          <w:tcPr>
            <w:tcW w:w="3210" w:type="dxa"/>
          </w:tcPr>
          <w:p w14:paraId="6CFDCFCB"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Unmarried</w:t>
            </w:r>
          </w:p>
        </w:tc>
        <w:tc>
          <w:tcPr>
            <w:tcW w:w="3210" w:type="dxa"/>
          </w:tcPr>
          <w:p w14:paraId="601984A6"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21</w:t>
            </w:r>
          </w:p>
        </w:tc>
        <w:tc>
          <w:tcPr>
            <w:tcW w:w="3210" w:type="dxa"/>
          </w:tcPr>
          <w:p w14:paraId="4E02AF58"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42.0</w:t>
            </w:r>
          </w:p>
        </w:tc>
      </w:tr>
    </w:tbl>
    <w:p w14:paraId="0C32B5D6" w14:textId="77777777" w:rsidR="006A5BD6" w:rsidRPr="00EB27F3" w:rsidRDefault="006A5BD6" w:rsidP="00EB27F3">
      <w:pPr>
        <w:spacing w:after="0" w:line="360" w:lineRule="auto"/>
        <w:rPr>
          <w:rFonts w:ascii="Times New Roman" w:hAnsi="Times New Roman" w:cs="Times New Roman"/>
          <w:sz w:val="24"/>
          <w:szCs w:val="24"/>
        </w:rPr>
      </w:pPr>
    </w:p>
    <w:p w14:paraId="62B8F72B" w14:textId="37B9FEC7" w:rsidR="005179E8" w:rsidRPr="00EB27F3" w:rsidRDefault="006A5BD6"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2 presents the marital status of the 50 patients in the study. Of the total sample, 58% (29 patients) are married, while 42% (21 patients) are unmarried. This indicates that a majority of the patients are married, though a notable proportion remains unmarried. </w:t>
      </w:r>
    </w:p>
    <w:p w14:paraId="616CA23F" w14:textId="77777777" w:rsidR="00CE5D74" w:rsidRPr="00EB27F3" w:rsidRDefault="00CE5D74"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76EA8" w:rsidRPr="00EB27F3" w14:paraId="6974E54B" w14:textId="77777777" w:rsidTr="00476EA8">
        <w:tc>
          <w:tcPr>
            <w:tcW w:w="9630" w:type="dxa"/>
          </w:tcPr>
          <w:p w14:paraId="6683CDA3" w14:textId="0A355761" w:rsidR="00476EA8" w:rsidRPr="00EB27F3" w:rsidRDefault="00476EA8"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3B65D086" wp14:editId="63DC9CF1">
                  <wp:extent cx="6087291" cy="3997234"/>
                  <wp:effectExtent l="0" t="0" r="8890" b="3810"/>
                  <wp:docPr id="626281163" name="Chart 1">
                    <a:extLst xmlns:a="http://schemas.openxmlformats.org/drawingml/2006/main">
                      <a:ext uri="{FF2B5EF4-FFF2-40B4-BE49-F238E27FC236}">
                        <a16:creationId xmlns:a16="http://schemas.microsoft.com/office/drawing/2014/main" id="{A6EEDD6D-E488-9A53-5EFA-AB26F062A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476EA8" w:rsidRPr="00EB27F3" w14:paraId="7B6F4186" w14:textId="77777777" w:rsidTr="00476EA8">
        <w:tc>
          <w:tcPr>
            <w:tcW w:w="9630" w:type="dxa"/>
          </w:tcPr>
          <w:p w14:paraId="448D4A7C" w14:textId="368A59CA" w:rsidR="00476EA8" w:rsidRPr="00EB27F3" w:rsidRDefault="00476EA8"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Figure 2: Pie chart shows marital status of the study patients</w:t>
            </w:r>
          </w:p>
        </w:tc>
      </w:tr>
    </w:tbl>
    <w:p w14:paraId="2A178B01" w14:textId="0832CAFE" w:rsidR="000D2116" w:rsidRPr="00EB27F3" w:rsidRDefault="000D2116" w:rsidP="00EB27F3">
      <w:pPr>
        <w:spacing w:after="0" w:line="360" w:lineRule="auto"/>
        <w:rPr>
          <w:rFonts w:ascii="Times New Roman" w:hAnsi="Times New Roman" w:cs="Times New Roman"/>
          <w:sz w:val="24"/>
          <w:szCs w:val="24"/>
        </w:rPr>
      </w:pPr>
    </w:p>
    <w:p w14:paraId="0087CB61" w14:textId="77777777" w:rsidR="009D34BC" w:rsidRPr="00EB27F3" w:rsidRDefault="009D34BC" w:rsidP="00EB27F3">
      <w:pPr>
        <w:spacing w:after="0" w:line="360" w:lineRule="auto"/>
        <w:rPr>
          <w:rFonts w:ascii="Times New Roman" w:hAnsi="Times New Roman" w:cs="Times New Roman"/>
          <w:b/>
          <w:bCs/>
          <w:sz w:val="24"/>
          <w:szCs w:val="24"/>
        </w:rPr>
      </w:pPr>
    </w:p>
    <w:p w14:paraId="69D21783" w14:textId="217DC2DD" w:rsidR="009D34BC" w:rsidRPr="00EB27F3" w:rsidRDefault="00476EA8"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3</w:t>
      </w:r>
      <w:r w:rsidRPr="00EB27F3">
        <w:rPr>
          <w:rFonts w:ascii="Times New Roman" w:hAnsi="Times New Roman" w:cs="Times New Roman"/>
          <w:b/>
          <w:bCs/>
          <w:sz w:val="24"/>
          <w:szCs w:val="24"/>
        </w:rPr>
        <w:t xml:space="preserve">: Distribution of the study patients by clinical presentation (n=50) </w:t>
      </w:r>
    </w:p>
    <w:tbl>
      <w:tblPr>
        <w:tblStyle w:val="TableGrid"/>
        <w:tblW w:w="0" w:type="auto"/>
        <w:tblLook w:val="04A0" w:firstRow="1" w:lastRow="0" w:firstColumn="1" w:lastColumn="0" w:noHBand="0" w:noVBand="1"/>
      </w:tblPr>
      <w:tblGrid>
        <w:gridCol w:w="3210"/>
        <w:gridCol w:w="3210"/>
        <w:gridCol w:w="3210"/>
      </w:tblGrid>
      <w:tr w:rsidR="009D34BC" w:rsidRPr="00EB27F3" w14:paraId="2B5B54C8" w14:textId="77777777" w:rsidTr="0052051D">
        <w:tc>
          <w:tcPr>
            <w:tcW w:w="3210" w:type="dxa"/>
          </w:tcPr>
          <w:p w14:paraId="5CE2B7A3" w14:textId="2A3C6478" w:rsidR="009D34BC" w:rsidRPr="00EB27F3" w:rsidRDefault="00CE5D7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C</w:t>
            </w:r>
            <w:r w:rsidR="00ED1D35" w:rsidRPr="00EB27F3">
              <w:rPr>
                <w:rFonts w:ascii="Times New Roman" w:hAnsi="Times New Roman" w:cs="Times New Roman"/>
                <w:b/>
                <w:bCs/>
                <w:sz w:val="24"/>
                <w:szCs w:val="24"/>
              </w:rPr>
              <w:t xml:space="preserve">linical presentation </w:t>
            </w:r>
            <w:r w:rsidR="009D34BC" w:rsidRPr="00EB27F3">
              <w:rPr>
                <w:rFonts w:ascii="Times New Roman" w:hAnsi="Times New Roman" w:cs="Times New Roman"/>
                <w:b/>
                <w:bCs/>
                <w:sz w:val="24"/>
                <w:szCs w:val="24"/>
              </w:rPr>
              <w:t>of the patients</w:t>
            </w:r>
          </w:p>
        </w:tc>
        <w:tc>
          <w:tcPr>
            <w:tcW w:w="3210" w:type="dxa"/>
          </w:tcPr>
          <w:p w14:paraId="00ABCC66" w14:textId="77777777" w:rsidR="009D34BC" w:rsidRPr="00EB27F3" w:rsidRDefault="009D34B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59CD12E9" w14:textId="77777777" w:rsidR="009D34BC" w:rsidRPr="00EB27F3" w:rsidRDefault="009D34B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9D34BC" w:rsidRPr="00EB27F3" w14:paraId="0A7ED637" w14:textId="77777777" w:rsidTr="0052051D">
        <w:tc>
          <w:tcPr>
            <w:tcW w:w="3210" w:type="dxa"/>
          </w:tcPr>
          <w:p w14:paraId="1A803946" w14:textId="1FD30D6A" w:rsidR="009D34BC"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Pain</w:t>
            </w:r>
          </w:p>
        </w:tc>
        <w:tc>
          <w:tcPr>
            <w:tcW w:w="3210" w:type="dxa"/>
          </w:tcPr>
          <w:p w14:paraId="4421F168" w14:textId="1E2D9447" w:rsidR="009D34BC"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18</w:t>
            </w:r>
          </w:p>
        </w:tc>
        <w:tc>
          <w:tcPr>
            <w:tcW w:w="3210" w:type="dxa"/>
          </w:tcPr>
          <w:p w14:paraId="6537031A" w14:textId="5E948FE2" w:rsidR="009D34BC"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36.0</w:t>
            </w:r>
          </w:p>
        </w:tc>
      </w:tr>
      <w:tr w:rsidR="009D34BC" w:rsidRPr="00EB27F3" w14:paraId="7917C7EC" w14:textId="77777777" w:rsidTr="0052051D">
        <w:tc>
          <w:tcPr>
            <w:tcW w:w="3210" w:type="dxa"/>
          </w:tcPr>
          <w:p w14:paraId="3EECA052" w14:textId="4CCF02C0" w:rsidR="009D34BC" w:rsidRPr="00EB27F3" w:rsidRDefault="00466FB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Swelling</w:t>
            </w:r>
          </w:p>
        </w:tc>
        <w:tc>
          <w:tcPr>
            <w:tcW w:w="3210" w:type="dxa"/>
          </w:tcPr>
          <w:p w14:paraId="16CF474D" w14:textId="0F2BAF92" w:rsidR="009D34BC" w:rsidRPr="00EB27F3" w:rsidRDefault="00466FB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28EF22D3" w14:textId="5CE0B6AC" w:rsidR="009D34BC" w:rsidRPr="00EB27F3" w:rsidRDefault="00466FB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100FE6" w:rsidRPr="00EB27F3" w14:paraId="4FA12EA9" w14:textId="77777777" w:rsidTr="0052051D">
        <w:tc>
          <w:tcPr>
            <w:tcW w:w="3210" w:type="dxa"/>
          </w:tcPr>
          <w:p w14:paraId="564487D6" w14:textId="6EA0C92F" w:rsidR="00100FE6" w:rsidRPr="00EB27F3" w:rsidRDefault="00E27EA0"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Fever</w:t>
            </w:r>
          </w:p>
        </w:tc>
        <w:tc>
          <w:tcPr>
            <w:tcW w:w="3210" w:type="dxa"/>
          </w:tcPr>
          <w:p w14:paraId="1E1BFC34" w14:textId="2953044A" w:rsidR="00100FE6" w:rsidRPr="00EB27F3" w:rsidRDefault="00E27EA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32A71A1A" w14:textId="269D4E96" w:rsidR="00100FE6" w:rsidRPr="00EB27F3" w:rsidRDefault="00E27EA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bl>
    <w:p w14:paraId="32E4A15D" w14:textId="10BB84D8" w:rsidR="00476EA8" w:rsidRPr="00EB27F3" w:rsidRDefault="0042441C" w:rsidP="00EB27F3">
      <w:pPr>
        <w:spacing w:after="0" w:line="360" w:lineRule="auto"/>
        <w:rPr>
          <w:rFonts w:ascii="Times New Roman" w:hAnsi="Times New Roman" w:cs="Times New Roman"/>
          <w:b/>
          <w:bCs/>
          <w:i/>
          <w:iCs/>
          <w:sz w:val="24"/>
          <w:szCs w:val="24"/>
        </w:rPr>
      </w:pPr>
      <w:r w:rsidRPr="00EB27F3">
        <w:rPr>
          <w:rFonts w:ascii="Times New Roman" w:hAnsi="Times New Roman" w:cs="Times New Roman"/>
          <w:b/>
          <w:bCs/>
          <w:i/>
          <w:iCs/>
          <w:sz w:val="24"/>
          <w:szCs w:val="24"/>
        </w:rPr>
        <w:t>*Note- Multiple responses were observed</w:t>
      </w:r>
    </w:p>
    <w:p w14:paraId="082C0A2F" w14:textId="77777777" w:rsidR="000D2116" w:rsidRPr="00EB27F3" w:rsidRDefault="000D2116" w:rsidP="00EB27F3">
      <w:pPr>
        <w:spacing w:after="0" w:line="360" w:lineRule="auto"/>
        <w:rPr>
          <w:rFonts w:ascii="Times New Roman" w:hAnsi="Times New Roman" w:cs="Times New Roman"/>
          <w:sz w:val="24"/>
          <w:szCs w:val="24"/>
        </w:rPr>
      </w:pPr>
    </w:p>
    <w:p w14:paraId="5AF83463" w14:textId="69E721CA" w:rsidR="005179E8" w:rsidRPr="00EB27F3" w:rsidRDefault="005179E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3 outlines the clinical presentations observed in the 50 patients included in the study. Swelling was the most common symptom, reported by all 50 patients (100%). Pain was experienced by 18 patients (36%), and fever was noted in 4 patients (8%). </w:t>
      </w:r>
    </w:p>
    <w:tbl>
      <w:tblPr>
        <w:tblStyle w:val="TableGrid"/>
        <w:tblW w:w="0" w:type="auto"/>
        <w:tblLook w:val="04A0" w:firstRow="1" w:lastRow="0" w:firstColumn="1" w:lastColumn="0" w:noHBand="0" w:noVBand="1"/>
      </w:tblPr>
      <w:tblGrid>
        <w:gridCol w:w="9630"/>
      </w:tblGrid>
      <w:tr w:rsidR="009D3428" w:rsidRPr="00EB27F3" w14:paraId="57D37D93" w14:textId="77777777" w:rsidTr="00FB7543">
        <w:tc>
          <w:tcPr>
            <w:tcW w:w="9630" w:type="dxa"/>
          </w:tcPr>
          <w:p w14:paraId="5F6C4658" w14:textId="16AD69B6" w:rsidR="009D3428" w:rsidRPr="00EB27F3" w:rsidRDefault="00FB7543"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15BD317A" wp14:editId="4576B455">
                  <wp:extent cx="6100354" cy="3631475"/>
                  <wp:effectExtent l="0" t="0" r="15240" b="7620"/>
                  <wp:docPr id="1950538845" name="Chart 1">
                    <a:extLst xmlns:a="http://schemas.openxmlformats.org/drawingml/2006/main">
                      <a:ext uri="{FF2B5EF4-FFF2-40B4-BE49-F238E27FC236}">
                        <a16:creationId xmlns:a16="http://schemas.microsoft.com/office/drawing/2014/main" id="{2B8F9912-0B6D-B542-6507-F79E1AF3E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D3428" w:rsidRPr="00EB27F3" w14:paraId="03F04AFC" w14:textId="77777777" w:rsidTr="009D3428">
        <w:tc>
          <w:tcPr>
            <w:tcW w:w="9630" w:type="dxa"/>
          </w:tcPr>
          <w:p w14:paraId="678567E9" w14:textId="54BA3A83" w:rsidR="009D3428"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Figure 3: Bar diagram shows clinical presentation of the study patients</w:t>
            </w:r>
          </w:p>
        </w:tc>
      </w:tr>
    </w:tbl>
    <w:p w14:paraId="25723726" w14:textId="77777777" w:rsidR="009D3428" w:rsidRPr="00EB27F3" w:rsidRDefault="009D3428" w:rsidP="00EB27F3">
      <w:pPr>
        <w:spacing w:after="0" w:line="360" w:lineRule="auto"/>
        <w:rPr>
          <w:rFonts w:ascii="Times New Roman" w:hAnsi="Times New Roman" w:cs="Times New Roman"/>
          <w:sz w:val="24"/>
          <w:szCs w:val="24"/>
        </w:rPr>
      </w:pPr>
    </w:p>
    <w:p w14:paraId="1C8F6593" w14:textId="77777777" w:rsidR="000D2116" w:rsidRPr="00EB27F3" w:rsidRDefault="000D2116" w:rsidP="00EB27F3">
      <w:pPr>
        <w:spacing w:after="0" w:line="360" w:lineRule="auto"/>
        <w:rPr>
          <w:rFonts w:ascii="Times New Roman" w:hAnsi="Times New Roman" w:cs="Times New Roman"/>
          <w:sz w:val="24"/>
          <w:szCs w:val="24"/>
        </w:rPr>
      </w:pPr>
    </w:p>
    <w:p w14:paraId="44386A3B" w14:textId="77777777" w:rsidR="000D2116" w:rsidRPr="00EB27F3" w:rsidRDefault="000D2116" w:rsidP="00EB27F3">
      <w:pPr>
        <w:spacing w:after="0" w:line="360" w:lineRule="auto"/>
        <w:rPr>
          <w:rFonts w:ascii="Times New Roman" w:hAnsi="Times New Roman" w:cs="Times New Roman"/>
          <w:sz w:val="24"/>
          <w:szCs w:val="24"/>
        </w:rPr>
      </w:pPr>
    </w:p>
    <w:p w14:paraId="43502B41" w14:textId="77777777" w:rsidR="000D2116" w:rsidRPr="00EB27F3" w:rsidRDefault="000D2116" w:rsidP="00EB27F3">
      <w:pPr>
        <w:spacing w:after="0" w:line="360" w:lineRule="auto"/>
        <w:rPr>
          <w:rFonts w:ascii="Times New Roman" w:hAnsi="Times New Roman" w:cs="Times New Roman"/>
          <w:sz w:val="24"/>
          <w:szCs w:val="24"/>
        </w:rPr>
      </w:pPr>
    </w:p>
    <w:p w14:paraId="5D8538DB" w14:textId="7D227B2E" w:rsidR="00AC332F" w:rsidRPr="00EB27F3" w:rsidRDefault="00AC332F"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4</w:t>
      </w:r>
      <w:r w:rsidRPr="00EB27F3">
        <w:rPr>
          <w:rFonts w:ascii="Times New Roman" w:hAnsi="Times New Roman" w:cs="Times New Roman"/>
          <w:b/>
          <w:bCs/>
          <w:sz w:val="24"/>
          <w:szCs w:val="24"/>
        </w:rPr>
        <w:t>: Distribution of the study patients by physical examination (n=50)</w:t>
      </w:r>
    </w:p>
    <w:p w14:paraId="5AE31501" w14:textId="77777777" w:rsidR="00AC332F" w:rsidRPr="00EB27F3" w:rsidRDefault="00AC332F"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C332F" w:rsidRPr="00EB27F3" w14:paraId="6F6DD2AF" w14:textId="77777777" w:rsidTr="0052051D">
        <w:tc>
          <w:tcPr>
            <w:tcW w:w="3210" w:type="dxa"/>
          </w:tcPr>
          <w:p w14:paraId="54A9B356" w14:textId="589763D1" w:rsidR="00AC332F" w:rsidRPr="00EB27F3" w:rsidRDefault="00E91F6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w:t>
            </w:r>
            <w:r w:rsidR="00CC1BDB" w:rsidRPr="00EB27F3">
              <w:rPr>
                <w:rFonts w:ascii="Times New Roman" w:hAnsi="Times New Roman" w:cs="Times New Roman"/>
                <w:b/>
                <w:bCs/>
                <w:sz w:val="24"/>
                <w:szCs w:val="24"/>
              </w:rPr>
              <w:t xml:space="preserve">hysical examination </w:t>
            </w:r>
            <w:r w:rsidR="00AC332F" w:rsidRPr="00EB27F3">
              <w:rPr>
                <w:rFonts w:ascii="Times New Roman" w:hAnsi="Times New Roman" w:cs="Times New Roman"/>
                <w:b/>
                <w:bCs/>
                <w:sz w:val="24"/>
                <w:szCs w:val="24"/>
              </w:rPr>
              <w:t>of the patients</w:t>
            </w:r>
          </w:p>
        </w:tc>
        <w:tc>
          <w:tcPr>
            <w:tcW w:w="3210" w:type="dxa"/>
          </w:tcPr>
          <w:p w14:paraId="0D51BA45" w14:textId="77777777" w:rsidR="00AC332F"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13639C3F" w14:textId="77777777" w:rsidR="00AC332F"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AC332F" w:rsidRPr="00EB27F3" w14:paraId="75B153F3" w14:textId="77777777" w:rsidTr="0052051D">
        <w:tc>
          <w:tcPr>
            <w:tcW w:w="3210" w:type="dxa"/>
          </w:tcPr>
          <w:p w14:paraId="63386D72" w14:textId="62360035" w:rsidR="00AC332F" w:rsidRPr="00EB27F3" w:rsidRDefault="00CC1BD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Pulse</w:t>
            </w:r>
          </w:p>
        </w:tc>
        <w:tc>
          <w:tcPr>
            <w:tcW w:w="3210" w:type="dxa"/>
          </w:tcPr>
          <w:p w14:paraId="06CBA195" w14:textId="71A1B5E2" w:rsidR="00AC332F" w:rsidRPr="00EB27F3" w:rsidRDefault="00AC332F" w:rsidP="00EB27F3">
            <w:pPr>
              <w:spacing w:line="360" w:lineRule="auto"/>
              <w:rPr>
                <w:rFonts w:ascii="Times New Roman" w:hAnsi="Times New Roman" w:cs="Times New Roman"/>
                <w:sz w:val="24"/>
                <w:szCs w:val="24"/>
              </w:rPr>
            </w:pPr>
          </w:p>
        </w:tc>
        <w:tc>
          <w:tcPr>
            <w:tcW w:w="3210" w:type="dxa"/>
          </w:tcPr>
          <w:p w14:paraId="4D028B93" w14:textId="4D6688FA" w:rsidR="00AC332F" w:rsidRPr="00EB27F3" w:rsidRDefault="00AC332F" w:rsidP="00EB27F3">
            <w:pPr>
              <w:spacing w:line="360" w:lineRule="auto"/>
              <w:rPr>
                <w:rFonts w:ascii="Times New Roman" w:hAnsi="Times New Roman" w:cs="Times New Roman"/>
                <w:sz w:val="24"/>
                <w:szCs w:val="24"/>
              </w:rPr>
            </w:pPr>
          </w:p>
        </w:tc>
      </w:tr>
      <w:tr w:rsidR="00AC332F" w:rsidRPr="00EB27F3" w14:paraId="281FAE95" w14:textId="77777777" w:rsidTr="0052051D">
        <w:tc>
          <w:tcPr>
            <w:tcW w:w="3210" w:type="dxa"/>
          </w:tcPr>
          <w:p w14:paraId="2EEE9168" w14:textId="12459410" w:rsidR="00AC332F" w:rsidRPr="00EB27F3" w:rsidRDefault="00CC1BD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14D0DA3" w14:textId="590B26AF"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w:t>
            </w:r>
          </w:p>
        </w:tc>
        <w:tc>
          <w:tcPr>
            <w:tcW w:w="3210" w:type="dxa"/>
          </w:tcPr>
          <w:p w14:paraId="5410EB4C" w14:textId="0DD3B6BB"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AC332F" w:rsidRPr="00EB27F3" w14:paraId="6E00E4E1" w14:textId="77777777" w:rsidTr="0052051D">
        <w:tc>
          <w:tcPr>
            <w:tcW w:w="3210" w:type="dxa"/>
          </w:tcPr>
          <w:p w14:paraId="62795A27" w14:textId="1CE74111" w:rsidR="00AC332F" w:rsidRPr="00EB27F3" w:rsidRDefault="00CC1BD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3210" w:type="dxa"/>
          </w:tcPr>
          <w:p w14:paraId="648463B5" w14:textId="75CAB643"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w:t>
            </w:r>
          </w:p>
        </w:tc>
        <w:tc>
          <w:tcPr>
            <w:tcW w:w="3210" w:type="dxa"/>
          </w:tcPr>
          <w:p w14:paraId="45F1F2EA" w14:textId="50432796"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28.0</w:t>
            </w:r>
          </w:p>
        </w:tc>
      </w:tr>
      <w:tr w:rsidR="0078188D" w:rsidRPr="00EB27F3" w14:paraId="2EB96BD3" w14:textId="77777777" w:rsidTr="0052051D">
        <w:tc>
          <w:tcPr>
            <w:tcW w:w="3210" w:type="dxa"/>
          </w:tcPr>
          <w:p w14:paraId="33597ED4" w14:textId="4B6AD82F" w:rsidR="0078188D" w:rsidRPr="00EB27F3" w:rsidRDefault="0078188D"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Temperature</w:t>
            </w:r>
          </w:p>
        </w:tc>
        <w:tc>
          <w:tcPr>
            <w:tcW w:w="3210" w:type="dxa"/>
          </w:tcPr>
          <w:p w14:paraId="0B6364DC" w14:textId="03157268" w:rsidR="0078188D" w:rsidRPr="00EB27F3" w:rsidRDefault="0078188D" w:rsidP="00EB27F3">
            <w:pPr>
              <w:spacing w:line="360" w:lineRule="auto"/>
              <w:rPr>
                <w:rFonts w:ascii="Times New Roman" w:hAnsi="Times New Roman" w:cs="Times New Roman"/>
                <w:sz w:val="24"/>
                <w:szCs w:val="24"/>
              </w:rPr>
            </w:pPr>
          </w:p>
        </w:tc>
        <w:tc>
          <w:tcPr>
            <w:tcW w:w="3210" w:type="dxa"/>
          </w:tcPr>
          <w:p w14:paraId="7F20F73A" w14:textId="4C12AA20" w:rsidR="0078188D" w:rsidRPr="00EB27F3" w:rsidRDefault="0078188D" w:rsidP="00EB27F3">
            <w:pPr>
              <w:spacing w:line="360" w:lineRule="auto"/>
              <w:rPr>
                <w:rFonts w:ascii="Times New Roman" w:hAnsi="Times New Roman" w:cs="Times New Roman"/>
                <w:sz w:val="24"/>
                <w:szCs w:val="24"/>
              </w:rPr>
            </w:pPr>
          </w:p>
        </w:tc>
      </w:tr>
      <w:tr w:rsidR="0078188D" w:rsidRPr="00EB27F3" w14:paraId="778D21E8" w14:textId="77777777" w:rsidTr="0052051D">
        <w:tc>
          <w:tcPr>
            <w:tcW w:w="3210" w:type="dxa"/>
          </w:tcPr>
          <w:p w14:paraId="1A6A4BF4" w14:textId="5CF466E1"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Normal</w:t>
            </w:r>
          </w:p>
        </w:tc>
        <w:tc>
          <w:tcPr>
            <w:tcW w:w="3210" w:type="dxa"/>
          </w:tcPr>
          <w:p w14:paraId="7AF0A25C" w14:textId="6A21CC90"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7C9191A3" w14:textId="50030A63"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78188D" w:rsidRPr="00EB27F3" w14:paraId="4872EDCD" w14:textId="77777777" w:rsidTr="0052051D">
        <w:tc>
          <w:tcPr>
            <w:tcW w:w="3210" w:type="dxa"/>
          </w:tcPr>
          <w:p w14:paraId="066E0190" w14:textId="271B9D7B"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3210" w:type="dxa"/>
          </w:tcPr>
          <w:p w14:paraId="453E986D" w14:textId="2DB19458"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0D6A7764" w14:textId="5C0742AB"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78188D" w:rsidRPr="00EB27F3" w14:paraId="1C836983" w14:textId="77777777" w:rsidTr="0052051D">
        <w:tc>
          <w:tcPr>
            <w:tcW w:w="3210" w:type="dxa"/>
          </w:tcPr>
          <w:p w14:paraId="7C19AD55" w14:textId="64FFCE92" w:rsidR="0078188D" w:rsidRPr="00EB27F3" w:rsidRDefault="0078188D"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Tenderness</w:t>
            </w:r>
          </w:p>
        </w:tc>
        <w:tc>
          <w:tcPr>
            <w:tcW w:w="3210" w:type="dxa"/>
          </w:tcPr>
          <w:p w14:paraId="001B8A3F" w14:textId="77777777" w:rsidR="0078188D" w:rsidRPr="00EB27F3" w:rsidRDefault="0078188D" w:rsidP="00EB27F3">
            <w:pPr>
              <w:spacing w:line="360" w:lineRule="auto"/>
              <w:rPr>
                <w:rFonts w:ascii="Times New Roman" w:hAnsi="Times New Roman" w:cs="Times New Roman"/>
                <w:sz w:val="24"/>
                <w:szCs w:val="24"/>
              </w:rPr>
            </w:pPr>
          </w:p>
        </w:tc>
        <w:tc>
          <w:tcPr>
            <w:tcW w:w="3210" w:type="dxa"/>
          </w:tcPr>
          <w:p w14:paraId="3B9349CF" w14:textId="77777777" w:rsidR="0078188D" w:rsidRPr="00EB27F3" w:rsidRDefault="0078188D" w:rsidP="00EB27F3">
            <w:pPr>
              <w:spacing w:line="360" w:lineRule="auto"/>
              <w:rPr>
                <w:rFonts w:ascii="Times New Roman" w:hAnsi="Times New Roman" w:cs="Times New Roman"/>
                <w:sz w:val="24"/>
                <w:szCs w:val="24"/>
              </w:rPr>
            </w:pPr>
          </w:p>
        </w:tc>
      </w:tr>
      <w:tr w:rsidR="0078188D" w:rsidRPr="00EB27F3" w14:paraId="18385179" w14:textId="77777777" w:rsidTr="0052051D">
        <w:tc>
          <w:tcPr>
            <w:tcW w:w="3210" w:type="dxa"/>
          </w:tcPr>
          <w:p w14:paraId="78738A3F" w14:textId="77D2DC90"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Yes</w:t>
            </w:r>
          </w:p>
        </w:tc>
        <w:tc>
          <w:tcPr>
            <w:tcW w:w="3210" w:type="dxa"/>
          </w:tcPr>
          <w:p w14:paraId="038B93EB" w14:textId="096ED777"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24</w:t>
            </w:r>
          </w:p>
        </w:tc>
        <w:tc>
          <w:tcPr>
            <w:tcW w:w="3210" w:type="dxa"/>
          </w:tcPr>
          <w:p w14:paraId="1CB649C2" w14:textId="109B7CA3"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48.0</w:t>
            </w:r>
          </w:p>
        </w:tc>
      </w:tr>
      <w:tr w:rsidR="0078188D" w:rsidRPr="00EB27F3" w14:paraId="059ADD02" w14:textId="77777777" w:rsidTr="0052051D">
        <w:tc>
          <w:tcPr>
            <w:tcW w:w="3210" w:type="dxa"/>
          </w:tcPr>
          <w:p w14:paraId="439A5910" w14:textId="7CEB21F9"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w:t>
            </w:r>
          </w:p>
        </w:tc>
        <w:tc>
          <w:tcPr>
            <w:tcW w:w="3210" w:type="dxa"/>
          </w:tcPr>
          <w:p w14:paraId="135786F1" w14:textId="242B3D2D"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w:t>
            </w:r>
          </w:p>
        </w:tc>
        <w:tc>
          <w:tcPr>
            <w:tcW w:w="3210" w:type="dxa"/>
          </w:tcPr>
          <w:p w14:paraId="1FE09402" w14:textId="7906E656"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52.0</w:t>
            </w:r>
          </w:p>
        </w:tc>
      </w:tr>
    </w:tbl>
    <w:p w14:paraId="759843F0" w14:textId="77777777" w:rsidR="000D2116" w:rsidRPr="00EB27F3" w:rsidRDefault="000D2116" w:rsidP="00EB27F3">
      <w:pPr>
        <w:spacing w:after="0" w:line="360" w:lineRule="auto"/>
        <w:rPr>
          <w:rFonts w:ascii="Times New Roman" w:hAnsi="Times New Roman" w:cs="Times New Roman"/>
          <w:sz w:val="24"/>
          <w:szCs w:val="24"/>
        </w:rPr>
      </w:pPr>
    </w:p>
    <w:p w14:paraId="398B5F5E" w14:textId="5AE2E5B2" w:rsidR="00E91F64" w:rsidRPr="00EB27F3" w:rsidRDefault="005179E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4 presents the findings from the physical examination of the 50 patients in the study. Regarding pulse, 72% of patients (36 individuals) had a normal pulse, while 28% (14 patients) had a raised pulse. All patients (100%) had a normal temperature, with no patients exhibiting a raised temperature. As for tenderness, 48% (24 patients) showed tenderness during the examination, while 52% (26 patients) did not. </w:t>
      </w:r>
    </w:p>
    <w:p w14:paraId="4D92C4B1" w14:textId="77777777" w:rsidR="00E91F64" w:rsidRPr="00EB27F3" w:rsidRDefault="00E91F6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br w:type="page"/>
      </w:r>
    </w:p>
    <w:p w14:paraId="0183171F" w14:textId="32D65D09" w:rsidR="001152EB" w:rsidRPr="00EB27F3" w:rsidRDefault="001152EB"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6A5BD6" w:rsidRPr="00EB27F3">
        <w:rPr>
          <w:rFonts w:ascii="Times New Roman" w:hAnsi="Times New Roman" w:cs="Times New Roman"/>
          <w:b/>
          <w:bCs/>
          <w:sz w:val="24"/>
          <w:szCs w:val="24"/>
        </w:rPr>
        <w:t>5</w:t>
      </w:r>
      <w:r w:rsidRPr="00EB27F3">
        <w:rPr>
          <w:rFonts w:ascii="Times New Roman" w:hAnsi="Times New Roman" w:cs="Times New Roman"/>
          <w:b/>
          <w:bCs/>
          <w:sz w:val="24"/>
          <w:szCs w:val="24"/>
        </w:rPr>
        <w:t>: Distribution of the study patients by gray scale of the lesion (n=50)</w:t>
      </w:r>
    </w:p>
    <w:p w14:paraId="1D1AA44E" w14:textId="77777777" w:rsidR="001152EB" w:rsidRPr="00EB27F3" w:rsidRDefault="001152EB"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152EB" w:rsidRPr="00EB27F3" w14:paraId="795D473D" w14:textId="77777777" w:rsidTr="0052051D">
        <w:tc>
          <w:tcPr>
            <w:tcW w:w="3210" w:type="dxa"/>
          </w:tcPr>
          <w:p w14:paraId="221E05FA" w14:textId="4135288F"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Gray scale of the lesion</w:t>
            </w:r>
          </w:p>
        </w:tc>
        <w:tc>
          <w:tcPr>
            <w:tcW w:w="3210" w:type="dxa"/>
          </w:tcPr>
          <w:p w14:paraId="74D80B4A" w14:textId="77777777"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1F3618AC" w14:textId="77777777"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1152EB" w:rsidRPr="00EB27F3" w14:paraId="353FD31C" w14:textId="77777777" w:rsidTr="0052051D">
        <w:tc>
          <w:tcPr>
            <w:tcW w:w="3210" w:type="dxa"/>
          </w:tcPr>
          <w:p w14:paraId="0A82D750" w14:textId="1968AC39"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Site of the lesion</w:t>
            </w:r>
          </w:p>
        </w:tc>
        <w:tc>
          <w:tcPr>
            <w:tcW w:w="3210" w:type="dxa"/>
          </w:tcPr>
          <w:p w14:paraId="588ADE1F"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62781EBB"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09900EE7" w14:textId="77777777" w:rsidTr="0052051D">
        <w:tc>
          <w:tcPr>
            <w:tcW w:w="3210" w:type="dxa"/>
          </w:tcPr>
          <w:p w14:paraId="6C92B794" w14:textId="3B74D653"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Testicular</w:t>
            </w:r>
          </w:p>
        </w:tc>
        <w:tc>
          <w:tcPr>
            <w:tcW w:w="3210" w:type="dxa"/>
          </w:tcPr>
          <w:p w14:paraId="5399A3DF" w14:textId="7070D59E"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48308CA2" w14:textId="1FF4D47C"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1152EB" w:rsidRPr="00EB27F3" w14:paraId="2ED940DE" w14:textId="77777777" w:rsidTr="0052051D">
        <w:tc>
          <w:tcPr>
            <w:tcW w:w="3210" w:type="dxa"/>
          </w:tcPr>
          <w:p w14:paraId="7698648B" w14:textId="74BCE244"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Extra-testicular</w:t>
            </w:r>
          </w:p>
        </w:tc>
        <w:tc>
          <w:tcPr>
            <w:tcW w:w="3210" w:type="dxa"/>
          </w:tcPr>
          <w:p w14:paraId="4F562447" w14:textId="33C00EAD"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36BA9455" w14:textId="580CC913"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5785289D" w14:textId="77777777" w:rsidTr="0052051D">
        <w:tc>
          <w:tcPr>
            <w:tcW w:w="3210" w:type="dxa"/>
          </w:tcPr>
          <w:p w14:paraId="5F9A6322" w14:textId="3312C825"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bCs/>
                <w:sz w:val="24"/>
                <w:szCs w:val="24"/>
              </w:rPr>
              <w:t>Type of the lesion</w:t>
            </w:r>
          </w:p>
        </w:tc>
        <w:tc>
          <w:tcPr>
            <w:tcW w:w="3210" w:type="dxa"/>
          </w:tcPr>
          <w:p w14:paraId="40D9EB10"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031BAB3E"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047F5E54" w14:textId="77777777" w:rsidTr="0052051D">
        <w:tc>
          <w:tcPr>
            <w:tcW w:w="3210" w:type="dxa"/>
          </w:tcPr>
          <w:p w14:paraId="2A73E6A1" w14:textId="2CD70D7B"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Focal</w:t>
            </w:r>
          </w:p>
        </w:tc>
        <w:tc>
          <w:tcPr>
            <w:tcW w:w="3210" w:type="dxa"/>
          </w:tcPr>
          <w:p w14:paraId="3B6385EE" w14:textId="4CE8CF02"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33</w:t>
            </w:r>
          </w:p>
        </w:tc>
        <w:tc>
          <w:tcPr>
            <w:tcW w:w="3210" w:type="dxa"/>
          </w:tcPr>
          <w:p w14:paraId="7415D453" w14:textId="3668C558"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66.0</w:t>
            </w:r>
          </w:p>
        </w:tc>
      </w:tr>
      <w:tr w:rsidR="001152EB" w:rsidRPr="00EB27F3" w14:paraId="3BA7E3B6" w14:textId="77777777" w:rsidTr="0052051D">
        <w:tc>
          <w:tcPr>
            <w:tcW w:w="3210" w:type="dxa"/>
          </w:tcPr>
          <w:p w14:paraId="25527ED4" w14:textId="450B53EA"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Diffuse</w:t>
            </w:r>
          </w:p>
        </w:tc>
        <w:tc>
          <w:tcPr>
            <w:tcW w:w="3210" w:type="dxa"/>
          </w:tcPr>
          <w:p w14:paraId="68D85B56" w14:textId="15987375"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17</w:t>
            </w:r>
          </w:p>
        </w:tc>
        <w:tc>
          <w:tcPr>
            <w:tcW w:w="3210" w:type="dxa"/>
          </w:tcPr>
          <w:p w14:paraId="4F34E7A7" w14:textId="6ACFB610"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34.0</w:t>
            </w:r>
          </w:p>
        </w:tc>
      </w:tr>
      <w:tr w:rsidR="001152EB" w:rsidRPr="00EB27F3" w14:paraId="15627E05" w14:textId="77777777" w:rsidTr="0052051D">
        <w:tc>
          <w:tcPr>
            <w:tcW w:w="3210" w:type="dxa"/>
          </w:tcPr>
          <w:p w14:paraId="32D78221" w14:textId="39F653C2"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Echogenicity of the lesion</w:t>
            </w:r>
          </w:p>
        </w:tc>
        <w:tc>
          <w:tcPr>
            <w:tcW w:w="3210" w:type="dxa"/>
          </w:tcPr>
          <w:p w14:paraId="10A7EAA2"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14E0F6A3"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41AF61F5" w14:textId="77777777" w:rsidTr="0052051D">
        <w:tc>
          <w:tcPr>
            <w:tcW w:w="3210" w:type="dxa"/>
          </w:tcPr>
          <w:p w14:paraId="7E893F22" w14:textId="5BDEF083"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 echotexture</w:t>
            </w:r>
          </w:p>
        </w:tc>
        <w:tc>
          <w:tcPr>
            <w:tcW w:w="3210" w:type="dxa"/>
          </w:tcPr>
          <w:p w14:paraId="7247F9D4" w14:textId="3D88801E"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4E482B3B" w14:textId="68C5DDE3"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21C79B51" w14:textId="77777777" w:rsidTr="0052051D">
        <w:tc>
          <w:tcPr>
            <w:tcW w:w="3210" w:type="dxa"/>
          </w:tcPr>
          <w:p w14:paraId="004DC096" w14:textId="60BEC3C1"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Homogeneously hypoechoic</w:t>
            </w:r>
          </w:p>
        </w:tc>
        <w:tc>
          <w:tcPr>
            <w:tcW w:w="3210" w:type="dxa"/>
          </w:tcPr>
          <w:p w14:paraId="41E1E008" w14:textId="2BA269A6"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w:t>
            </w:r>
          </w:p>
        </w:tc>
        <w:tc>
          <w:tcPr>
            <w:tcW w:w="3210" w:type="dxa"/>
          </w:tcPr>
          <w:p w14:paraId="115C6CD3" w14:textId="4EC8098B"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28.0</w:t>
            </w:r>
          </w:p>
        </w:tc>
      </w:tr>
      <w:tr w:rsidR="001152EB" w:rsidRPr="00EB27F3" w14:paraId="08DA3D46" w14:textId="77777777" w:rsidTr="0052051D">
        <w:tc>
          <w:tcPr>
            <w:tcW w:w="3210" w:type="dxa"/>
          </w:tcPr>
          <w:p w14:paraId="6BFFF7E9" w14:textId="55AE72E9"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Mixed echogenic heterogenous</w:t>
            </w:r>
          </w:p>
        </w:tc>
        <w:tc>
          <w:tcPr>
            <w:tcW w:w="3210" w:type="dxa"/>
          </w:tcPr>
          <w:p w14:paraId="55D68FD1" w14:textId="4FE90B6F"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w:t>
            </w:r>
          </w:p>
        </w:tc>
        <w:tc>
          <w:tcPr>
            <w:tcW w:w="3210" w:type="dxa"/>
          </w:tcPr>
          <w:p w14:paraId="23582D9A" w14:textId="762C4AD2"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1152EB" w:rsidRPr="00EB27F3" w14:paraId="78D82001" w14:textId="77777777" w:rsidTr="0052051D">
        <w:tc>
          <w:tcPr>
            <w:tcW w:w="3210" w:type="dxa"/>
          </w:tcPr>
          <w:p w14:paraId="376D4F1E" w14:textId="443A8D0C"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Hyperechoic</w:t>
            </w:r>
          </w:p>
        </w:tc>
        <w:tc>
          <w:tcPr>
            <w:tcW w:w="3210" w:type="dxa"/>
          </w:tcPr>
          <w:p w14:paraId="7780FD93" w14:textId="570642FA"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2A8CDBC7" w14:textId="7CC277E2"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0E76B7E2" w14:textId="77777777" w:rsidTr="0052051D">
        <w:tc>
          <w:tcPr>
            <w:tcW w:w="3210" w:type="dxa"/>
          </w:tcPr>
          <w:p w14:paraId="1650C7D8" w14:textId="293E5202"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Margin of lesion</w:t>
            </w:r>
          </w:p>
        </w:tc>
        <w:tc>
          <w:tcPr>
            <w:tcW w:w="3210" w:type="dxa"/>
          </w:tcPr>
          <w:p w14:paraId="340F5826"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4BB589DD"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196491F1" w14:textId="77777777" w:rsidTr="0052051D">
        <w:tc>
          <w:tcPr>
            <w:tcW w:w="3210" w:type="dxa"/>
          </w:tcPr>
          <w:p w14:paraId="7B790F59" w14:textId="4BC22A69"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Well defined</w:t>
            </w:r>
          </w:p>
        </w:tc>
        <w:tc>
          <w:tcPr>
            <w:tcW w:w="3210" w:type="dxa"/>
          </w:tcPr>
          <w:p w14:paraId="6E4EB6A6" w14:textId="3780B2DD"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w:t>
            </w:r>
          </w:p>
        </w:tc>
        <w:tc>
          <w:tcPr>
            <w:tcW w:w="3210" w:type="dxa"/>
          </w:tcPr>
          <w:p w14:paraId="5CC1FF1B" w14:textId="167AC157"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20.0</w:t>
            </w:r>
          </w:p>
        </w:tc>
      </w:tr>
      <w:tr w:rsidR="001152EB" w:rsidRPr="00EB27F3" w14:paraId="7C0AF9F9" w14:textId="77777777" w:rsidTr="0052051D">
        <w:tc>
          <w:tcPr>
            <w:tcW w:w="3210" w:type="dxa"/>
          </w:tcPr>
          <w:p w14:paraId="423F89F1" w14:textId="427B41D7"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Poorly defined</w:t>
            </w:r>
          </w:p>
        </w:tc>
        <w:tc>
          <w:tcPr>
            <w:tcW w:w="3210" w:type="dxa"/>
          </w:tcPr>
          <w:p w14:paraId="1A9BAFA8" w14:textId="33273601"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671882" w:rsidRPr="00EB27F3">
              <w:rPr>
                <w:rFonts w:ascii="Times New Roman" w:hAnsi="Times New Roman" w:cs="Times New Roman"/>
                <w:sz w:val="24"/>
                <w:szCs w:val="24"/>
              </w:rPr>
              <w:t>0</w:t>
            </w:r>
          </w:p>
        </w:tc>
        <w:tc>
          <w:tcPr>
            <w:tcW w:w="3210" w:type="dxa"/>
          </w:tcPr>
          <w:p w14:paraId="61AE6FFC" w14:textId="0DFDCCBB"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.0</w:t>
            </w:r>
          </w:p>
        </w:tc>
      </w:tr>
    </w:tbl>
    <w:p w14:paraId="019E42E7" w14:textId="17C097E9" w:rsidR="001152EB" w:rsidRPr="00EB27F3" w:rsidRDefault="001152EB" w:rsidP="00EB27F3">
      <w:pPr>
        <w:spacing w:after="0" w:line="360" w:lineRule="auto"/>
        <w:rPr>
          <w:rFonts w:ascii="Times New Roman" w:hAnsi="Times New Roman" w:cs="Times New Roman"/>
          <w:sz w:val="24"/>
          <w:szCs w:val="24"/>
        </w:rPr>
      </w:pPr>
    </w:p>
    <w:p w14:paraId="7899666B" w14:textId="3D92414A" w:rsidR="000D2116" w:rsidRPr="00EB27F3" w:rsidRDefault="00CE5D74"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5 describes the distribution of the 50 patients based on the gray scale characteristics of their lesions as observed on imaging. All patients (100%) had testicular lesions, with no cases of extra-testicular lesions. Regarding the type of lesion, 66% (33 patients) had focal lesions, while 34% (17 patients) had diffuse lesions. In terms of echogenicity, </w:t>
      </w:r>
      <w:r w:rsidR="00671882" w:rsidRPr="00EB27F3">
        <w:rPr>
          <w:rFonts w:ascii="Times New Roman" w:hAnsi="Times New Roman" w:cs="Times New Roman"/>
          <w:sz w:val="24"/>
          <w:szCs w:val="24"/>
        </w:rPr>
        <w:t>72</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36</w:t>
      </w:r>
      <w:r w:rsidRPr="00EB27F3">
        <w:rPr>
          <w:rFonts w:ascii="Times New Roman" w:hAnsi="Times New Roman" w:cs="Times New Roman"/>
          <w:sz w:val="24"/>
          <w:szCs w:val="24"/>
        </w:rPr>
        <w:t xml:space="preserve"> patients) exhibited mixed echogenic heterogeneous lesions, </w:t>
      </w:r>
      <w:r w:rsidR="00671882" w:rsidRPr="00EB27F3">
        <w:rPr>
          <w:rFonts w:ascii="Times New Roman" w:hAnsi="Times New Roman" w:cs="Times New Roman"/>
          <w:sz w:val="24"/>
          <w:szCs w:val="24"/>
        </w:rPr>
        <w:t>28</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14</w:t>
      </w:r>
      <w:r w:rsidRPr="00EB27F3">
        <w:rPr>
          <w:rFonts w:ascii="Times New Roman" w:hAnsi="Times New Roman" w:cs="Times New Roman"/>
          <w:sz w:val="24"/>
          <w:szCs w:val="24"/>
        </w:rPr>
        <w:t xml:space="preserve"> patients) had homogeneously hypoechoic lesions, and none showed normal echotexture or hyperechoic lesions. As for the margin of the lesions, 8</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 (4</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 xml:space="preserve"> patients) had poorly defined margins, while only </w:t>
      </w:r>
      <w:r w:rsidR="00671882" w:rsidRPr="00EB27F3">
        <w:rPr>
          <w:rFonts w:ascii="Times New Roman" w:hAnsi="Times New Roman" w:cs="Times New Roman"/>
          <w:sz w:val="24"/>
          <w:szCs w:val="24"/>
        </w:rPr>
        <w:t>20</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10</w:t>
      </w:r>
      <w:r w:rsidRPr="00EB27F3">
        <w:rPr>
          <w:rFonts w:ascii="Times New Roman" w:hAnsi="Times New Roman" w:cs="Times New Roman"/>
          <w:sz w:val="24"/>
          <w:szCs w:val="24"/>
        </w:rPr>
        <w:t xml:space="preserve"> patients) had well-defined margins. </w:t>
      </w:r>
    </w:p>
    <w:p w14:paraId="4E28AAEA" w14:textId="77777777" w:rsidR="00E91F64" w:rsidRPr="00EB27F3" w:rsidRDefault="00E91F64" w:rsidP="00EB27F3">
      <w:pPr>
        <w:spacing w:after="0" w:line="360" w:lineRule="auto"/>
        <w:rPr>
          <w:rFonts w:ascii="Times New Roman" w:hAnsi="Times New Roman" w:cs="Times New Roman"/>
          <w:sz w:val="24"/>
          <w:szCs w:val="24"/>
        </w:rPr>
      </w:pPr>
    </w:p>
    <w:p w14:paraId="5929861A" w14:textId="0931BCCF" w:rsidR="004D3954" w:rsidRPr="00EB27F3" w:rsidRDefault="004D3954"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6</w:t>
      </w:r>
      <w:r w:rsidRPr="00EB27F3">
        <w:rPr>
          <w:rFonts w:ascii="Times New Roman" w:hAnsi="Times New Roman" w:cs="Times New Roman"/>
          <w:b/>
          <w:bCs/>
          <w:sz w:val="24"/>
          <w:szCs w:val="24"/>
        </w:rPr>
        <w:t xml:space="preserve">: Distribution of the study patients by CDUS finding of testicular </w:t>
      </w:r>
      <w:r w:rsidR="00BA6E43" w:rsidRPr="00EB27F3">
        <w:rPr>
          <w:rFonts w:ascii="Times New Roman" w:hAnsi="Times New Roman" w:cs="Times New Roman"/>
          <w:b/>
          <w:bCs/>
          <w:sz w:val="24"/>
          <w:szCs w:val="24"/>
        </w:rPr>
        <w:t>lesion (</w:t>
      </w:r>
      <w:r w:rsidRPr="00EB27F3">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3210"/>
        <w:gridCol w:w="3210"/>
        <w:gridCol w:w="3210"/>
      </w:tblGrid>
      <w:tr w:rsidR="004D3954" w:rsidRPr="00EB27F3" w14:paraId="72770755" w14:textId="77777777" w:rsidTr="0052051D">
        <w:tc>
          <w:tcPr>
            <w:tcW w:w="3210" w:type="dxa"/>
          </w:tcPr>
          <w:p w14:paraId="290A8B55" w14:textId="0B7B41AF" w:rsidR="004D3954" w:rsidRPr="00EB27F3" w:rsidRDefault="00BA6E43"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CDUS finding of testicular lesion </w:t>
            </w:r>
          </w:p>
        </w:tc>
        <w:tc>
          <w:tcPr>
            <w:tcW w:w="3210" w:type="dxa"/>
          </w:tcPr>
          <w:p w14:paraId="14900756" w14:textId="77777777" w:rsidR="004D3954" w:rsidRPr="00EB27F3" w:rsidRDefault="004D395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74761E58" w14:textId="77777777" w:rsidR="004D3954" w:rsidRPr="00EB27F3" w:rsidRDefault="004D395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4D3954" w:rsidRPr="00EB27F3" w14:paraId="4A2543A7" w14:textId="77777777" w:rsidTr="0052051D">
        <w:tc>
          <w:tcPr>
            <w:tcW w:w="3210" w:type="dxa"/>
          </w:tcPr>
          <w:p w14:paraId="5B614156" w14:textId="6E97B734"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Grades of vascularity</w:t>
            </w:r>
          </w:p>
        </w:tc>
        <w:tc>
          <w:tcPr>
            <w:tcW w:w="3210" w:type="dxa"/>
          </w:tcPr>
          <w:p w14:paraId="3D146B04"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535A4C12"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5D3B8734" w14:textId="77777777" w:rsidTr="0052051D">
        <w:tc>
          <w:tcPr>
            <w:tcW w:w="3210" w:type="dxa"/>
          </w:tcPr>
          <w:p w14:paraId="12A133D7" w14:textId="525174E8"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0</w:t>
            </w:r>
          </w:p>
        </w:tc>
        <w:tc>
          <w:tcPr>
            <w:tcW w:w="3210" w:type="dxa"/>
          </w:tcPr>
          <w:p w14:paraId="4D4E6E3C" w14:textId="77B9072D" w:rsidR="004D3954" w:rsidRPr="00EB27F3" w:rsidRDefault="00D4168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w:t>
            </w:r>
          </w:p>
        </w:tc>
        <w:tc>
          <w:tcPr>
            <w:tcW w:w="3210" w:type="dxa"/>
          </w:tcPr>
          <w:p w14:paraId="54E7D74D" w14:textId="64BDA443" w:rsidR="004D3954" w:rsidRPr="00EB27F3" w:rsidRDefault="007B0C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w:t>
            </w:r>
          </w:p>
        </w:tc>
      </w:tr>
      <w:tr w:rsidR="004D3954" w:rsidRPr="00EB27F3" w14:paraId="564ABFD6" w14:textId="77777777" w:rsidTr="0052051D">
        <w:tc>
          <w:tcPr>
            <w:tcW w:w="3210" w:type="dxa"/>
          </w:tcPr>
          <w:p w14:paraId="4FBEB4C0" w14:textId="5AB4C4A0"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1</w:t>
            </w:r>
          </w:p>
        </w:tc>
        <w:tc>
          <w:tcPr>
            <w:tcW w:w="3210" w:type="dxa"/>
          </w:tcPr>
          <w:p w14:paraId="622901F0" w14:textId="2763A622" w:rsidR="004D3954" w:rsidRPr="00EB27F3" w:rsidRDefault="00D4168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E0689F" w:rsidRPr="00EB27F3">
              <w:rPr>
                <w:rFonts w:ascii="Times New Roman" w:hAnsi="Times New Roman" w:cs="Times New Roman"/>
                <w:sz w:val="24"/>
                <w:szCs w:val="24"/>
              </w:rPr>
              <w:t>2</w:t>
            </w:r>
          </w:p>
        </w:tc>
        <w:tc>
          <w:tcPr>
            <w:tcW w:w="3210" w:type="dxa"/>
          </w:tcPr>
          <w:p w14:paraId="5A3C4C5F" w14:textId="72546002" w:rsidR="004D3954"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64</w:t>
            </w:r>
            <w:r w:rsidR="007B0CC8" w:rsidRPr="00EB27F3">
              <w:rPr>
                <w:rFonts w:ascii="Times New Roman" w:hAnsi="Times New Roman" w:cs="Times New Roman"/>
                <w:sz w:val="24"/>
                <w:szCs w:val="24"/>
              </w:rPr>
              <w:t>.0</w:t>
            </w:r>
          </w:p>
        </w:tc>
      </w:tr>
      <w:tr w:rsidR="00BA6E43" w:rsidRPr="00EB27F3" w14:paraId="479F28C4" w14:textId="77777777" w:rsidTr="0052051D">
        <w:tc>
          <w:tcPr>
            <w:tcW w:w="3210" w:type="dxa"/>
          </w:tcPr>
          <w:p w14:paraId="0454DA6F" w14:textId="5B96F196" w:rsidR="00BA6E43"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Grade 2</w:t>
            </w:r>
          </w:p>
        </w:tc>
        <w:tc>
          <w:tcPr>
            <w:tcW w:w="3210" w:type="dxa"/>
          </w:tcPr>
          <w:p w14:paraId="464C804F" w14:textId="28621F3B" w:rsidR="00BA6E43"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w:t>
            </w:r>
          </w:p>
        </w:tc>
        <w:tc>
          <w:tcPr>
            <w:tcW w:w="3210" w:type="dxa"/>
          </w:tcPr>
          <w:p w14:paraId="7FE32213" w14:textId="79C5EAF9" w:rsidR="00BA6E43"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w:t>
            </w:r>
            <w:r w:rsidR="007B0CC8" w:rsidRPr="00EB27F3">
              <w:rPr>
                <w:rFonts w:ascii="Times New Roman" w:hAnsi="Times New Roman" w:cs="Times New Roman"/>
                <w:sz w:val="24"/>
                <w:szCs w:val="24"/>
              </w:rPr>
              <w:t>.0</w:t>
            </w:r>
          </w:p>
        </w:tc>
      </w:tr>
      <w:tr w:rsidR="004D3954" w:rsidRPr="00EB27F3" w14:paraId="32698E98" w14:textId="77777777" w:rsidTr="0052051D">
        <w:tc>
          <w:tcPr>
            <w:tcW w:w="3210" w:type="dxa"/>
          </w:tcPr>
          <w:p w14:paraId="0CAE6118" w14:textId="539F3462"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bCs/>
                <w:sz w:val="24"/>
                <w:szCs w:val="24"/>
              </w:rPr>
              <w:t>Pattern of vascularity</w:t>
            </w:r>
          </w:p>
        </w:tc>
        <w:tc>
          <w:tcPr>
            <w:tcW w:w="3210" w:type="dxa"/>
          </w:tcPr>
          <w:p w14:paraId="18CF7BDC"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6ACF6BDB"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4568C2D6" w14:textId="77777777" w:rsidTr="0052051D">
        <w:tc>
          <w:tcPr>
            <w:tcW w:w="3210" w:type="dxa"/>
          </w:tcPr>
          <w:p w14:paraId="16903590" w14:textId="6B4CF359"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Regular (branching linear)</w:t>
            </w:r>
          </w:p>
        </w:tc>
        <w:tc>
          <w:tcPr>
            <w:tcW w:w="3210" w:type="dxa"/>
          </w:tcPr>
          <w:p w14:paraId="35638EB5" w14:textId="57560A3F"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p>
        </w:tc>
        <w:tc>
          <w:tcPr>
            <w:tcW w:w="3210" w:type="dxa"/>
          </w:tcPr>
          <w:p w14:paraId="476694D6" w14:textId="22FD0B98"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4.0</w:t>
            </w:r>
          </w:p>
        </w:tc>
      </w:tr>
      <w:tr w:rsidR="004D3954" w:rsidRPr="00EB27F3" w14:paraId="4608D02D" w14:textId="77777777" w:rsidTr="0052051D">
        <w:tc>
          <w:tcPr>
            <w:tcW w:w="3210" w:type="dxa"/>
          </w:tcPr>
          <w:p w14:paraId="5F077790" w14:textId="61BEBCBD"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Non-branching linear</w:t>
            </w:r>
          </w:p>
        </w:tc>
        <w:tc>
          <w:tcPr>
            <w:tcW w:w="3210" w:type="dxa"/>
          </w:tcPr>
          <w:p w14:paraId="3C82B7C3" w14:textId="50F0B8F0"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B263C1" w:rsidRPr="00EB27F3">
              <w:rPr>
                <w:rFonts w:ascii="Times New Roman" w:hAnsi="Times New Roman" w:cs="Times New Roman"/>
                <w:sz w:val="24"/>
                <w:szCs w:val="24"/>
              </w:rPr>
              <w:t>5</w:t>
            </w:r>
          </w:p>
        </w:tc>
        <w:tc>
          <w:tcPr>
            <w:tcW w:w="3210" w:type="dxa"/>
          </w:tcPr>
          <w:p w14:paraId="7DD0959E" w14:textId="3B71C223"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263C1" w:rsidRPr="00EB27F3">
              <w:rPr>
                <w:rFonts w:ascii="Times New Roman" w:hAnsi="Times New Roman" w:cs="Times New Roman"/>
                <w:sz w:val="24"/>
                <w:szCs w:val="24"/>
              </w:rPr>
              <w:t>0</w:t>
            </w:r>
            <w:r w:rsidRPr="00EB27F3">
              <w:rPr>
                <w:rFonts w:ascii="Times New Roman" w:hAnsi="Times New Roman" w:cs="Times New Roman"/>
                <w:sz w:val="24"/>
                <w:szCs w:val="24"/>
              </w:rPr>
              <w:t>.0</w:t>
            </w:r>
          </w:p>
        </w:tc>
      </w:tr>
      <w:tr w:rsidR="00BA6E43" w:rsidRPr="00EB27F3" w14:paraId="0DCF75CE" w14:textId="77777777" w:rsidTr="0052051D">
        <w:tc>
          <w:tcPr>
            <w:tcW w:w="3210" w:type="dxa"/>
          </w:tcPr>
          <w:p w14:paraId="3D2969B2" w14:textId="3714A201" w:rsidR="00BA6E43"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Scattered / random</w:t>
            </w:r>
          </w:p>
        </w:tc>
        <w:tc>
          <w:tcPr>
            <w:tcW w:w="3210" w:type="dxa"/>
          </w:tcPr>
          <w:p w14:paraId="78C8947F" w14:textId="5E161952" w:rsidR="00BA6E43"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33</w:t>
            </w:r>
          </w:p>
        </w:tc>
        <w:tc>
          <w:tcPr>
            <w:tcW w:w="3210" w:type="dxa"/>
          </w:tcPr>
          <w:p w14:paraId="41F5CD3D" w14:textId="32C46788" w:rsidR="00BA6E43"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66.0</w:t>
            </w:r>
          </w:p>
        </w:tc>
      </w:tr>
      <w:tr w:rsidR="004D3954" w:rsidRPr="00EB27F3" w14:paraId="74169B2C" w14:textId="77777777" w:rsidTr="0052051D">
        <w:tc>
          <w:tcPr>
            <w:tcW w:w="3210" w:type="dxa"/>
          </w:tcPr>
          <w:p w14:paraId="5B2718E6" w14:textId="28D5DAB6"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PSV (Peak systolic velocity)</w:t>
            </w:r>
          </w:p>
        </w:tc>
        <w:tc>
          <w:tcPr>
            <w:tcW w:w="3210" w:type="dxa"/>
          </w:tcPr>
          <w:p w14:paraId="05F3257F"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5BF228DD"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4F55E6EC" w14:textId="77777777" w:rsidTr="0052051D">
        <w:tc>
          <w:tcPr>
            <w:tcW w:w="3210" w:type="dxa"/>
          </w:tcPr>
          <w:p w14:paraId="224BCE9D" w14:textId="039DE6FE"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5142189A" w14:textId="11D02B19"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p>
        </w:tc>
        <w:tc>
          <w:tcPr>
            <w:tcW w:w="3210" w:type="dxa"/>
          </w:tcPr>
          <w:p w14:paraId="6FB6B54B" w14:textId="0B74AC0B"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16.0</w:t>
            </w:r>
          </w:p>
        </w:tc>
      </w:tr>
      <w:tr w:rsidR="004D3954" w:rsidRPr="00EB27F3" w14:paraId="30CD7600" w14:textId="77777777" w:rsidTr="0052051D">
        <w:tc>
          <w:tcPr>
            <w:tcW w:w="3210" w:type="dxa"/>
          </w:tcPr>
          <w:p w14:paraId="2D88BC22" w14:textId="21B87CFF"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3210" w:type="dxa"/>
          </w:tcPr>
          <w:p w14:paraId="71A63A5E" w14:textId="23635F2C"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263C1" w:rsidRPr="00EB27F3">
              <w:rPr>
                <w:rFonts w:ascii="Times New Roman" w:hAnsi="Times New Roman" w:cs="Times New Roman"/>
                <w:sz w:val="24"/>
                <w:szCs w:val="24"/>
              </w:rPr>
              <w:t>8</w:t>
            </w:r>
          </w:p>
        </w:tc>
        <w:tc>
          <w:tcPr>
            <w:tcW w:w="3210" w:type="dxa"/>
          </w:tcPr>
          <w:p w14:paraId="111A1612" w14:textId="59B521CC"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76.0</w:t>
            </w:r>
          </w:p>
        </w:tc>
      </w:tr>
      <w:tr w:rsidR="004D3954" w:rsidRPr="00EB27F3" w14:paraId="348A7A86" w14:textId="77777777" w:rsidTr="0052051D">
        <w:tc>
          <w:tcPr>
            <w:tcW w:w="3210" w:type="dxa"/>
          </w:tcPr>
          <w:p w14:paraId="5534A016" w14:textId="53CD7E92"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3210" w:type="dxa"/>
          </w:tcPr>
          <w:p w14:paraId="5EEE4DC6" w14:textId="5A22A039"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772A8057" w14:textId="242403A3"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r w:rsidR="004D3954" w:rsidRPr="00EB27F3" w14:paraId="3871A5C6" w14:textId="77777777" w:rsidTr="0052051D">
        <w:tc>
          <w:tcPr>
            <w:tcW w:w="3210" w:type="dxa"/>
          </w:tcPr>
          <w:p w14:paraId="4DA71419" w14:textId="6E5521E6"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EDV (End diastolic velocity)</w:t>
            </w:r>
          </w:p>
        </w:tc>
        <w:tc>
          <w:tcPr>
            <w:tcW w:w="3210" w:type="dxa"/>
          </w:tcPr>
          <w:p w14:paraId="1DBAD0DC"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22EB503B" w14:textId="77777777" w:rsidR="004D3954" w:rsidRPr="00EB27F3" w:rsidRDefault="004D3954" w:rsidP="00EB27F3">
            <w:pPr>
              <w:spacing w:line="360" w:lineRule="auto"/>
              <w:rPr>
                <w:rFonts w:ascii="Times New Roman" w:hAnsi="Times New Roman" w:cs="Times New Roman"/>
                <w:sz w:val="24"/>
                <w:szCs w:val="24"/>
              </w:rPr>
            </w:pPr>
          </w:p>
        </w:tc>
      </w:tr>
      <w:tr w:rsidR="00427233" w:rsidRPr="00EB27F3" w14:paraId="5527422A" w14:textId="77777777" w:rsidTr="0052051D">
        <w:tc>
          <w:tcPr>
            <w:tcW w:w="3210" w:type="dxa"/>
          </w:tcPr>
          <w:p w14:paraId="7AF17B90" w14:textId="035660BC"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D1E2CF7" w14:textId="0D5E171A" w:rsidR="00427233" w:rsidRPr="00EB27F3" w:rsidRDefault="000F4CD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w:t>
            </w:r>
          </w:p>
        </w:tc>
        <w:tc>
          <w:tcPr>
            <w:tcW w:w="3210" w:type="dxa"/>
          </w:tcPr>
          <w:p w14:paraId="29AFB7B4" w14:textId="5214D3DC"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20.0</w:t>
            </w:r>
          </w:p>
        </w:tc>
      </w:tr>
      <w:tr w:rsidR="00427233" w:rsidRPr="00EB27F3" w14:paraId="379D7775" w14:textId="77777777" w:rsidTr="0052051D">
        <w:tc>
          <w:tcPr>
            <w:tcW w:w="3210" w:type="dxa"/>
          </w:tcPr>
          <w:p w14:paraId="5E2233ED" w14:textId="0DFFBE68"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3210" w:type="dxa"/>
          </w:tcPr>
          <w:p w14:paraId="612EEFCD" w14:textId="5806F211" w:rsidR="00427233" w:rsidRPr="00EB27F3" w:rsidRDefault="000F4CD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2A47DA" w:rsidRPr="00EB27F3">
              <w:rPr>
                <w:rFonts w:ascii="Times New Roman" w:hAnsi="Times New Roman" w:cs="Times New Roman"/>
                <w:sz w:val="24"/>
                <w:szCs w:val="24"/>
              </w:rPr>
              <w:t>6</w:t>
            </w:r>
          </w:p>
        </w:tc>
        <w:tc>
          <w:tcPr>
            <w:tcW w:w="3210" w:type="dxa"/>
          </w:tcPr>
          <w:p w14:paraId="60B26A1B" w14:textId="6A0278A0"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427233" w:rsidRPr="00EB27F3" w14:paraId="60AD5AEC" w14:textId="77777777" w:rsidTr="0052051D">
        <w:tc>
          <w:tcPr>
            <w:tcW w:w="3210" w:type="dxa"/>
          </w:tcPr>
          <w:p w14:paraId="0A40A97C" w14:textId="2738557A"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3210" w:type="dxa"/>
          </w:tcPr>
          <w:p w14:paraId="6DB2A833" w14:textId="6C41D771"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79EBA888" w14:textId="705AF03F"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r w:rsidR="00427233" w:rsidRPr="00EB27F3" w14:paraId="651276AD" w14:textId="77777777" w:rsidTr="0052051D">
        <w:tc>
          <w:tcPr>
            <w:tcW w:w="3210" w:type="dxa"/>
          </w:tcPr>
          <w:p w14:paraId="7585F0C3" w14:textId="4971D78D" w:rsidR="00427233" w:rsidRPr="00EB27F3" w:rsidRDefault="0042723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RI (Resistivity Index)</w:t>
            </w:r>
          </w:p>
        </w:tc>
        <w:tc>
          <w:tcPr>
            <w:tcW w:w="3210" w:type="dxa"/>
          </w:tcPr>
          <w:p w14:paraId="2E7271A9" w14:textId="77777777" w:rsidR="00427233" w:rsidRPr="00EB27F3" w:rsidRDefault="00427233" w:rsidP="00EB27F3">
            <w:pPr>
              <w:spacing w:line="360" w:lineRule="auto"/>
              <w:rPr>
                <w:rFonts w:ascii="Times New Roman" w:hAnsi="Times New Roman" w:cs="Times New Roman"/>
                <w:sz w:val="24"/>
                <w:szCs w:val="24"/>
              </w:rPr>
            </w:pPr>
          </w:p>
        </w:tc>
        <w:tc>
          <w:tcPr>
            <w:tcW w:w="3210" w:type="dxa"/>
          </w:tcPr>
          <w:p w14:paraId="777F2DF1" w14:textId="77777777" w:rsidR="00427233" w:rsidRPr="00EB27F3" w:rsidRDefault="00427233" w:rsidP="00EB27F3">
            <w:pPr>
              <w:spacing w:line="360" w:lineRule="auto"/>
              <w:rPr>
                <w:rFonts w:ascii="Times New Roman" w:hAnsi="Times New Roman" w:cs="Times New Roman"/>
                <w:sz w:val="24"/>
                <w:szCs w:val="24"/>
              </w:rPr>
            </w:pPr>
          </w:p>
        </w:tc>
      </w:tr>
      <w:tr w:rsidR="00427233" w:rsidRPr="00EB27F3" w14:paraId="62C6B24D" w14:textId="77777777" w:rsidTr="0052051D">
        <w:tc>
          <w:tcPr>
            <w:tcW w:w="3210" w:type="dxa"/>
          </w:tcPr>
          <w:p w14:paraId="105FBC11" w14:textId="69A73132" w:rsidR="00427233" w:rsidRPr="00EB27F3" w:rsidRDefault="00CD09B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Low</w:t>
            </w:r>
          </w:p>
        </w:tc>
        <w:tc>
          <w:tcPr>
            <w:tcW w:w="3210" w:type="dxa"/>
          </w:tcPr>
          <w:p w14:paraId="43BE9D43" w14:textId="4C4B45AA" w:rsidR="00427233" w:rsidRPr="00EB27F3" w:rsidRDefault="0094334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CD09B6" w:rsidRPr="00EB27F3">
              <w:rPr>
                <w:rFonts w:ascii="Times New Roman" w:hAnsi="Times New Roman" w:cs="Times New Roman"/>
                <w:sz w:val="24"/>
                <w:szCs w:val="24"/>
              </w:rPr>
              <w:t>3</w:t>
            </w:r>
          </w:p>
        </w:tc>
        <w:tc>
          <w:tcPr>
            <w:tcW w:w="3210" w:type="dxa"/>
          </w:tcPr>
          <w:p w14:paraId="02A3D8F4" w14:textId="33A56770"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26.0</w:t>
            </w:r>
          </w:p>
        </w:tc>
      </w:tr>
      <w:tr w:rsidR="00427233" w:rsidRPr="00EB27F3" w14:paraId="77299C27" w14:textId="77777777" w:rsidTr="0052051D">
        <w:tc>
          <w:tcPr>
            <w:tcW w:w="3210" w:type="dxa"/>
          </w:tcPr>
          <w:p w14:paraId="7BB30D83" w14:textId="4D9867BA" w:rsidR="00427233" w:rsidRPr="00EB27F3" w:rsidRDefault="00CD09B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F1A4DC2" w14:textId="1B9C4968"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w:t>
            </w:r>
          </w:p>
        </w:tc>
        <w:tc>
          <w:tcPr>
            <w:tcW w:w="3210" w:type="dxa"/>
          </w:tcPr>
          <w:p w14:paraId="4F25C5FF" w14:textId="45E51C3A"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74.0</w:t>
            </w:r>
          </w:p>
        </w:tc>
      </w:tr>
    </w:tbl>
    <w:p w14:paraId="4DA8918C" w14:textId="77777777" w:rsidR="000D2116" w:rsidRPr="00EB27F3" w:rsidRDefault="000D2116" w:rsidP="00EB27F3">
      <w:pPr>
        <w:spacing w:after="0" w:line="360" w:lineRule="auto"/>
        <w:rPr>
          <w:rFonts w:ascii="Times New Roman" w:hAnsi="Times New Roman" w:cs="Times New Roman"/>
          <w:sz w:val="24"/>
          <w:szCs w:val="24"/>
        </w:rPr>
      </w:pPr>
    </w:p>
    <w:p w14:paraId="3488DF07" w14:textId="19E6A6D5" w:rsidR="00E91F64" w:rsidRPr="00EB27F3" w:rsidRDefault="00035929"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The distribution of the study patients based on Color Doppler Ultrasonography (CDUS) findings of testicular lesions is summarized in Table 6. Among the 50 patients, the grades of vascularity were categorized as Grade 0 in 10% of cases, Grade 1 in 64%, and Grade 2 in 26%. Regarding the pattern of vascularity, the majority (66%) exhibited a scattered or random vascular pattern, while 30% showed a non-branching linear pattern, and only 4% displayed a regular branching linear pattern. The peak systolic velocity (PSV) was normal in 16% of patients, increased in 76%, and decreased in 8%. Similarly, end diastolic velocity (EDV) was normal in 20%, increased in 72%, and decreased in 8% of patients. The resistivity index (RI) revealed that 26% of the patients had a low RI, while the remaining 74% had RI values within the normal range. These findings highlight the variability in vascular and flow dynamics among testicular lesions, with a notable prevalence of increased PSV and EDV and scattered vascular patterns, which may be indicative of underlying pathological processes.</w:t>
      </w:r>
    </w:p>
    <w:p w14:paraId="16E70C68" w14:textId="77777777" w:rsidR="00035929" w:rsidRPr="00EB27F3" w:rsidRDefault="00035929" w:rsidP="00EB27F3">
      <w:pPr>
        <w:spacing w:after="0" w:line="360" w:lineRule="auto"/>
        <w:rPr>
          <w:rFonts w:ascii="Times New Roman" w:hAnsi="Times New Roman" w:cs="Times New Roman"/>
          <w:sz w:val="24"/>
          <w:szCs w:val="24"/>
        </w:rPr>
      </w:pPr>
    </w:p>
    <w:p w14:paraId="5506F78C" w14:textId="01E0EC75" w:rsidR="00607857" w:rsidRPr="00EB27F3" w:rsidRDefault="00607857"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7</w:t>
      </w:r>
      <w:r w:rsidRPr="00EB27F3">
        <w:rPr>
          <w:rFonts w:ascii="Times New Roman" w:hAnsi="Times New Roman" w:cs="Times New Roman"/>
          <w:b/>
          <w:bCs/>
          <w:sz w:val="24"/>
          <w:szCs w:val="24"/>
        </w:rPr>
        <w:t xml:space="preserve">: Distribution of the study patients by Color Doppler Ultrasound (CDUS) diagnosis (n=50) </w:t>
      </w:r>
    </w:p>
    <w:tbl>
      <w:tblPr>
        <w:tblStyle w:val="TableGrid"/>
        <w:tblW w:w="0" w:type="auto"/>
        <w:tblLook w:val="04A0" w:firstRow="1" w:lastRow="0" w:firstColumn="1" w:lastColumn="0" w:noHBand="0" w:noVBand="1"/>
      </w:tblPr>
      <w:tblGrid>
        <w:gridCol w:w="3210"/>
        <w:gridCol w:w="3210"/>
        <w:gridCol w:w="3210"/>
      </w:tblGrid>
      <w:tr w:rsidR="00607857" w:rsidRPr="00EB27F3" w14:paraId="3FCFDC70" w14:textId="77777777" w:rsidTr="0052051D">
        <w:tc>
          <w:tcPr>
            <w:tcW w:w="3210" w:type="dxa"/>
          </w:tcPr>
          <w:p w14:paraId="07539386" w14:textId="74B6A662"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Color Doppler Ultrasound diagnosis</w:t>
            </w:r>
          </w:p>
        </w:tc>
        <w:tc>
          <w:tcPr>
            <w:tcW w:w="3210" w:type="dxa"/>
          </w:tcPr>
          <w:p w14:paraId="2C4F311B" w14:textId="77777777" w:rsidR="00607857" w:rsidRPr="00EB27F3" w:rsidRDefault="006078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751B9FD6" w14:textId="77777777" w:rsidR="00607857" w:rsidRPr="00EB27F3" w:rsidRDefault="006078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607857" w:rsidRPr="00EB27F3" w14:paraId="390EF75F" w14:textId="77777777" w:rsidTr="0052051D">
        <w:tc>
          <w:tcPr>
            <w:tcW w:w="3210" w:type="dxa"/>
          </w:tcPr>
          <w:p w14:paraId="24488CBB" w14:textId="38BC6C5E"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c>
          <w:tcPr>
            <w:tcW w:w="3210" w:type="dxa"/>
          </w:tcPr>
          <w:p w14:paraId="0E4BA5D2" w14:textId="71E66A81"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p>
        </w:tc>
        <w:tc>
          <w:tcPr>
            <w:tcW w:w="3210" w:type="dxa"/>
          </w:tcPr>
          <w:p w14:paraId="0725327F" w14:textId="5CAF94C6"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22.0</w:t>
            </w:r>
          </w:p>
        </w:tc>
      </w:tr>
      <w:tr w:rsidR="00607857" w:rsidRPr="00EB27F3" w14:paraId="10E75154" w14:textId="77777777" w:rsidTr="0052051D">
        <w:tc>
          <w:tcPr>
            <w:tcW w:w="3210" w:type="dxa"/>
          </w:tcPr>
          <w:p w14:paraId="0E34CB0F" w14:textId="571A754A"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1A5EC63C" w14:textId="7958B297"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39</w:t>
            </w:r>
          </w:p>
        </w:tc>
        <w:tc>
          <w:tcPr>
            <w:tcW w:w="3210" w:type="dxa"/>
          </w:tcPr>
          <w:p w14:paraId="40E79FB9" w14:textId="3C4024EB"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78.0</w:t>
            </w:r>
          </w:p>
        </w:tc>
      </w:tr>
    </w:tbl>
    <w:p w14:paraId="179E1E36" w14:textId="77777777" w:rsidR="000D2116" w:rsidRPr="00EB27F3" w:rsidRDefault="000D2116"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B549BC" w14:paraId="10249FEB" w14:textId="77777777" w:rsidTr="00B549BC">
        <w:tc>
          <w:tcPr>
            <w:tcW w:w="9630" w:type="dxa"/>
          </w:tcPr>
          <w:p w14:paraId="486CC73F" w14:textId="5ACB4ADF" w:rsidR="00B549BC" w:rsidRDefault="00B549BC" w:rsidP="00B549BC">
            <w:pPr>
              <w:spacing w:line="360" w:lineRule="auto"/>
              <w:jc w:val="center"/>
              <w:rPr>
                <w:rFonts w:ascii="Times New Roman" w:hAnsi="Times New Roman" w:cs="Times New Roman"/>
                <w:sz w:val="24"/>
                <w:szCs w:val="24"/>
              </w:rPr>
            </w:pPr>
            <w:r>
              <w:rPr>
                <w:noProof/>
              </w:rPr>
              <w:drawing>
                <wp:inline distT="0" distB="0" distL="0" distR="0" wp14:anchorId="44042221" wp14:editId="6D9E3303">
                  <wp:extent cx="4572000" cy="2743200"/>
                  <wp:effectExtent l="0" t="0" r="0" b="0"/>
                  <wp:docPr id="1743341159" name="Chart 1">
                    <a:extLst xmlns:a="http://schemas.openxmlformats.org/drawingml/2006/main">
                      <a:ext uri="{FF2B5EF4-FFF2-40B4-BE49-F238E27FC236}">
                        <a16:creationId xmlns:a16="http://schemas.microsoft.com/office/drawing/2014/main" id="{89239455-86E8-2921-3233-499FE836F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B549BC" w14:paraId="7246AF0A" w14:textId="77777777" w:rsidTr="00B549BC">
        <w:tc>
          <w:tcPr>
            <w:tcW w:w="9630" w:type="dxa"/>
          </w:tcPr>
          <w:p w14:paraId="6817C0A7" w14:textId="2032EE33" w:rsidR="00B549BC" w:rsidRDefault="00B549BC" w:rsidP="00B549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Figure 4: </w:t>
            </w:r>
            <w:r w:rsidRPr="00EB27F3">
              <w:rPr>
                <w:rFonts w:ascii="Times New Roman" w:hAnsi="Times New Roman" w:cs="Times New Roman"/>
                <w:b/>
                <w:bCs/>
                <w:sz w:val="24"/>
                <w:szCs w:val="24"/>
              </w:rPr>
              <w:t>Distribution of the study patients by Color Doppler Ultrasound (CDUS) diagnosis</w:t>
            </w:r>
          </w:p>
        </w:tc>
      </w:tr>
    </w:tbl>
    <w:p w14:paraId="348B12D7" w14:textId="77777777" w:rsidR="00B549BC" w:rsidRDefault="00B549BC" w:rsidP="00EB27F3">
      <w:pPr>
        <w:spacing w:after="0" w:line="360" w:lineRule="auto"/>
        <w:rPr>
          <w:rFonts w:ascii="Times New Roman" w:hAnsi="Times New Roman" w:cs="Times New Roman"/>
          <w:sz w:val="24"/>
          <w:szCs w:val="24"/>
        </w:rPr>
      </w:pPr>
    </w:p>
    <w:p w14:paraId="04E7F7BB" w14:textId="77777777" w:rsidR="00B549BC" w:rsidRDefault="00B549BC" w:rsidP="00EB27F3">
      <w:pPr>
        <w:spacing w:after="0" w:line="360" w:lineRule="auto"/>
        <w:rPr>
          <w:rFonts w:ascii="Times New Roman" w:hAnsi="Times New Roman" w:cs="Times New Roman"/>
          <w:sz w:val="24"/>
          <w:szCs w:val="24"/>
        </w:rPr>
      </w:pPr>
    </w:p>
    <w:p w14:paraId="6832F951" w14:textId="77777777" w:rsidR="00B549BC" w:rsidRDefault="00B549BC" w:rsidP="00EB27F3">
      <w:pPr>
        <w:spacing w:after="0" w:line="360" w:lineRule="auto"/>
        <w:rPr>
          <w:rFonts w:ascii="Times New Roman" w:hAnsi="Times New Roman" w:cs="Times New Roman"/>
          <w:sz w:val="24"/>
          <w:szCs w:val="24"/>
        </w:rPr>
      </w:pPr>
    </w:p>
    <w:p w14:paraId="5C825E04" w14:textId="52177010" w:rsidR="00AF54AE" w:rsidRPr="00EB27F3" w:rsidRDefault="00CE5D74"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7 presents the Color Doppler Ultrasound (CDUS) diagnosis of testicular lesions in the 50 study patients. The majority of patients, </w:t>
      </w:r>
      <w:r w:rsidR="00035929" w:rsidRPr="00EB27F3">
        <w:rPr>
          <w:rFonts w:ascii="Times New Roman" w:hAnsi="Times New Roman" w:cs="Times New Roman"/>
          <w:sz w:val="24"/>
          <w:szCs w:val="24"/>
        </w:rPr>
        <w:t>78</w:t>
      </w:r>
      <w:r w:rsidRPr="00EB27F3">
        <w:rPr>
          <w:rFonts w:ascii="Times New Roman" w:hAnsi="Times New Roman" w:cs="Times New Roman"/>
          <w:sz w:val="24"/>
          <w:szCs w:val="24"/>
        </w:rPr>
        <w:t>% (</w:t>
      </w:r>
      <w:r w:rsidR="00035929" w:rsidRPr="00EB27F3">
        <w:rPr>
          <w:rFonts w:ascii="Times New Roman" w:hAnsi="Times New Roman" w:cs="Times New Roman"/>
          <w:sz w:val="24"/>
          <w:szCs w:val="24"/>
        </w:rPr>
        <w:t>39</w:t>
      </w:r>
      <w:r w:rsidRPr="00EB27F3">
        <w:rPr>
          <w:rFonts w:ascii="Times New Roman" w:hAnsi="Times New Roman" w:cs="Times New Roman"/>
          <w:sz w:val="24"/>
          <w:szCs w:val="24"/>
        </w:rPr>
        <w:t xml:space="preserve"> patients), were diagnosed with malignant lesions, while only </w:t>
      </w:r>
      <w:r w:rsidR="00035929" w:rsidRPr="00EB27F3">
        <w:rPr>
          <w:rFonts w:ascii="Times New Roman" w:hAnsi="Times New Roman" w:cs="Times New Roman"/>
          <w:sz w:val="24"/>
          <w:szCs w:val="24"/>
        </w:rPr>
        <w:t>22</w:t>
      </w:r>
      <w:r w:rsidRPr="00EB27F3">
        <w:rPr>
          <w:rFonts w:ascii="Times New Roman" w:hAnsi="Times New Roman" w:cs="Times New Roman"/>
          <w:sz w:val="24"/>
          <w:szCs w:val="24"/>
        </w:rPr>
        <w:t>% (</w:t>
      </w:r>
      <w:r w:rsidR="00035929" w:rsidRPr="00EB27F3">
        <w:rPr>
          <w:rFonts w:ascii="Times New Roman" w:hAnsi="Times New Roman" w:cs="Times New Roman"/>
          <w:sz w:val="24"/>
          <w:szCs w:val="24"/>
        </w:rPr>
        <w:t>11</w:t>
      </w:r>
      <w:r w:rsidRPr="00EB27F3">
        <w:rPr>
          <w:rFonts w:ascii="Times New Roman" w:hAnsi="Times New Roman" w:cs="Times New Roman"/>
          <w:sz w:val="24"/>
          <w:szCs w:val="24"/>
        </w:rPr>
        <w:t xml:space="preserve"> patients) were diagnosed with benign lesions. </w:t>
      </w:r>
    </w:p>
    <w:p w14:paraId="10E549D5" w14:textId="77777777" w:rsidR="00E91F64" w:rsidRPr="00EB27F3" w:rsidRDefault="00E91F64" w:rsidP="00EB27F3">
      <w:pPr>
        <w:spacing w:after="0" w:line="360" w:lineRule="auto"/>
        <w:rPr>
          <w:rFonts w:ascii="Times New Roman" w:hAnsi="Times New Roman" w:cs="Times New Roman"/>
          <w:sz w:val="24"/>
          <w:szCs w:val="24"/>
        </w:rPr>
      </w:pPr>
    </w:p>
    <w:p w14:paraId="105DB47F" w14:textId="5202D93B" w:rsidR="00AF54AE" w:rsidRPr="00EB27F3" w:rsidRDefault="00AF54AE"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Table</w:t>
      </w:r>
      <w:r w:rsidR="006A5BD6" w:rsidRPr="00EB27F3">
        <w:rPr>
          <w:rFonts w:ascii="Times New Roman" w:hAnsi="Times New Roman" w:cs="Times New Roman"/>
          <w:b/>
          <w:bCs/>
          <w:sz w:val="24"/>
          <w:szCs w:val="24"/>
        </w:rPr>
        <w:t xml:space="preserve"> 8</w:t>
      </w:r>
      <w:r w:rsidRPr="00EB27F3">
        <w:rPr>
          <w:rFonts w:ascii="Times New Roman" w:hAnsi="Times New Roman" w:cs="Times New Roman"/>
          <w:b/>
          <w:bCs/>
          <w:sz w:val="24"/>
          <w:szCs w:val="24"/>
        </w:rPr>
        <w:t xml:space="preserve">: Distribution of the study patients by Histopathological diagnosis (n=50) </w:t>
      </w:r>
    </w:p>
    <w:p w14:paraId="75E214F8" w14:textId="77777777" w:rsidR="00AF54AE" w:rsidRPr="00EB27F3" w:rsidRDefault="00AF54AE"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F54AE" w:rsidRPr="00EB27F3" w14:paraId="2593B259" w14:textId="77777777" w:rsidTr="0052051D">
        <w:tc>
          <w:tcPr>
            <w:tcW w:w="3210" w:type="dxa"/>
          </w:tcPr>
          <w:p w14:paraId="7D4B6E11" w14:textId="6A7F5482" w:rsidR="00AF54AE" w:rsidRPr="00EB27F3" w:rsidRDefault="007857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Histopathological diagnosis </w:t>
            </w:r>
          </w:p>
        </w:tc>
        <w:tc>
          <w:tcPr>
            <w:tcW w:w="3210" w:type="dxa"/>
          </w:tcPr>
          <w:p w14:paraId="51CA8BAB"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625D04F2"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AF54AE" w:rsidRPr="00EB27F3" w14:paraId="2160E9C8" w14:textId="77777777" w:rsidTr="0052051D">
        <w:tc>
          <w:tcPr>
            <w:tcW w:w="3210" w:type="dxa"/>
          </w:tcPr>
          <w:p w14:paraId="2E2DD288"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c>
          <w:tcPr>
            <w:tcW w:w="3210" w:type="dxa"/>
          </w:tcPr>
          <w:p w14:paraId="2EF268D9" w14:textId="00276A38"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w:t>
            </w:r>
          </w:p>
        </w:tc>
        <w:tc>
          <w:tcPr>
            <w:tcW w:w="3210" w:type="dxa"/>
          </w:tcPr>
          <w:p w14:paraId="24AD2493" w14:textId="3C0DABAD"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26.0</w:t>
            </w:r>
          </w:p>
        </w:tc>
      </w:tr>
      <w:tr w:rsidR="00AF54AE" w:rsidRPr="00EB27F3" w14:paraId="03C7C0DD" w14:textId="77777777" w:rsidTr="0052051D">
        <w:tc>
          <w:tcPr>
            <w:tcW w:w="3210" w:type="dxa"/>
          </w:tcPr>
          <w:p w14:paraId="1DF550FC"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67309748" w14:textId="14D080E1"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w:t>
            </w:r>
          </w:p>
        </w:tc>
        <w:tc>
          <w:tcPr>
            <w:tcW w:w="3210" w:type="dxa"/>
          </w:tcPr>
          <w:p w14:paraId="4E2886CA" w14:textId="77777777"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74.0</w:t>
            </w:r>
          </w:p>
        </w:tc>
      </w:tr>
    </w:tbl>
    <w:p w14:paraId="213E8AB8" w14:textId="59005965" w:rsidR="00CF4EAE" w:rsidRDefault="00CF4EAE" w:rsidP="00EB27F3">
      <w:pPr>
        <w:spacing w:after="0" w:line="360" w:lineRule="auto"/>
        <w:rPr>
          <w:rFonts w:ascii="Times New Roman" w:hAnsi="Times New Roman" w:cs="Times New Roman"/>
          <w:sz w:val="24"/>
          <w:szCs w:val="24"/>
        </w:rPr>
      </w:pPr>
    </w:p>
    <w:p w14:paraId="7D726768" w14:textId="77777777" w:rsidR="00CF4EAE" w:rsidRDefault="00CF4EA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630"/>
      </w:tblGrid>
      <w:tr w:rsidR="00CF4EAE" w14:paraId="39B9D105" w14:textId="77777777" w:rsidTr="00CF4EAE">
        <w:tc>
          <w:tcPr>
            <w:tcW w:w="9630" w:type="dxa"/>
          </w:tcPr>
          <w:p w14:paraId="43FF71B4" w14:textId="7ED9559F" w:rsidR="00CF4EAE" w:rsidRDefault="00CF4EAE" w:rsidP="00CF4EAE">
            <w:pPr>
              <w:spacing w:line="360" w:lineRule="auto"/>
              <w:jc w:val="center"/>
              <w:rPr>
                <w:rFonts w:ascii="Times New Roman" w:hAnsi="Times New Roman" w:cs="Times New Roman"/>
                <w:sz w:val="24"/>
                <w:szCs w:val="24"/>
              </w:rPr>
            </w:pPr>
            <w:r>
              <w:rPr>
                <w:noProof/>
              </w:rPr>
              <w:lastRenderedPageBreak/>
              <w:drawing>
                <wp:inline distT="0" distB="0" distL="0" distR="0" wp14:anchorId="72B69EA2" wp14:editId="62F0A004">
                  <wp:extent cx="4572000" cy="2743200"/>
                  <wp:effectExtent l="0" t="0" r="0" b="0"/>
                  <wp:docPr id="1769294028" name="Chart 1">
                    <a:extLst xmlns:a="http://schemas.openxmlformats.org/drawingml/2006/main">
                      <a:ext uri="{FF2B5EF4-FFF2-40B4-BE49-F238E27FC236}">
                        <a16:creationId xmlns:a16="http://schemas.microsoft.com/office/drawing/2014/main" id="{8CF7728A-A07A-2976-B372-E5D9D95CE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CF4EAE" w14:paraId="64803264" w14:textId="77777777" w:rsidTr="00CF4EAE">
        <w:tc>
          <w:tcPr>
            <w:tcW w:w="9630" w:type="dxa"/>
          </w:tcPr>
          <w:p w14:paraId="2894835C" w14:textId="0856F71E" w:rsidR="00CF4EAE" w:rsidRPr="00465C61" w:rsidRDefault="00CF4EAE" w:rsidP="00EB27F3">
            <w:pPr>
              <w:spacing w:line="360" w:lineRule="auto"/>
              <w:rPr>
                <w:rFonts w:ascii="Times New Roman" w:hAnsi="Times New Roman" w:cs="Times New Roman"/>
                <w:b/>
                <w:bCs/>
                <w:sz w:val="24"/>
                <w:szCs w:val="24"/>
              </w:rPr>
            </w:pPr>
            <w:r w:rsidRPr="00465C61">
              <w:rPr>
                <w:rFonts w:ascii="Times New Roman" w:hAnsi="Times New Roman" w:cs="Times New Roman"/>
                <w:b/>
                <w:bCs/>
                <w:sz w:val="24"/>
                <w:szCs w:val="24"/>
              </w:rPr>
              <w:t xml:space="preserve">Figure </w:t>
            </w:r>
            <w:r w:rsidR="00465C61">
              <w:rPr>
                <w:rFonts w:ascii="Times New Roman" w:hAnsi="Times New Roman" w:cs="Times New Roman"/>
                <w:b/>
                <w:bCs/>
                <w:sz w:val="24"/>
                <w:szCs w:val="24"/>
              </w:rPr>
              <w:t>5</w:t>
            </w:r>
            <w:r w:rsidRPr="00465C61">
              <w:rPr>
                <w:rFonts w:ascii="Times New Roman" w:hAnsi="Times New Roman" w:cs="Times New Roman"/>
                <w:b/>
                <w:bCs/>
                <w:sz w:val="24"/>
                <w:szCs w:val="24"/>
              </w:rPr>
              <w:t xml:space="preserve">: Distribution of the study patients by Histopathological diagnosis </w:t>
            </w:r>
          </w:p>
        </w:tc>
      </w:tr>
    </w:tbl>
    <w:p w14:paraId="39A70F3D" w14:textId="77777777" w:rsidR="00AF54AE" w:rsidRPr="00EB27F3" w:rsidRDefault="00AF54AE" w:rsidP="00EB27F3">
      <w:pPr>
        <w:spacing w:after="0" w:line="360" w:lineRule="auto"/>
        <w:rPr>
          <w:rFonts w:ascii="Times New Roman" w:hAnsi="Times New Roman" w:cs="Times New Roman"/>
          <w:sz w:val="24"/>
          <w:szCs w:val="24"/>
        </w:rPr>
      </w:pPr>
    </w:p>
    <w:p w14:paraId="1B2A6767" w14:textId="77777777" w:rsidR="00E91F64" w:rsidRPr="00EB27F3" w:rsidRDefault="00CE5D7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8 presents the histopathological diagnosis of the 50 study patients. The majority of patients, 74% (37 patients), were diagnosed with malignant lesions, while 26% (13 patients) had benign lesions. </w:t>
      </w:r>
    </w:p>
    <w:p w14:paraId="45A2DE59" w14:textId="1E4C3E99" w:rsidR="007D285C" w:rsidRPr="007D285C" w:rsidRDefault="007D285C" w:rsidP="007D285C">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Table 9: Distribution of the study patients with testicular mass according to Color Doppler ultrasound (n=50)</w:t>
      </w:r>
    </w:p>
    <w:tbl>
      <w:tblPr>
        <w:tblW w:w="0" w:type="auto"/>
        <w:shd w:val="clear" w:color="auto" w:fill="FFFFFF"/>
        <w:tblCellMar>
          <w:left w:w="0" w:type="dxa"/>
          <w:right w:w="0" w:type="dxa"/>
        </w:tblCellMar>
        <w:tblLook w:val="04A0" w:firstRow="1" w:lastRow="0" w:firstColumn="1" w:lastColumn="0" w:noHBand="0" w:noVBand="1"/>
      </w:tblPr>
      <w:tblGrid>
        <w:gridCol w:w="3021"/>
        <w:gridCol w:w="2485"/>
        <w:gridCol w:w="2189"/>
        <w:gridCol w:w="1925"/>
      </w:tblGrid>
      <w:tr w:rsidR="00047551" w:rsidRPr="00047551" w14:paraId="70C85A20" w14:textId="69648377" w:rsidTr="00047551">
        <w:tc>
          <w:tcPr>
            <w:tcW w:w="30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38DC8B"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485" w:type="dxa"/>
            <w:tcBorders>
              <w:top w:val="single" w:sz="8" w:space="0" w:color="auto"/>
              <w:left w:val="nil"/>
              <w:bottom w:val="single" w:sz="8" w:space="0" w:color="auto"/>
              <w:right w:val="single" w:sz="4" w:space="0" w:color="auto"/>
            </w:tcBorders>
            <w:shd w:val="clear" w:color="auto" w:fill="FFFFFF"/>
            <w:tcMar>
              <w:top w:w="0" w:type="dxa"/>
              <w:left w:w="108" w:type="dxa"/>
              <w:bottom w:w="0" w:type="dxa"/>
              <w:right w:w="108" w:type="dxa"/>
            </w:tcMar>
            <w:hideMark/>
          </w:tcPr>
          <w:p w14:paraId="64717CA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Histopathological diagnosis</w:t>
            </w:r>
          </w:p>
        </w:tc>
        <w:tc>
          <w:tcPr>
            <w:tcW w:w="2189" w:type="dxa"/>
            <w:tcBorders>
              <w:top w:val="single" w:sz="8" w:space="0" w:color="auto"/>
              <w:left w:val="single" w:sz="4" w:space="0" w:color="auto"/>
              <w:bottom w:val="single" w:sz="8" w:space="0" w:color="auto"/>
              <w:right w:val="single" w:sz="8" w:space="0" w:color="auto"/>
            </w:tcBorders>
            <w:shd w:val="clear" w:color="auto" w:fill="FFFFFF"/>
          </w:tcPr>
          <w:p w14:paraId="233451A8"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single" w:sz="8" w:space="0" w:color="auto"/>
              <w:left w:val="single" w:sz="4" w:space="0" w:color="auto"/>
              <w:bottom w:val="single" w:sz="8" w:space="0" w:color="auto"/>
              <w:right w:val="single" w:sz="8" w:space="0" w:color="auto"/>
            </w:tcBorders>
            <w:shd w:val="clear" w:color="auto" w:fill="FFFFFF"/>
          </w:tcPr>
          <w:p w14:paraId="50146025" w14:textId="15AF948D"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b/>
                <w:bCs/>
                <w:sz w:val="24"/>
                <w:szCs w:val="24"/>
              </w:rPr>
              <w:t>P-value</w:t>
            </w:r>
          </w:p>
        </w:tc>
      </w:tr>
      <w:tr w:rsidR="00047551" w:rsidRPr="00047551" w14:paraId="0143BA6F" w14:textId="38B94535"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66BB2"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Gray scale findings of testicular lesion</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2FCE5F1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Benign</w:t>
            </w:r>
          </w:p>
          <w:p w14:paraId="1B21A2A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n (%)</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69E98F"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Malignant</w:t>
            </w:r>
          </w:p>
          <w:p w14:paraId="1E320DAF"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n (%)</w:t>
            </w:r>
          </w:p>
        </w:tc>
        <w:tc>
          <w:tcPr>
            <w:tcW w:w="1925" w:type="dxa"/>
            <w:tcBorders>
              <w:top w:val="nil"/>
              <w:left w:val="single" w:sz="4" w:space="0" w:color="auto"/>
              <w:bottom w:val="single" w:sz="8" w:space="0" w:color="auto"/>
              <w:right w:val="single" w:sz="8" w:space="0" w:color="auto"/>
            </w:tcBorders>
            <w:shd w:val="clear" w:color="auto" w:fill="FFFFFF"/>
          </w:tcPr>
          <w:p w14:paraId="36A0CCF5" w14:textId="77777777" w:rsidR="00047551" w:rsidRPr="00047551" w:rsidRDefault="00047551" w:rsidP="00047551">
            <w:pPr>
              <w:spacing w:line="360" w:lineRule="auto"/>
              <w:rPr>
                <w:rFonts w:ascii="Times New Roman" w:hAnsi="Times New Roman" w:cs="Times New Roman"/>
                <w:b/>
                <w:bCs/>
                <w:sz w:val="24"/>
                <w:szCs w:val="24"/>
              </w:rPr>
            </w:pPr>
          </w:p>
        </w:tc>
      </w:tr>
      <w:tr w:rsidR="00047551" w:rsidRPr="00047551" w14:paraId="3005E482" w14:textId="51E3B083"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53EF3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Type of the lesion</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50D085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40A84EF3"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26F785CE"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2A551DB6" w14:textId="00D4FF1D"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1C2AD3"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Focal</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CA3CFCE"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11 (84.6)</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6810B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22 (59.5)</w:t>
            </w:r>
          </w:p>
        </w:tc>
        <w:tc>
          <w:tcPr>
            <w:tcW w:w="1925" w:type="dxa"/>
            <w:tcBorders>
              <w:top w:val="nil"/>
              <w:left w:val="single" w:sz="4" w:space="0" w:color="auto"/>
              <w:bottom w:val="single" w:sz="8" w:space="0" w:color="auto"/>
              <w:right w:val="single" w:sz="8" w:space="0" w:color="auto"/>
            </w:tcBorders>
            <w:shd w:val="clear" w:color="auto" w:fill="FFFFFF"/>
          </w:tcPr>
          <w:p w14:paraId="064BB5C2" w14:textId="051D6D52"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0.173</w:t>
            </w:r>
          </w:p>
        </w:tc>
      </w:tr>
      <w:tr w:rsidR="00047551" w:rsidRPr="00047551" w14:paraId="0E302352" w14:textId="21888C20"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61869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Diffuse</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E742C0A"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(15.4)</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CA3A6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15 (40.5)</w:t>
            </w:r>
          </w:p>
        </w:tc>
        <w:tc>
          <w:tcPr>
            <w:tcW w:w="1925" w:type="dxa"/>
            <w:tcBorders>
              <w:top w:val="nil"/>
              <w:left w:val="single" w:sz="4" w:space="0" w:color="auto"/>
              <w:bottom w:val="single" w:sz="8" w:space="0" w:color="auto"/>
              <w:right w:val="single" w:sz="8" w:space="0" w:color="auto"/>
            </w:tcBorders>
            <w:shd w:val="clear" w:color="auto" w:fill="FFFFFF"/>
          </w:tcPr>
          <w:p w14:paraId="0E7472E4"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51B81146" w14:textId="24683F0D"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C7AB5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Size of the lesion</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720555C3"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24C81573"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4E47A9FB"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381230EA" w14:textId="2E50D29F"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B98F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≤1.5 cm</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29A7790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0</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DB81E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0</w:t>
            </w:r>
          </w:p>
        </w:tc>
        <w:tc>
          <w:tcPr>
            <w:tcW w:w="1925" w:type="dxa"/>
            <w:tcBorders>
              <w:top w:val="nil"/>
              <w:left w:val="single" w:sz="4" w:space="0" w:color="auto"/>
              <w:bottom w:val="single" w:sz="8" w:space="0" w:color="auto"/>
              <w:right w:val="single" w:sz="8" w:space="0" w:color="auto"/>
            </w:tcBorders>
            <w:shd w:val="clear" w:color="auto" w:fill="FFFFFF"/>
          </w:tcPr>
          <w:p w14:paraId="6DACE40B" w14:textId="441ED4AA"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w:t>
            </w:r>
          </w:p>
        </w:tc>
      </w:tr>
      <w:tr w:rsidR="00047551" w:rsidRPr="00047551" w14:paraId="7F49C0D7" w14:textId="1CB56260"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EB3FE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&gt;1.5 cm</w:t>
            </w:r>
          </w:p>
        </w:tc>
        <w:tc>
          <w:tcPr>
            <w:tcW w:w="2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E370F"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13 (26)</w:t>
            </w:r>
          </w:p>
        </w:tc>
        <w:tc>
          <w:tcPr>
            <w:tcW w:w="21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932D9D"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37 (74)</w:t>
            </w:r>
          </w:p>
        </w:tc>
        <w:tc>
          <w:tcPr>
            <w:tcW w:w="1925" w:type="dxa"/>
            <w:tcBorders>
              <w:top w:val="nil"/>
              <w:left w:val="nil"/>
              <w:bottom w:val="single" w:sz="8" w:space="0" w:color="auto"/>
              <w:right w:val="single" w:sz="8" w:space="0" w:color="auto"/>
            </w:tcBorders>
            <w:shd w:val="clear" w:color="auto" w:fill="FFFFFF"/>
          </w:tcPr>
          <w:p w14:paraId="758BB166"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3802D5C8" w14:textId="0B217C8F"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7EC05"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lastRenderedPageBreak/>
              <w:t>Echogenicity of the lesion</w:t>
            </w:r>
          </w:p>
        </w:tc>
        <w:tc>
          <w:tcPr>
            <w:tcW w:w="2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A655A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30DFB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1925" w:type="dxa"/>
            <w:tcBorders>
              <w:top w:val="nil"/>
              <w:left w:val="nil"/>
              <w:bottom w:val="single" w:sz="8" w:space="0" w:color="auto"/>
              <w:right w:val="single" w:sz="8" w:space="0" w:color="auto"/>
            </w:tcBorders>
            <w:shd w:val="clear" w:color="auto" w:fill="FFFFFF"/>
          </w:tcPr>
          <w:p w14:paraId="1EB44002"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43F1E5A7" w14:textId="04086033"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D027E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Homogeneously hypoechoic</w:t>
            </w:r>
          </w:p>
        </w:tc>
        <w:tc>
          <w:tcPr>
            <w:tcW w:w="2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6D4DA"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(15.4)</w:t>
            </w:r>
          </w:p>
        </w:tc>
        <w:tc>
          <w:tcPr>
            <w:tcW w:w="21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0A18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12 (32.4)</w:t>
            </w:r>
          </w:p>
        </w:tc>
        <w:tc>
          <w:tcPr>
            <w:tcW w:w="1925" w:type="dxa"/>
            <w:tcBorders>
              <w:top w:val="nil"/>
              <w:left w:val="nil"/>
              <w:bottom w:val="single" w:sz="8" w:space="0" w:color="auto"/>
              <w:right w:val="single" w:sz="8" w:space="0" w:color="auto"/>
            </w:tcBorders>
            <w:shd w:val="clear" w:color="auto" w:fill="FFFFFF"/>
          </w:tcPr>
          <w:p w14:paraId="505F4557" w14:textId="180937AA"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0.303</w:t>
            </w:r>
          </w:p>
        </w:tc>
      </w:tr>
      <w:tr w:rsidR="00047551" w:rsidRPr="00047551" w14:paraId="19EAE4BF" w14:textId="71F3F903"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40C3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Mixed echogenic heterogenous</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054631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11 (84.6)</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69E7B6"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25 (67.6)</w:t>
            </w:r>
          </w:p>
        </w:tc>
        <w:tc>
          <w:tcPr>
            <w:tcW w:w="1925" w:type="dxa"/>
            <w:tcBorders>
              <w:top w:val="nil"/>
              <w:left w:val="single" w:sz="4" w:space="0" w:color="auto"/>
              <w:bottom w:val="single" w:sz="8" w:space="0" w:color="auto"/>
              <w:right w:val="single" w:sz="8" w:space="0" w:color="auto"/>
            </w:tcBorders>
            <w:shd w:val="clear" w:color="auto" w:fill="FFFFFF"/>
          </w:tcPr>
          <w:p w14:paraId="37A4E333"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6A3B12F9" w14:textId="4BACDFC9"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562CA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Margin of lesion</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7BFB13FF"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70058E0A"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42120E11"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377D8FDE" w14:textId="49B2792B" w:rsidTr="00047551">
        <w:trPr>
          <w:trHeight w:val="413"/>
        </w:trPr>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53C5AD" w14:textId="6E768513" w:rsidR="00047551" w:rsidRPr="007D285C"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Well</w:t>
            </w:r>
            <w:r w:rsidRPr="007D285C">
              <w:rPr>
                <w:rFonts w:ascii="Times New Roman" w:hAnsi="Times New Roman" w:cs="Times New Roman"/>
                <w:sz w:val="24"/>
                <w:szCs w:val="24"/>
              </w:rPr>
              <w:t xml:space="preserve"> defined</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3D37B47"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6 (46.2)</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2D2F5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4 (10.8)</w:t>
            </w:r>
          </w:p>
        </w:tc>
        <w:tc>
          <w:tcPr>
            <w:tcW w:w="1925" w:type="dxa"/>
            <w:tcBorders>
              <w:top w:val="nil"/>
              <w:left w:val="single" w:sz="4" w:space="0" w:color="auto"/>
              <w:bottom w:val="single" w:sz="8" w:space="0" w:color="auto"/>
              <w:right w:val="single" w:sz="8" w:space="0" w:color="auto"/>
            </w:tcBorders>
            <w:shd w:val="clear" w:color="auto" w:fill="FFFFFF"/>
          </w:tcPr>
          <w:p w14:paraId="5EDF3C0A" w14:textId="39A813FB"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0.012</w:t>
            </w:r>
          </w:p>
        </w:tc>
      </w:tr>
      <w:tr w:rsidR="00047551" w:rsidRPr="00047551" w14:paraId="6172A79D" w14:textId="350F282C" w:rsidTr="00047551">
        <w:trPr>
          <w:trHeight w:val="350"/>
        </w:trPr>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51622"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Poorly defined</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492EF21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7 (53.8)</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09363E"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33 (89.2)</w:t>
            </w:r>
          </w:p>
        </w:tc>
        <w:tc>
          <w:tcPr>
            <w:tcW w:w="1925" w:type="dxa"/>
            <w:tcBorders>
              <w:top w:val="nil"/>
              <w:left w:val="single" w:sz="4" w:space="0" w:color="auto"/>
              <w:bottom w:val="single" w:sz="8" w:space="0" w:color="auto"/>
              <w:right w:val="single" w:sz="8" w:space="0" w:color="auto"/>
            </w:tcBorders>
            <w:shd w:val="clear" w:color="auto" w:fill="FFFFFF"/>
          </w:tcPr>
          <w:p w14:paraId="2184DFFA"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5A7ED707" w14:textId="019131F2"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9509A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CDUS finding of testicular lesion</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E9F25EE"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6CE2E353"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3A35C644"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60549C2F" w14:textId="3C03DEC5"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C10E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Grades of vascularity</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CF0E38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7ADB2D03"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7B85F61E"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7AD02AC9" w14:textId="5D3FD2D6" w:rsidTr="00047551">
        <w:trPr>
          <w:trHeight w:val="395"/>
        </w:trPr>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F8AC7D"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Grade 1</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6FE0316"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4 (30.8)</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94E5D"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 (2.7)</w:t>
            </w:r>
          </w:p>
        </w:tc>
        <w:tc>
          <w:tcPr>
            <w:tcW w:w="1925" w:type="dxa"/>
            <w:tcBorders>
              <w:top w:val="nil"/>
              <w:left w:val="single" w:sz="4" w:space="0" w:color="auto"/>
              <w:bottom w:val="single" w:sz="8" w:space="0" w:color="auto"/>
              <w:right w:val="single" w:sz="8" w:space="0" w:color="auto"/>
            </w:tcBorders>
            <w:shd w:val="clear" w:color="auto" w:fill="FFFFFF"/>
          </w:tcPr>
          <w:p w14:paraId="748831FB" w14:textId="60858C74"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0.007</w:t>
            </w:r>
          </w:p>
        </w:tc>
      </w:tr>
      <w:tr w:rsidR="00047551" w:rsidRPr="00047551" w14:paraId="2EDB4432" w14:textId="27F26D03" w:rsidTr="00047551">
        <w:trPr>
          <w:trHeight w:val="332"/>
        </w:trPr>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065B8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Grade 2</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51F2234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8 (61.5)</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4067CF"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24 (64.9)</w:t>
            </w:r>
          </w:p>
        </w:tc>
        <w:tc>
          <w:tcPr>
            <w:tcW w:w="1925" w:type="dxa"/>
            <w:tcBorders>
              <w:top w:val="nil"/>
              <w:left w:val="single" w:sz="4" w:space="0" w:color="auto"/>
              <w:bottom w:val="single" w:sz="8" w:space="0" w:color="auto"/>
              <w:right w:val="single" w:sz="8" w:space="0" w:color="auto"/>
            </w:tcBorders>
            <w:shd w:val="clear" w:color="auto" w:fill="FFFFFF"/>
          </w:tcPr>
          <w:p w14:paraId="1A4CC543"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4D642814" w14:textId="0E386586" w:rsidTr="00047551">
        <w:trPr>
          <w:trHeight w:val="359"/>
        </w:trPr>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D3FD65"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Grade 3</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5BACCD4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 (7.7)</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B0DF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12 (32.4)</w:t>
            </w:r>
          </w:p>
        </w:tc>
        <w:tc>
          <w:tcPr>
            <w:tcW w:w="1925" w:type="dxa"/>
            <w:tcBorders>
              <w:top w:val="nil"/>
              <w:left w:val="single" w:sz="4" w:space="0" w:color="auto"/>
              <w:bottom w:val="single" w:sz="8" w:space="0" w:color="auto"/>
              <w:right w:val="single" w:sz="8" w:space="0" w:color="auto"/>
            </w:tcBorders>
            <w:shd w:val="clear" w:color="auto" w:fill="FFFFFF"/>
          </w:tcPr>
          <w:p w14:paraId="249B726A"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1DFFA63A" w14:textId="7A8110D7"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62759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Pattern of vascularity</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5A44D72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23065E59"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446FFB1F"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027C5E0E" w14:textId="1701A736"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98C07B"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Regular (branching linear)</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461D1E7A"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(15.4)</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70875"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0 (0.0)</w:t>
            </w:r>
          </w:p>
        </w:tc>
        <w:tc>
          <w:tcPr>
            <w:tcW w:w="1925" w:type="dxa"/>
            <w:tcBorders>
              <w:top w:val="nil"/>
              <w:left w:val="single" w:sz="4" w:space="0" w:color="auto"/>
              <w:bottom w:val="single" w:sz="8" w:space="0" w:color="auto"/>
              <w:right w:val="single" w:sz="8" w:space="0" w:color="auto"/>
            </w:tcBorders>
            <w:shd w:val="clear" w:color="auto" w:fill="FFFFFF"/>
          </w:tcPr>
          <w:p w14:paraId="35787904" w14:textId="20DC91B8"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0.049</w:t>
            </w:r>
          </w:p>
        </w:tc>
      </w:tr>
      <w:tr w:rsidR="00047551" w:rsidRPr="00047551" w14:paraId="336902C2" w14:textId="69C76358"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30E1A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Non-branching linear</w:t>
            </w:r>
          </w:p>
        </w:tc>
        <w:tc>
          <w:tcPr>
            <w:tcW w:w="2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4CAD3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3 (23.1)</w:t>
            </w:r>
          </w:p>
        </w:tc>
        <w:tc>
          <w:tcPr>
            <w:tcW w:w="21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9DEBB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12 (32.4)</w:t>
            </w:r>
          </w:p>
        </w:tc>
        <w:tc>
          <w:tcPr>
            <w:tcW w:w="1925" w:type="dxa"/>
            <w:tcBorders>
              <w:top w:val="nil"/>
              <w:left w:val="nil"/>
              <w:bottom w:val="single" w:sz="8" w:space="0" w:color="auto"/>
              <w:right w:val="single" w:sz="8" w:space="0" w:color="auto"/>
            </w:tcBorders>
            <w:shd w:val="clear" w:color="auto" w:fill="FFFFFF"/>
          </w:tcPr>
          <w:p w14:paraId="213B1F75"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000059C9" w14:textId="743281F9"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9B8B3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Irregular chaotic / criss-cross</w:t>
            </w:r>
          </w:p>
        </w:tc>
        <w:tc>
          <w:tcPr>
            <w:tcW w:w="2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37B1EB"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8 (61.5)</w:t>
            </w:r>
          </w:p>
        </w:tc>
        <w:tc>
          <w:tcPr>
            <w:tcW w:w="21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B1330D"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25 (67.6)</w:t>
            </w:r>
          </w:p>
        </w:tc>
        <w:tc>
          <w:tcPr>
            <w:tcW w:w="1925" w:type="dxa"/>
            <w:tcBorders>
              <w:top w:val="nil"/>
              <w:left w:val="nil"/>
              <w:bottom w:val="single" w:sz="8" w:space="0" w:color="auto"/>
              <w:right w:val="single" w:sz="8" w:space="0" w:color="auto"/>
            </w:tcBorders>
            <w:shd w:val="clear" w:color="auto" w:fill="FFFFFF"/>
          </w:tcPr>
          <w:p w14:paraId="50B12FAF"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48E56C07" w14:textId="387F1ABA"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81224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PSV (Peak systolic velocity)</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7D0BCDD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72A167E0"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7F31165A"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68BCA4EF" w14:textId="19337129"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6E332B"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Normal</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32ADBE4E"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3 (23.1)</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6A8D5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5 (13.5)</w:t>
            </w:r>
          </w:p>
        </w:tc>
        <w:tc>
          <w:tcPr>
            <w:tcW w:w="1925" w:type="dxa"/>
            <w:tcBorders>
              <w:top w:val="nil"/>
              <w:left w:val="single" w:sz="4" w:space="0" w:color="auto"/>
              <w:bottom w:val="single" w:sz="8" w:space="0" w:color="auto"/>
              <w:right w:val="single" w:sz="8" w:space="0" w:color="auto"/>
            </w:tcBorders>
            <w:shd w:val="clear" w:color="auto" w:fill="FFFFFF"/>
          </w:tcPr>
          <w:p w14:paraId="6588EC1D" w14:textId="5BAEDD81"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0.328</w:t>
            </w:r>
          </w:p>
        </w:tc>
      </w:tr>
      <w:tr w:rsidR="00047551" w:rsidRPr="00047551" w14:paraId="644C8C38" w14:textId="50D6F38B"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10415D"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Increased</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2A84CC7"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8 (61.5)</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96266A"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30 (81.1)</w:t>
            </w:r>
          </w:p>
        </w:tc>
        <w:tc>
          <w:tcPr>
            <w:tcW w:w="1925" w:type="dxa"/>
            <w:tcBorders>
              <w:top w:val="nil"/>
              <w:left w:val="single" w:sz="4" w:space="0" w:color="auto"/>
              <w:bottom w:val="single" w:sz="8" w:space="0" w:color="auto"/>
              <w:right w:val="single" w:sz="8" w:space="0" w:color="auto"/>
            </w:tcBorders>
            <w:shd w:val="clear" w:color="auto" w:fill="FFFFFF"/>
          </w:tcPr>
          <w:p w14:paraId="614A019F"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43D01895" w14:textId="6F2D20B4"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AC26C5"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Decreased</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52583905"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(15.4)</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904C6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(5.4)</w:t>
            </w:r>
          </w:p>
        </w:tc>
        <w:tc>
          <w:tcPr>
            <w:tcW w:w="1925" w:type="dxa"/>
            <w:tcBorders>
              <w:top w:val="nil"/>
              <w:left w:val="single" w:sz="4" w:space="0" w:color="auto"/>
              <w:bottom w:val="single" w:sz="8" w:space="0" w:color="auto"/>
              <w:right w:val="single" w:sz="8" w:space="0" w:color="auto"/>
            </w:tcBorders>
            <w:shd w:val="clear" w:color="auto" w:fill="FFFFFF"/>
          </w:tcPr>
          <w:p w14:paraId="314C8178"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74F0E0C8" w14:textId="5F0F979B"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4BEE1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EDV (End diastolic velocity)</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78F89EC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55DEF870"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74380C4B"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0F41C83E" w14:textId="253C842C"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EC4F6B"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lastRenderedPageBreak/>
              <w:t>Normal</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FAF91F7"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(15.4)</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7F7F42"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8 (21.6)</w:t>
            </w:r>
          </w:p>
        </w:tc>
        <w:tc>
          <w:tcPr>
            <w:tcW w:w="1925" w:type="dxa"/>
            <w:tcBorders>
              <w:top w:val="nil"/>
              <w:left w:val="single" w:sz="4" w:space="0" w:color="auto"/>
              <w:bottom w:val="single" w:sz="8" w:space="0" w:color="auto"/>
              <w:right w:val="single" w:sz="8" w:space="0" w:color="auto"/>
            </w:tcBorders>
            <w:shd w:val="clear" w:color="auto" w:fill="FFFFFF"/>
          </w:tcPr>
          <w:p w14:paraId="1DA74741" w14:textId="078FA057"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0.496</w:t>
            </w:r>
          </w:p>
        </w:tc>
      </w:tr>
      <w:tr w:rsidR="00047551" w:rsidRPr="00047551" w14:paraId="331CFF4C" w14:textId="35655617"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ABAE04"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Increased</w:t>
            </w:r>
          </w:p>
        </w:tc>
        <w:tc>
          <w:tcPr>
            <w:tcW w:w="24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B1D5"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9 (69.2)</w:t>
            </w:r>
          </w:p>
        </w:tc>
        <w:tc>
          <w:tcPr>
            <w:tcW w:w="21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96252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27 (73.0)</w:t>
            </w:r>
          </w:p>
        </w:tc>
        <w:tc>
          <w:tcPr>
            <w:tcW w:w="1925" w:type="dxa"/>
            <w:tcBorders>
              <w:top w:val="nil"/>
              <w:left w:val="nil"/>
              <w:bottom w:val="single" w:sz="8" w:space="0" w:color="auto"/>
              <w:right w:val="single" w:sz="8" w:space="0" w:color="auto"/>
            </w:tcBorders>
            <w:shd w:val="clear" w:color="auto" w:fill="FFFFFF"/>
          </w:tcPr>
          <w:p w14:paraId="0BA48328"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601E221F" w14:textId="41483DFE"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7AD94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Decreased</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55ED79DD"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(15.4)</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68F8D1"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(5.4)</w:t>
            </w:r>
          </w:p>
        </w:tc>
        <w:tc>
          <w:tcPr>
            <w:tcW w:w="1925" w:type="dxa"/>
            <w:tcBorders>
              <w:top w:val="nil"/>
              <w:left w:val="single" w:sz="4" w:space="0" w:color="auto"/>
              <w:bottom w:val="single" w:sz="8" w:space="0" w:color="auto"/>
              <w:right w:val="single" w:sz="8" w:space="0" w:color="auto"/>
            </w:tcBorders>
            <w:shd w:val="clear" w:color="auto" w:fill="FFFFFF"/>
          </w:tcPr>
          <w:p w14:paraId="0B7F166A"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1D690363" w14:textId="258B8B85"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FE1F0"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RI (Resistivity Index)</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F5BBCD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 </w:t>
            </w:r>
          </w:p>
        </w:tc>
        <w:tc>
          <w:tcPr>
            <w:tcW w:w="2189" w:type="dxa"/>
            <w:tcBorders>
              <w:top w:val="nil"/>
              <w:left w:val="single" w:sz="4" w:space="0" w:color="auto"/>
              <w:bottom w:val="single" w:sz="8" w:space="0" w:color="auto"/>
              <w:right w:val="single" w:sz="8" w:space="0" w:color="auto"/>
            </w:tcBorders>
            <w:shd w:val="clear" w:color="auto" w:fill="FFFFFF"/>
          </w:tcPr>
          <w:p w14:paraId="5CD6C697" w14:textId="77777777" w:rsidR="00047551" w:rsidRPr="00047551" w:rsidRDefault="00047551" w:rsidP="00047551">
            <w:pPr>
              <w:spacing w:line="360" w:lineRule="auto"/>
              <w:rPr>
                <w:rFonts w:ascii="Times New Roman" w:hAnsi="Times New Roman" w:cs="Times New Roman"/>
                <w:sz w:val="24"/>
                <w:szCs w:val="24"/>
              </w:rPr>
            </w:pPr>
          </w:p>
        </w:tc>
        <w:tc>
          <w:tcPr>
            <w:tcW w:w="1925" w:type="dxa"/>
            <w:tcBorders>
              <w:top w:val="nil"/>
              <w:left w:val="single" w:sz="4" w:space="0" w:color="auto"/>
              <w:bottom w:val="single" w:sz="8" w:space="0" w:color="auto"/>
              <w:right w:val="single" w:sz="8" w:space="0" w:color="auto"/>
            </w:tcBorders>
            <w:shd w:val="clear" w:color="auto" w:fill="FFFFFF"/>
          </w:tcPr>
          <w:p w14:paraId="75742AD4" w14:textId="77777777" w:rsidR="00047551" w:rsidRPr="00047551" w:rsidRDefault="00047551" w:rsidP="00047551">
            <w:pPr>
              <w:spacing w:line="360" w:lineRule="auto"/>
              <w:rPr>
                <w:rFonts w:ascii="Times New Roman" w:hAnsi="Times New Roman" w:cs="Times New Roman"/>
                <w:sz w:val="24"/>
                <w:szCs w:val="24"/>
              </w:rPr>
            </w:pPr>
          </w:p>
        </w:tc>
      </w:tr>
      <w:tr w:rsidR="00047551" w:rsidRPr="00047551" w14:paraId="32D6EE03" w14:textId="049C0C18"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B3C108"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&lt;0.41</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B014877"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 (7.7)</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45E109"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2 (5.4)</w:t>
            </w:r>
          </w:p>
        </w:tc>
        <w:tc>
          <w:tcPr>
            <w:tcW w:w="1925" w:type="dxa"/>
            <w:tcBorders>
              <w:top w:val="nil"/>
              <w:left w:val="single" w:sz="4" w:space="0" w:color="auto"/>
              <w:bottom w:val="single" w:sz="8" w:space="0" w:color="auto"/>
              <w:right w:val="single" w:sz="8" w:space="0" w:color="auto"/>
            </w:tcBorders>
            <w:shd w:val="clear" w:color="auto" w:fill="FFFFFF"/>
          </w:tcPr>
          <w:p w14:paraId="7188989B" w14:textId="10E3F5F3" w:rsidR="00047551" w:rsidRPr="00047551" w:rsidRDefault="00047551" w:rsidP="00047551">
            <w:pPr>
              <w:spacing w:line="360" w:lineRule="auto"/>
              <w:rPr>
                <w:rFonts w:ascii="Times New Roman" w:hAnsi="Times New Roman" w:cs="Times New Roman"/>
                <w:sz w:val="24"/>
                <w:szCs w:val="24"/>
              </w:rPr>
            </w:pPr>
            <w:r w:rsidRPr="00047551">
              <w:rPr>
                <w:rFonts w:ascii="Times New Roman" w:hAnsi="Times New Roman" w:cs="Times New Roman"/>
                <w:sz w:val="24"/>
                <w:szCs w:val="24"/>
              </w:rPr>
              <w:t>0.765</w:t>
            </w:r>
          </w:p>
        </w:tc>
      </w:tr>
      <w:tr w:rsidR="00047551" w:rsidRPr="00047551" w14:paraId="1454EB19" w14:textId="205372BD" w:rsidTr="00047551">
        <w:tc>
          <w:tcPr>
            <w:tcW w:w="30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75B776"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≥0.41</w:t>
            </w:r>
          </w:p>
        </w:tc>
        <w:tc>
          <w:tcPr>
            <w:tcW w:w="2485" w:type="dxa"/>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110C29E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12 (92.3)</w:t>
            </w:r>
          </w:p>
        </w:tc>
        <w:tc>
          <w:tcPr>
            <w:tcW w:w="2189"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B1068C" w14:textId="77777777" w:rsidR="00047551" w:rsidRPr="007D285C" w:rsidRDefault="00047551" w:rsidP="00047551">
            <w:pPr>
              <w:spacing w:line="360" w:lineRule="auto"/>
              <w:rPr>
                <w:rFonts w:ascii="Times New Roman" w:hAnsi="Times New Roman" w:cs="Times New Roman"/>
                <w:sz w:val="24"/>
                <w:szCs w:val="24"/>
              </w:rPr>
            </w:pPr>
            <w:r w:rsidRPr="007D285C">
              <w:rPr>
                <w:rFonts w:ascii="Times New Roman" w:hAnsi="Times New Roman" w:cs="Times New Roman"/>
                <w:sz w:val="24"/>
                <w:szCs w:val="24"/>
              </w:rPr>
              <w:t>35 (94.6)</w:t>
            </w:r>
          </w:p>
        </w:tc>
        <w:tc>
          <w:tcPr>
            <w:tcW w:w="1925" w:type="dxa"/>
            <w:tcBorders>
              <w:top w:val="nil"/>
              <w:left w:val="single" w:sz="4" w:space="0" w:color="auto"/>
              <w:bottom w:val="single" w:sz="8" w:space="0" w:color="auto"/>
              <w:right w:val="single" w:sz="8" w:space="0" w:color="auto"/>
            </w:tcBorders>
            <w:shd w:val="clear" w:color="auto" w:fill="FFFFFF"/>
          </w:tcPr>
          <w:p w14:paraId="3C657D06" w14:textId="77777777" w:rsidR="00047551" w:rsidRPr="00047551" w:rsidRDefault="00047551" w:rsidP="00047551">
            <w:pPr>
              <w:spacing w:line="360" w:lineRule="auto"/>
              <w:rPr>
                <w:rFonts w:ascii="Times New Roman" w:hAnsi="Times New Roman" w:cs="Times New Roman"/>
                <w:sz w:val="24"/>
                <w:szCs w:val="24"/>
              </w:rPr>
            </w:pPr>
          </w:p>
        </w:tc>
      </w:tr>
    </w:tbl>
    <w:p w14:paraId="2CFCDED6" w14:textId="0D1D970E" w:rsidR="008176EB" w:rsidRDefault="007D285C" w:rsidP="00047551">
      <w:pPr>
        <w:spacing w:line="360" w:lineRule="auto"/>
        <w:rPr>
          <w:rFonts w:ascii="Times New Roman" w:hAnsi="Times New Roman" w:cs="Times New Roman"/>
          <w:sz w:val="24"/>
          <w:szCs w:val="24"/>
        </w:rPr>
      </w:pPr>
      <w:r w:rsidRPr="007D285C">
        <w:rPr>
          <w:rFonts w:ascii="Times New Roman" w:hAnsi="Times New Roman" w:cs="Times New Roman"/>
          <w:b/>
          <w:bCs/>
          <w:sz w:val="24"/>
          <w:szCs w:val="24"/>
        </w:rPr>
        <w:t> </w:t>
      </w:r>
    </w:p>
    <w:tbl>
      <w:tblPr>
        <w:tblStyle w:val="TableGrid"/>
        <w:tblW w:w="0" w:type="auto"/>
        <w:tblLook w:val="04A0" w:firstRow="1" w:lastRow="0" w:firstColumn="1" w:lastColumn="0" w:noHBand="0" w:noVBand="1"/>
      </w:tblPr>
      <w:tblGrid>
        <w:gridCol w:w="9630"/>
      </w:tblGrid>
      <w:tr w:rsidR="008176EB" w14:paraId="1E19BE60" w14:textId="77777777" w:rsidTr="008176EB">
        <w:tc>
          <w:tcPr>
            <w:tcW w:w="9630" w:type="dxa"/>
          </w:tcPr>
          <w:p w14:paraId="1A8C9416" w14:textId="0CA2F0C8" w:rsidR="008176EB" w:rsidRDefault="008176EB" w:rsidP="00047551">
            <w:pPr>
              <w:spacing w:line="360" w:lineRule="auto"/>
              <w:rPr>
                <w:rFonts w:ascii="Times New Roman" w:hAnsi="Times New Roman" w:cs="Times New Roman"/>
                <w:sz w:val="24"/>
                <w:szCs w:val="24"/>
              </w:rPr>
            </w:pPr>
            <w:r>
              <w:rPr>
                <w:noProof/>
              </w:rPr>
              <w:drawing>
                <wp:inline distT="0" distB="0" distL="0" distR="0" wp14:anchorId="61FBDD08" wp14:editId="5F847A97">
                  <wp:extent cx="6038850" cy="3581400"/>
                  <wp:effectExtent l="0" t="0" r="0" b="0"/>
                  <wp:docPr id="1679860463" name="Chart 1">
                    <a:extLst xmlns:a="http://schemas.openxmlformats.org/drawingml/2006/main">
                      <a:ext uri="{FF2B5EF4-FFF2-40B4-BE49-F238E27FC236}">
                        <a16:creationId xmlns:a16="http://schemas.microsoft.com/office/drawing/2014/main" id="{D610F766-44AD-759F-75CC-E3D9F9CCC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8176EB" w14:paraId="61327D87" w14:textId="77777777" w:rsidTr="008176EB">
        <w:tc>
          <w:tcPr>
            <w:tcW w:w="9630" w:type="dxa"/>
          </w:tcPr>
          <w:p w14:paraId="5CA92D0F" w14:textId="179860A0" w:rsidR="008176EB" w:rsidRPr="008176EB" w:rsidRDefault="008176EB" w:rsidP="00047551">
            <w:pPr>
              <w:spacing w:line="360" w:lineRule="auto"/>
              <w:rPr>
                <w:rFonts w:ascii="Times New Roman" w:hAnsi="Times New Roman" w:cs="Times New Roman"/>
                <w:b/>
                <w:bCs/>
                <w:sz w:val="24"/>
                <w:szCs w:val="24"/>
              </w:rPr>
            </w:pPr>
            <w:r w:rsidRPr="008176EB">
              <w:rPr>
                <w:rFonts w:ascii="Times New Roman" w:hAnsi="Times New Roman" w:cs="Times New Roman"/>
                <w:b/>
                <w:bCs/>
                <w:sz w:val="24"/>
                <w:szCs w:val="24"/>
              </w:rPr>
              <w:t xml:space="preserve">Figure 6: </w:t>
            </w:r>
            <w:r w:rsidRPr="007D285C">
              <w:rPr>
                <w:rFonts w:ascii="Times New Roman" w:hAnsi="Times New Roman" w:cs="Times New Roman"/>
                <w:b/>
                <w:bCs/>
                <w:sz w:val="24"/>
                <w:szCs w:val="24"/>
              </w:rPr>
              <w:t>Distribution of the study patients with testicular mass according to Color Doppler ultrasound (n=50)</w:t>
            </w:r>
          </w:p>
        </w:tc>
      </w:tr>
    </w:tbl>
    <w:p w14:paraId="6D8727BE" w14:textId="77777777" w:rsidR="008176EB" w:rsidRDefault="008176EB" w:rsidP="00047551">
      <w:pPr>
        <w:spacing w:line="360" w:lineRule="auto"/>
        <w:rPr>
          <w:rFonts w:ascii="Times New Roman" w:hAnsi="Times New Roman" w:cs="Times New Roman"/>
          <w:sz w:val="24"/>
          <w:szCs w:val="24"/>
        </w:rPr>
      </w:pPr>
    </w:p>
    <w:p w14:paraId="0CF2920B" w14:textId="77777777" w:rsidR="008176EB" w:rsidRDefault="008176EB" w:rsidP="008176EB">
      <w:pPr>
        <w:spacing w:after="0" w:line="360" w:lineRule="auto"/>
        <w:rPr>
          <w:rFonts w:ascii="Times New Roman" w:hAnsi="Times New Roman" w:cs="Times New Roman"/>
          <w:sz w:val="24"/>
          <w:szCs w:val="24"/>
        </w:rPr>
      </w:pPr>
    </w:p>
    <w:p w14:paraId="50D97587" w14:textId="77777777" w:rsidR="008176EB" w:rsidRPr="00047551" w:rsidRDefault="008176EB" w:rsidP="008176EB">
      <w:pPr>
        <w:spacing w:after="0" w:line="360" w:lineRule="auto"/>
        <w:rPr>
          <w:rFonts w:ascii="Times New Roman" w:hAnsi="Times New Roman" w:cs="Times New Roman"/>
          <w:sz w:val="24"/>
          <w:szCs w:val="24"/>
        </w:rPr>
      </w:pPr>
      <w:r w:rsidRPr="00047551">
        <w:rPr>
          <w:rFonts w:ascii="Times New Roman" w:hAnsi="Times New Roman" w:cs="Times New Roman"/>
          <w:sz w:val="24"/>
          <w:szCs w:val="24"/>
        </w:rPr>
        <w:t xml:space="preserve">Table </w:t>
      </w:r>
      <w:r>
        <w:rPr>
          <w:rFonts w:ascii="Times New Roman" w:hAnsi="Times New Roman" w:cs="Times New Roman"/>
          <w:sz w:val="24"/>
          <w:szCs w:val="24"/>
        </w:rPr>
        <w:t xml:space="preserve">9 </w:t>
      </w:r>
      <w:r w:rsidRPr="00047551">
        <w:rPr>
          <w:rFonts w:ascii="Times New Roman" w:hAnsi="Times New Roman" w:cs="Times New Roman"/>
          <w:sz w:val="24"/>
          <w:szCs w:val="24"/>
        </w:rPr>
        <w:t>presents the distribution of study patients with testicular mass based on their Color Doppler ultrasound (CDUS) findings, categorized by histopathological diagnosis as benign or malignant. The data involves 50 patients.</w:t>
      </w:r>
      <w:r>
        <w:rPr>
          <w:rFonts w:ascii="Times New Roman" w:hAnsi="Times New Roman" w:cs="Times New Roman"/>
          <w:sz w:val="24"/>
          <w:szCs w:val="24"/>
        </w:rPr>
        <w:t xml:space="preserve"> </w:t>
      </w:r>
      <w:r w:rsidRPr="00047551">
        <w:rPr>
          <w:rFonts w:ascii="Times New Roman" w:hAnsi="Times New Roman" w:cs="Times New Roman"/>
          <w:sz w:val="24"/>
          <w:szCs w:val="24"/>
        </w:rPr>
        <w:t xml:space="preserve">The lesion type is categorized into focal and diffuse types. A larger proportion of benign lesions (84.6%) were focal, compared to malignant lesions (59.5%). However, this difference was not statistically significant (P=0.173). For lesion size, the majority of both </w:t>
      </w:r>
      <w:r w:rsidRPr="00047551">
        <w:rPr>
          <w:rFonts w:ascii="Times New Roman" w:hAnsi="Times New Roman" w:cs="Times New Roman"/>
          <w:sz w:val="24"/>
          <w:szCs w:val="24"/>
        </w:rPr>
        <w:lastRenderedPageBreak/>
        <w:t>benign (74%) and malignant (26%) cases had lesions larger than 1.5 cm, but the P-value for this category is not applicable.</w:t>
      </w:r>
    </w:p>
    <w:p w14:paraId="417EAB76" w14:textId="77777777" w:rsidR="008176EB" w:rsidRPr="00047551" w:rsidRDefault="008176EB" w:rsidP="008176EB">
      <w:pPr>
        <w:spacing w:after="0" w:line="360" w:lineRule="auto"/>
        <w:rPr>
          <w:rFonts w:ascii="Times New Roman" w:hAnsi="Times New Roman" w:cs="Times New Roman"/>
          <w:sz w:val="24"/>
          <w:szCs w:val="24"/>
        </w:rPr>
      </w:pPr>
      <w:r w:rsidRPr="00047551">
        <w:rPr>
          <w:rFonts w:ascii="Times New Roman" w:hAnsi="Times New Roman" w:cs="Times New Roman"/>
          <w:sz w:val="24"/>
          <w:szCs w:val="24"/>
        </w:rPr>
        <w:t>Echogenicity, which refers to the appearance of the lesion on ultrasound, shows that 84.6% of benign lesions had mixed echogenicity, while 67.6% of malignant lesions displayed this feature. This was not statistically significant (P=0.303). When considering the margin of the lesion, 46.2% of benign lesions had well-defined margins, compared to only 10.8% of malignant lesions, with a significant difference (P=0.012).</w:t>
      </w:r>
    </w:p>
    <w:p w14:paraId="3384AB87" w14:textId="77777777" w:rsidR="008176EB" w:rsidRPr="00047551" w:rsidRDefault="008176EB" w:rsidP="008176EB">
      <w:pPr>
        <w:spacing w:after="0" w:line="360" w:lineRule="auto"/>
        <w:rPr>
          <w:rFonts w:ascii="Times New Roman" w:hAnsi="Times New Roman" w:cs="Times New Roman"/>
          <w:sz w:val="24"/>
          <w:szCs w:val="24"/>
        </w:rPr>
      </w:pPr>
      <w:r w:rsidRPr="00047551">
        <w:rPr>
          <w:rFonts w:ascii="Times New Roman" w:hAnsi="Times New Roman" w:cs="Times New Roman"/>
          <w:sz w:val="24"/>
          <w:szCs w:val="24"/>
        </w:rPr>
        <w:t>Regarding CDUS findings of testicular lesions, the vascularity grades show a significant difference (P=0.007). Grade 1 vascularity was found in 30.8% of benign cases and only 2.7% of malignant cases, while Grade 3 vascularity, more indicative of malignancy, was present in 32.4% of malignant cases compared to 7.7% of benign cases. The pattern of vascularity also differed, with a significant difference (P=0.049). Regular branching linear vascularity was seen in 15.4% of benign lesions, but none of the malignant lesions exhibited this pattern.</w:t>
      </w:r>
    </w:p>
    <w:p w14:paraId="03B535D6" w14:textId="77777777" w:rsidR="008176EB" w:rsidRPr="00047551" w:rsidRDefault="008176EB" w:rsidP="008176EB">
      <w:pPr>
        <w:spacing w:after="0" w:line="360" w:lineRule="auto"/>
        <w:rPr>
          <w:rFonts w:ascii="Times New Roman" w:hAnsi="Times New Roman" w:cs="Times New Roman"/>
          <w:sz w:val="24"/>
          <w:szCs w:val="24"/>
        </w:rPr>
      </w:pPr>
      <w:r w:rsidRPr="00047551">
        <w:rPr>
          <w:rFonts w:ascii="Times New Roman" w:hAnsi="Times New Roman" w:cs="Times New Roman"/>
          <w:sz w:val="24"/>
          <w:szCs w:val="24"/>
        </w:rPr>
        <w:t>In terms of Peak Systolic Velocity (PSV), 81.1% of malignant lesions showed increased PSV, compared to 61.5% of benign lesions, though this difference was not statistically significant (P=0.328). Similarly, End Diastolic Velocity (EDV) showed that 73% of malignant lesions had increased EDV, while 69.2% of benign lesions did. This also was not significant (P=0.496).</w:t>
      </w:r>
    </w:p>
    <w:p w14:paraId="59DEF369" w14:textId="77777777" w:rsidR="008176EB" w:rsidRPr="00047551" w:rsidRDefault="008176EB" w:rsidP="008176EB">
      <w:pPr>
        <w:spacing w:after="0" w:line="360" w:lineRule="auto"/>
        <w:rPr>
          <w:rFonts w:ascii="Times New Roman" w:hAnsi="Times New Roman" w:cs="Times New Roman"/>
          <w:sz w:val="24"/>
          <w:szCs w:val="24"/>
        </w:rPr>
      </w:pPr>
      <w:r w:rsidRPr="00047551">
        <w:rPr>
          <w:rFonts w:ascii="Times New Roman" w:hAnsi="Times New Roman" w:cs="Times New Roman"/>
          <w:sz w:val="24"/>
          <w:szCs w:val="24"/>
        </w:rPr>
        <w:t>Finally, the Resistivity Index (RI) did not show a significant difference, with most lesions, whether benign or malignant, having an RI of ≥0.41 (92.3% benign, 94.6% malignant), and the P-value was 0.765.</w:t>
      </w:r>
    </w:p>
    <w:p w14:paraId="5207B689" w14:textId="77777777" w:rsidR="008176EB" w:rsidRDefault="008176EB" w:rsidP="0004755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7C7A12" w14:paraId="300834E4" w14:textId="77777777" w:rsidTr="007C7A12">
        <w:tc>
          <w:tcPr>
            <w:tcW w:w="9630" w:type="dxa"/>
          </w:tcPr>
          <w:p w14:paraId="258D126A" w14:textId="16AE3805" w:rsidR="007C7A12" w:rsidRDefault="007C7A12" w:rsidP="00EB27F3">
            <w:pPr>
              <w:spacing w:line="360" w:lineRule="auto"/>
              <w:rPr>
                <w:rFonts w:ascii="Times New Roman" w:hAnsi="Times New Roman" w:cs="Times New Roman"/>
                <w:sz w:val="24"/>
                <w:szCs w:val="24"/>
              </w:rPr>
            </w:pPr>
            <w:r>
              <w:rPr>
                <w:noProof/>
              </w:rPr>
              <w:lastRenderedPageBreak/>
              <w:drawing>
                <wp:inline distT="0" distB="0" distL="0" distR="0" wp14:anchorId="34A7CE4A" wp14:editId="2D2A0381">
                  <wp:extent cx="6003985" cy="3640347"/>
                  <wp:effectExtent l="0" t="0" r="15875" b="17780"/>
                  <wp:docPr id="748904595" name="Chart 1">
                    <a:extLst xmlns:a="http://schemas.openxmlformats.org/drawingml/2006/main">
                      <a:ext uri="{FF2B5EF4-FFF2-40B4-BE49-F238E27FC236}">
                        <a16:creationId xmlns:a16="http://schemas.microsoft.com/office/drawing/2014/main" id="{32C98DB4-2369-4EAA-417E-98F6999E8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C7A12" w14:paraId="03941D3B" w14:textId="77777777" w:rsidTr="007C7A12">
        <w:tc>
          <w:tcPr>
            <w:tcW w:w="9630" w:type="dxa"/>
          </w:tcPr>
          <w:p w14:paraId="45E1D423" w14:textId="11D19116" w:rsidR="007C7A12" w:rsidRPr="0075748F" w:rsidRDefault="00645DC3" w:rsidP="00EB27F3">
            <w:pPr>
              <w:spacing w:line="360" w:lineRule="auto"/>
              <w:rPr>
                <w:rFonts w:ascii="Times New Roman" w:hAnsi="Times New Roman" w:cs="Times New Roman"/>
                <w:b/>
                <w:bCs/>
                <w:sz w:val="24"/>
                <w:szCs w:val="24"/>
              </w:rPr>
            </w:pPr>
            <w:r w:rsidRPr="0075748F">
              <w:rPr>
                <w:rFonts w:ascii="Times New Roman" w:hAnsi="Times New Roman" w:cs="Times New Roman"/>
                <w:b/>
                <w:bCs/>
                <w:sz w:val="24"/>
                <w:szCs w:val="24"/>
              </w:rPr>
              <w:t xml:space="preserve">Figure </w:t>
            </w:r>
            <w:r w:rsidR="008176EB">
              <w:rPr>
                <w:rFonts w:ascii="Times New Roman" w:hAnsi="Times New Roman" w:cs="Times New Roman"/>
                <w:b/>
                <w:bCs/>
                <w:sz w:val="24"/>
                <w:szCs w:val="24"/>
              </w:rPr>
              <w:t>7</w:t>
            </w:r>
            <w:r w:rsidRPr="0075748F">
              <w:rPr>
                <w:rFonts w:ascii="Times New Roman" w:hAnsi="Times New Roman" w:cs="Times New Roman"/>
                <w:b/>
                <w:bCs/>
                <w:sz w:val="24"/>
                <w:szCs w:val="24"/>
              </w:rPr>
              <w:t>: Bar diagram showing histopathological findings of parotid tumor (n=50)</w:t>
            </w:r>
          </w:p>
        </w:tc>
      </w:tr>
    </w:tbl>
    <w:p w14:paraId="78C28103" w14:textId="77777777" w:rsidR="007C7A12" w:rsidRDefault="007C7A12" w:rsidP="00EB27F3">
      <w:pPr>
        <w:spacing w:after="0" w:line="360" w:lineRule="auto"/>
        <w:rPr>
          <w:rFonts w:ascii="Times New Roman" w:hAnsi="Times New Roman" w:cs="Times New Roman"/>
          <w:sz w:val="24"/>
          <w:szCs w:val="24"/>
        </w:rPr>
      </w:pPr>
    </w:p>
    <w:p w14:paraId="3D42A399" w14:textId="1200B815" w:rsidR="00645DC3" w:rsidRDefault="00645DC3" w:rsidP="00EB27F3">
      <w:pPr>
        <w:spacing w:after="0" w:line="360" w:lineRule="auto"/>
        <w:rPr>
          <w:rFonts w:ascii="Times New Roman" w:hAnsi="Times New Roman" w:cs="Times New Roman"/>
          <w:sz w:val="24"/>
          <w:szCs w:val="24"/>
        </w:rPr>
      </w:pPr>
      <w:r w:rsidRPr="00645DC3">
        <w:rPr>
          <w:rFonts w:ascii="Times New Roman" w:hAnsi="Times New Roman" w:cs="Times New Roman"/>
          <w:sz w:val="24"/>
          <w:szCs w:val="24"/>
        </w:rPr>
        <w:t xml:space="preserve">The </w:t>
      </w:r>
      <w:r>
        <w:rPr>
          <w:rFonts w:ascii="Times New Roman" w:hAnsi="Times New Roman" w:cs="Times New Roman"/>
          <w:sz w:val="24"/>
          <w:szCs w:val="24"/>
        </w:rPr>
        <w:t xml:space="preserve">figure </w:t>
      </w:r>
      <w:r w:rsidR="008176EB">
        <w:rPr>
          <w:rFonts w:ascii="Times New Roman" w:hAnsi="Times New Roman" w:cs="Times New Roman"/>
          <w:sz w:val="24"/>
          <w:szCs w:val="24"/>
        </w:rPr>
        <w:t>7</w:t>
      </w:r>
      <w:r w:rsidRPr="00645DC3">
        <w:rPr>
          <w:rFonts w:ascii="Times New Roman" w:hAnsi="Times New Roman" w:cs="Times New Roman"/>
          <w:sz w:val="24"/>
          <w:szCs w:val="24"/>
        </w:rPr>
        <w:t xml:space="preserve"> presents the percentage distribution of various testicular and related conditions among the study population. Germ cell tumors (GCTs) are the most frequently observed, with GCT-seminoma accounting for 36.0%, making it the predominant diagnosis. This is followed by Mixed GCT and Non-Hodgkin’s Lymphoma (NHL), each comprising 12.0% of cases, indicating their significant presence. Abscesses are noted in 8.0% of cases, suggesting a notable incidence of infections in the cohort. Other germ cell tumors, such as GCT-yolk sac tumor and Mature teratoma, each represent 6.0%, reflecting a moderate prevalence. Less commonly observed conditions include Immature teratoma, NSGCT-embryonal carcinoma, Sex cord stromal tumor, and TB orchitis, each contributing 4.0% to the total. Rare conditions like Acute epididymo-orchitis and Testicular torsion account for only 2.0% of cases each. This distribution highlights the diverse spectrum of testicular pathologies in the study, with seminoma being the most common diagnosis and several other conditions occurring with varying frequencies.</w:t>
      </w:r>
    </w:p>
    <w:p w14:paraId="4B95D101" w14:textId="77777777" w:rsidR="00047551" w:rsidRDefault="00047551" w:rsidP="00EB27F3">
      <w:pPr>
        <w:spacing w:after="0" w:line="360" w:lineRule="auto"/>
        <w:rPr>
          <w:rFonts w:ascii="Times New Roman" w:hAnsi="Times New Roman" w:cs="Times New Roman"/>
          <w:b/>
          <w:bCs/>
          <w:sz w:val="24"/>
          <w:szCs w:val="24"/>
        </w:rPr>
      </w:pPr>
    </w:p>
    <w:p w14:paraId="74AEBC34" w14:textId="0025F788" w:rsidR="00EF5ED0" w:rsidRPr="00EB27F3" w:rsidRDefault="00194AAF"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10</w:t>
      </w:r>
      <w:r w:rsidRPr="00EB27F3">
        <w:rPr>
          <w:rFonts w:ascii="Times New Roman" w:hAnsi="Times New Roman" w:cs="Times New Roman"/>
          <w:b/>
          <w:bCs/>
          <w:sz w:val="24"/>
          <w:szCs w:val="24"/>
        </w:rPr>
        <w:t>: Comparison of Color Doppler ultrasonogram diagnosis with histopathological diagnosis (n=50)</w:t>
      </w:r>
    </w:p>
    <w:tbl>
      <w:tblPr>
        <w:tblStyle w:val="TableGrid"/>
        <w:tblW w:w="5123" w:type="pct"/>
        <w:tblLook w:val="04A0" w:firstRow="1" w:lastRow="0" w:firstColumn="1" w:lastColumn="0" w:noHBand="0" w:noVBand="1"/>
      </w:tblPr>
      <w:tblGrid>
        <w:gridCol w:w="2605"/>
        <w:gridCol w:w="2660"/>
        <w:gridCol w:w="2406"/>
        <w:gridCol w:w="2196"/>
      </w:tblGrid>
      <w:tr w:rsidR="000635FE" w:rsidRPr="00EB27F3" w14:paraId="02AEE1C0" w14:textId="77777777" w:rsidTr="006A1638">
        <w:tc>
          <w:tcPr>
            <w:tcW w:w="1320" w:type="pct"/>
            <w:vMerge w:val="restart"/>
          </w:tcPr>
          <w:p w14:paraId="4DB8A879" w14:textId="3876F069" w:rsidR="000635FE" w:rsidRPr="00EB27F3" w:rsidRDefault="000635F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Diagnosis by Color Doppler ultrasonogram</w:t>
            </w:r>
          </w:p>
        </w:tc>
        <w:tc>
          <w:tcPr>
            <w:tcW w:w="2567" w:type="pct"/>
            <w:gridSpan w:val="2"/>
          </w:tcPr>
          <w:p w14:paraId="4023FBC7"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Histopathological diagnosis</w:t>
            </w:r>
          </w:p>
        </w:tc>
        <w:tc>
          <w:tcPr>
            <w:tcW w:w="1113" w:type="pct"/>
            <w:vMerge w:val="restart"/>
          </w:tcPr>
          <w:p w14:paraId="3F7EE89F" w14:textId="6365C218"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P-value</w:t>
            </w:r>
          </w:p>
        </w:tc>
      </w:tr>
      <w:tr w:rsidR="000635FE" w:rsidRPr="00EB27F3" w14:paraId="74AC65B3" w14:textId="77777777" w:rsidTr="006A1638">
        <w:tc>
          <w:tcPr>
            <w:tcW w:w="1320" w:type="pct"/>
            <w:vMerge/>
          </w:tcPr>
          <w:p w14:paraId="0A1728E4" w14:textId="385538F5" w:rsidR="000635FE" w:rsidRPr="00EB27F3" w:rsidRDefault="000635FE" w:rsidP="00EB27F3">
            <w:pPr>
              <w:spacing w:line="360" w:lineRule="auto"/>
              <w:rPr>
                <w:rFonts w:ascii="Times New Roman" w:hAnsi="Times New Roman" w:cs="Times New Roman"/>
                <w:sz w:val="24"/>
                <w:szCs w:val="24"/>
              </w:rPr>
            </w:pPr>
          </w:p>
        </w:tc>
        <w:tc>
          <w:tcPr>
            <w:tcW w:w="1348" w:type="pct"/>
          </w:tcPr>
          <w:p w14:paraId="3FD05E56"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Malignant</w:t>
            </w:r>
          </w:p>
          <w:p w14:paraId="4F6768DE" w14:textId="37BFD7B1"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1219" w:type="pct"/>
          </w:tcPr>
          <w:p w14:paraId="55C281F5"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Benign</w:t>
            </w:r>
          </w:p>
          <w:p w14:paraId="1D2A459E" w14:textId="220079FC"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1113" w:type="pct"/>
            <w:vMerge/>
          </w:tcPr>
          <w:p w14:paraId="79BD77DE" w14:textId="4C18453F" w:rsidR="000635FE" w:rsidRPr="00EB27F3" w:rsidRDefault="000635FE" w:rsidP="00EB27F3">
            <w:pPr>
              <w:spacing w:line="360" w:lineRule="auto"/>
              <w:jc w:val="center"/>
              <w:rPr>
                <w:rFonts w:ascii="Times New Roman" w:hAnsi="Times New Roman" w:cs="Times New Roman"/>
                <w:b/>
                <w:bCs/>
                <w:sz w:val="24"/>
                <w:szCs w:val="24"/>
              </w:rPr>
            </w:pPr>
          </w:p>
        </w:tc>
      </w:tr>
      <w:tr w:rsidR="006A1638" w:rsidRPr="00EB27F3" w14:paraId="3E256DBB" w14:textId="77777777" w:rsidTr="006A1638">
        <w:tc>
          <w:tcPr>
            <w:tcW w:w="1320" w:type="pct"/>
          </w:tcPr>
          <w:p w14:paraId="7BB03E9E" w14:textId="1358F087" w:rsidR="006A1638" w:rsidRPr="00EB27F3" w:rsidRDefault="006A1638"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 n (%)</w:t>
            </w:r>
          </w:p>
        </w:tc>
        <w:tc>
          <w:tcPr>
            <w:tcW w:w="1348" w:type="pct"/>
          </w:tcPr>
          <w:p w14:paraId="281CF43A"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 (83.8)</w:t>
            </w:r>
          </w:p>
          <w:p w14:paraId="335F242B" w14:textId="27C75F97"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(True Positive = TP)</w:t>
            </w:r>
          </w:p>
        </w:tc>
        <w:tc>
          <w:tcPr>
            <w:tcW w:w="1219" w:type="pct"/>
          </w:tcPr>
          <w:p w14:paraId="250615B2"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(61.5)</w:t>
            </w:r>
          </w:p>
          <w:p w14:paraId="63FB4755" w14:textId="61CC9820"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(False Positive = TP)</w:t>
            </w:r>
          </w:p>
        </w:tc>
        <w:tc>
          <w:tcPr>
            <w:tcW w:w="1113" w:type="pct"/>
            <w:vMerge w:val="restart"/>
          </w:tcPr>
          <w:p w14:paraId="39EC6D2F" w14:textId="17520038" w:rsidR="006A1638" w:rsidRPr="00EB27F3"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0.096</w:t>
            </w:r>
          </w:p>
        </w:tc>
      </w:tr>
      <w:tr w:rsidR="006A1638" w:rsidRPr="00EB27F3" w14:paraId="52F7B67F" w14:textId="77777777" w:rsidTr="006A1638">
        <w:tc>
          <w:tcPr>
            <w:tcW w:w="1320" w:type="pct"/>
          </w:tcPr>
          <w:p w14:paraId="25D59DAD" w14:textId="64A8BDA2" w:rsidR="006A1638" w:rsidRPr="00EB27F3" w:rsidRDefault="006A1638"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 n (%)</w:t>
            </w:r>
          </w:p>
        </w:tc>
        <w:tc>
          <w:tcPr>
            <w:tcW w:w="1348" w:type="pct"/>
          </w:tcPr>
          <w:p w14:paraId="0463FA6C"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(16.2)</w:t>
            </w:r>
          </w:p>
          <w:p w14:paraId="0F0EB0D2" w14:textId="2484B570"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(False Negative = FN)</w:t>
            </w:r>
          </w:p>
        </w:tc>
        <w:tc>
          <w:tcPr>
            <w:tcW w:w="1219" w:type="pct"/>
          </w:tcPr>
          <w:p w14:paraId="65EC59DD"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 (38.5)</w:t>
            </w:r>
          </w:p>
          <w:p w14:paraId="41A219E4" w14:textId="2371AE77"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(True Negative = FN)</w:t>
            </w:r>
          </w:p>
        </w:tc>
        <w:tc>
          <w:tcPr>
            <w:tcW w:w="1113" w:type="pct"/>
            <w:vMerge/>
          </w:tcPr>
          <w:p w14:paraId="02C8231D" w14:textId="45943035" w:rsidR="006A1638" w:rsidRPr="00EB27F3" w:rsidRDefault="006A1638" w:rsidP="00EB27F3">
            <w:pPr>
              <w:spacing w:line="360" w:lineRule="auto"/>
              <w:rPr>
                <w:rFonts w:ascii="Times New Roman" w:hAnsi="Times New Roman" w:cs="Times New Roman"/>
                <w:sz w:val="24"/>
                <w:szCs w:val="24"/>
              </w:rPr>
            </w:pPr>
          </w:p>
        </w:tc>
      </w:tr>
      <w:tr w:rsidR="006A1638" w:rsidRPr="00EB27F3" w14:paraId="0BE2C7FF" w14:textId="77777777" w:rsidTr="006A1638">
        <w:tc>
          <w:tcPr>
            <w:tcW w:w="1320" w:type="pct"/>
          </w:tcPr>
          <w:p w14:paraId="06478F8B" w14:textId="167AD469" w:rsidR="006A1638" w:rsidRPr="00EB27F3" w:rsidRDefault="006A1638"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348" w:type="pct"/>
          </w:tcPr>
          <w:p w14:paraId="025A8936" w14:textId="48C4EAC6"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37 (100.0)</w:t>
            </w:r>
          </w:p>
        </w:tc>
        <w:tc>
          <w:tcPr>
            <w:tcW w:w="1219" w:type="pct"/>
          </w:tcPr>
          <w:p w14:paraId="664E9B8E" w14:textId="36C69150"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13 (100.0)</w:t>
            </w:r>
          </w:p>
        </w:tc>
        <w:tc>
          <w:tcPr>
            <w:tcW w:w="1113" w:type="pct"/>
          </w:tcPr>
          <w:p w14:paraId="70B2869A" w14:textId="77777777" w:rsidR="006A1638" w:rsidRPr="00EB27F3" w:rsidRDefault="006A1638" w:rsidP="00EB27F3">
            <w:pPr>
              <w:spacing w:line="360" w:lineRule="auto"/>
              <w:rPr>
                <w:rFonts w:ascii="Times New Roman" w:hAnsi="Times New Roman" w:cs="Times New Roman"/>
                <w:sz w:val="24"/>
                <w:szCs w:val="24"/>
              </w:rPr>
            </w:pPr>
          </w:p>
        </w:tc>
      </w:tr>
    </w:tbl>
    <w:p w14:paraId="74FE823F" w14:textId="71E91EDD" w:rsidR="00105A8C" w:rsidRDefault="00105A8C" w:rsidP="00EB27F3">
      <w:pPr>
        <w:spacing w:after="0" w:line="360" w:lineRule="auto"/>
        <w:rPr>
          <w:rFonts w:ascii="Times New Roman" w:hAnsi="Times New Roman" w:cs="Times New Roman"/>
          <w:sz w:val="24"/>
          <w:szCs w:val="24"/>
        </w:rPr>
      </w:pPr>
    </w:p>
    <w:p w14:paraId="2493E14F" w14:textId="77777777" w:rsidR="006A1638" w:rsidRPr="00EB27F3" w:rsidRDefault="006A1638" w:rsidP="00EB27F3">
      <w:pPr>
        <w:spacing w:after="0" w:line="360" w:lineRule="auto"/>
        <w:rPr>
          <w:rFonts w:ascii="Times New Roman" w:hAnsi="Times New Roman" w:cs="Times New Roman"/>
          <w:sz w:val="24"/>
          <w:szCs w:val="24"/>
        </w:rPr>
      </w:pPr>
    </w:p>
    <w:p w14:paraId="162F8F2D" w14:textId="0A782A7A" w:rsidR="002332BB" w:rsidRPr="00EB27F3" w:rsidRDefault="002332BB"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10 compares the diagnostic accuracy of Color Doppler Ultrasonography (CDUS) against histopathological findings for parotid tumors in the study population (n=50). Among patients histopathologically diagnosed with malignant tumors, CDUS identified malignancy in 83.8% of cases. Conversely, among patients with benign tumors confirmed histopathologically, CDUS correctly identified malignancy in 61.5% of cases. For benign diagnoses, CDUS misclassified 16.2% of malignant cases as benign, while 38.5% of benign cases were also categorized as benign using CDUS. Although there was a noticeable trend in CDUS aligning with histopathological findings, the association between the two diagnostic methods was not statistically significant ( </w:t>
      </w:r>
      <w:r w:rsidRPr="00EB27F3">
        <w:rPr>
          <w:rFonts w:ascii="Cambria Math" w:hAnsi="Cambria Math" w:cs="Cambria Math"/>
          <w:sz w:val="24"/>
          <w:szCs w:val="24"/>
        </w:rPr>
        <w:t>𝑝</w:t>
      </w:r>
      <w:r w:rsidRPr="00EB27F3">
        <w:rPr>
          <w:rFonts w:ascii="Times New Roman" w:hAnsi="Times New Roman" w:cs="Times New Roman"/>
          <w:sz w:val="24"/>
          <w:szCs w:val="24"/>
        </w:rPr>
        <w:t xml:space="preserve"> = 0.096 p=0.096). These results indicate that while CDUS shows potential as a diagnostic tool for differentiating benign and malignant parotid tumors, its accuracy warrants further validation to enhance diagnostic reliability.</w:t>
      </w:r>
    </w:p>
    <w:p w14:paraId="497DCAAE" w14:textId="77777777" w:rsidR="005173A3" w:rsidRPr="00EB27F3" w:rsidRDefault="005173A3" w:rsidP="00EB27F3">
      <w:pPr>
        <w:spacing w:after="0" w:line="360" w:lineRule="auto"/>
        <w:rPr>
          <w:rFonts w:ascii="Times New Roman" w:hAnsi="Times New Roman" w:cs="Times New Roman"/>
          <w:sz w:val="24"/>
          <w:szCs w:val="24"/>
        </w:rPr>
      </w:pPr>
    </w:p>
    <w:p w14:paraId="0E10F59F" w14:textId="3F023D7F" w:rsidR="00A204D9" w:rsidRPr="00EB27F3" w:rsidRDefault="00704CB6"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11</w:t>
      </w:r>
      <w:r w:rsidRPr="00EB27F3">
        <w:rPr>
          <w:rFonts w:ascii="Times New Roman" w:hAnsi="Times New Roman" w:cs="Times New Roman"/>
          <w:b/>
          <w:bCs/>
          <w:sz w:val="24"/>
          <w:szCs w:val="24"/>
        </w:rPr>
        <w:t>: Sensitivity, specificity, accuracy, positive and negative predictive values of the Color Doppler ultrasonogram in evaluation of benign and malignant parotid tumors (n=50).</w:t>
      </w:r>
    </w:p>
    <w:tbl>
      <w:tblPr>
        <w:tblStyle w:val="TableGrid"/>
        <w:tblW w:w="5000" w:type="pct"/>
        <w:tblLook w:val="04A0" w:firstRow="1" w:lastRow="0" w:firstColumn="1" w:lastColumn="0" w:noHBand="0" w:noVBand="1"/>
      </w:tblPr>
      <w:tblGrid>
        <w:gridCol w:w="4815"/>
        <w:gridCol w:w="4815"/>
      </w:tblGrid>
      <w:tr w:rsidR="008176EB" w:rsidRPr="00EB27F3" w14:paraId="5B554B68" w14:textId="77777777" w:rsidTr="008176EB">
        <w:tc>
          <w:tcPr>
            <w:tcW w:w="2500" w:type="pct"/>
          </w:tcPr>
          <w:p w14:paraId="6CA68CEA" w14:textId="62555A28" w:rsidR="008176EB" w:rsidRPr="00EB27F3" w:rsidRDefault="008176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Validity test</w:t>
            </w:r>
          </w:p>
        </w:tc>
        <w:tc>
          <w:tcPr>
            <w:tcW w:w="2500" w:type="pct"/>
          </w:tcPr>
          <w:p w14:paraId="4C78CE30" w14:textId="188F9DCD" w:rsidR="008176EB" w:rsidRPr="00EB27F3" w:rsidRDefault="008176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r>
      <w:tr w:rsidR="008176EB" w:rsidRPr="00EB27F3" w14:paraId="66495538" w14:textId="77777777" w:rsidTr="008176EB">
        <w:tc>
          <w:tcPr>
            <w:tcW w:w="2500" w:type="pct"/>
          </w:tcPr>
          <w:p w14:paraId="723AC399" w14:textId="6F772B59"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Sensitivity</w:t>
            </w:r>
          </w:p>
        </w:tc>
        <w:tc>
          <w:tcPr>
            <w:tcW w:w="2500" w:type="pct"/>
          </w:tcPr>
          <w:p w14:paraId="536EB739" w14:textId="1BF27F74"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r>
      <w:tr w:rsidR="008176EB" w:rsidRPr="00EB27F3" w14:paraId="451539CE" w14:textId="77777777" w:rsidTr="008176EB">
        <w:tc>
          <w:tcPr>
            <w:tcW w:w="2500" w:type="pct"/>
          </w:tcPr>
          <w:p w14:paraId="26573A9C" w14:textId="568DE39D"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Specificity</w:t>
            </w:r>
          </w:p>
        </w:tc>
        <w:tc>
          <w:tcPr>
            <w:tcW w:w="2500" w:type="pct"/>
          </w:tcPr>
          <w:p w14:paraId="7B703069" w14:textId="16D36FC5"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38.5</w:t>
            </w:r>
          </w:p>
        </w:tc>
      </w:tr>
      <w:tr w:rsidR="008176EB" w:rsidRPr="00EB27F3" w14:paraId="573F4E7C" w14:textId="77777777" w:rsidTr="008176EB">
        <w:tc>
          <w:tcPr>
            <w:tcW w:w="2500" w:type="pct"/>
          </w:tcPr>
          <w:p w14:paraId="5A5775FE" w14:textId="67B2A3CB"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Accuracy</w:t>
            </w:r>
          </w:p>
        </w:tc>
        <w:tc>
          <w:tcPr>
            <w:tcW w:w="2500" w:type="pct"/>
          </w:tcPr>
          <w:p w14:paraId="6856692A" w14:textId="3847A03F"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8176EB" w:rsidRPr="00EB27F3" w14:paraId="55408A10" w14:textId="77777777" w:rsidTr="008176EB">
        <w:tc>
          <w:tcPr>
            <w:tcW w:w="2500" w:type="pct"/>
          </w:tcPr>
          <w:p w14:paraId="32B2D5E5" w14:textId="43BDC9E3"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Positive predictive value</w:t>
            </w:r>
          </w:p>
        </w:tc>
        <w:tc>
          <w:tcPr>
            <w:tcW w:w="2500" w:type="pct"/>
          </w:tcPr>
          <w:p w14:paraId="11C48CC8" w14:textId="7FDB3EA2"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79.5</w:t>
            </w:r>
          </w:p>
        </w:tc>
      </w:tr>
      <w:tr w:rsidR="008176EB" w:rsidRPr="00EB27F3" w14:paraId="08C2B693" w14:textId="77777777" w:rsidTr="008176EB">
        <w:tc>
          <w:tcPr>
            <w:tcW w:w="2500" w:type="pct"/>
          </w:tcPr>
          <w:p w14:paraId="27FD59C9" w14:textId="38D50A68"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Negative predictive value</w:t>
            </w:r>
          </w:p>
        </w:tc>
        <w:tc>
          <w:tcPr>
            <w:tcW w:w="2500" w:type="pct"/>
          </w:tcPr>
          <w:p w14:paraId="3D6A42EB" w14:textId="7F662E93"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r>
      <w:tr w:rsidR="008176EB" w:rsidRPr="00EB27F3" w14:paraId="1BEDCC2F" w14:textId="77777777" w:rsidTr="008176EB">
        <w:tc>
          <w:tcPr>
            <w:tcW w:w="2500" w:type="pct"/>
          </w:tcPr>
          <w:p w14:paraId="30E2E34B" w14:textId="75BD9B34"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Positive likelihood ratio</w:t>
            </w:r>
          </w:p>
        </w:tc>
        <w:tc>
          <w:tcPr>
            <w:tcW w:w="2500" w:type="pct"/>
          </w:tcPr>
          <w:p w14:paraId="0B368F70" w14:textId="650256E3"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1.36</w:t>
            </w:r>
          </w:p>
        </w:tc>
      </w:tr>
      <w:tr w:rsidR="008176EB" w:rsidRPr="00EB27F3" w14:paraId="3E48BD0A" w14:textId="77777777" w:rsidTr="008176EB">
        <w:tc>
          <w:tcPr>
            <w:tcW w:w="2500" w:type="pct"/>
          </w:tcPr>
          <w:p w14:paraId="7AC9083B" w14:textId="61FD3ECA"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Negative likelihood ratio</w:t>
            </w:r>
          </w:p>
        </w:tc>
        <w:tc>
          <w:tcPr>
            <w:tcW w:w="2500" w:type="pct"/>
          </w:tcPr>
          <w:p w14:paraId="0D4DC389" w14:textId="7346DC8A" w:rsidR="008176EB" w:rsidRPr="00EB27F3" w:rsidRDefault="008176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0.42</w:t>
            </w:r>
          </w:p>
        </w:tc>
      </w:tr>
    </w:tbl>
    <w:p w14:paraId="40D823D6" w14:textId="77777777" w:rsidR="00A204D9" w:rsidRPr="00EB27F3" w:rsidRDefault="00A204D9" w:rsidP="00EB27F3">
      <w:pPr>
        <w:spacing w:after="0" w:line="360" w:lineRule="auto"/>
        <w:rPr>
          <w:rFonts w:ascii="Times New Roman" w:hAnsi="Times New Roman" w:cs="Times New Roman"/>
          <w:sz w:val="24"/>
          <w:szCs w:val="24"/>
        </w:rPr>
      </w:pPr>
    </w:p>
    <w:p w14:paraId="4AA46B27" w14:textId="77777777" w:rsidR="00402449" w:rsidRPr="00402449" w:rsidRDefault="00402449" w:rsidP="00EB27F3">
      <w:pPr>
        <w:spacing w:after="0" w:line="360" w:lineRule="auto"/>
        <w:rPr>
          <w:rFonts w:ascii="Times New Roman" w:hAnsi="Times New Roman" w:cs="Times New Roman"/>
          <w:sz w:val="24"/>
          <w:szCs w:val="24"/>
        </w:rPr>
      </w:pPr>
      <w:r w:rsidRPr="00402449">
        <w:rPr>
          <w:rFonts w:ascii="Times New Roman" w:hAnsi="Times New Roman" w:cs="Times New Roman"/>
          <w:sz w:val="24"/>
          <w:szCs w:val="24"/>
        </w:rPr>
        <w:lastRenderedPageBreak/>
        <w:t>Table 11 presents the diagnostic performance of Color Doppler Ultrasonography (CDUS) in evaluating benign and malignant parotid tumors, based on key validity metrics. For malignant tumors, CDUS demonstrated a sensitivity of 83.8%, indicating its strong ability to correctly identify malignant cases. However, the specificity was lower at 38.5%, suggesting that many benign cases might be misclassified as malignant. The positive predictive value (PPV) was 79.5%, showing the likelihood of malignant classification being correct, while the negative predictive value (NPV) was 83.8%, reflecting the reliability of benign classifications. The positive likelihood ratio (PLR) of 1.36 and negative likelihood ratio (NLR) of 0.42 indicate moderate diagnostic utility for malignancies.</w:t>
      </w:r>
    </w:p>
    <w:p w14:paraId="3BB2F964" w14:textId="4AC07E6A" w:rsidR="00DB0332" w:rsidRPr="00EB27F3" w:rsidRDefault="00DB0332"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447431" w:rsidRPr="00EB27F3">
        <w:rPr>
          <w:rFonts w:ascii="Times New Roman" w:hAnsi="Times New Roman" w:cs="Times New Roman"/>
          <w:b/>
          <w:bCs/>
          <w:sz w:val="24"/>
          <w:szCs w:val="24"/>
        </w:rPr>
        <w:t>12</w:t>
      </w:r>
      <w:r w:rsidRPr="00EB27F3">
        <w:rPr>
          <w:rFonts w:ascii="Times New Roman" w:hAnsi="Times New Roman" w:cs="Times New Roman"/>
          <w:b/>
          <w:bCs/>
          <w:sz w:val="24"/>
          <w:szCs w:val="24"/>
        </w:rPr>
        <w:t>: Receiver-operator characteristic (ROC) curve of RI for</w:t>
      </w:r>
      <w:r w:rsidR="00447431" w:rsidRPr="00EB27F3">
        <w:rPr>
          <w:rFonts w:ascii="Times New Roman" w:hAnsi="Times New Roman" w:cs="Times New Roman"/>
          <w:b/>
          <w:bCs/>
          <w:sz w:val="24"/>
          <w:szCs w:val="24"/>
        </w:rPr>
        <w:t xml:space="preserve"> </w:t>
      </w:r>
      <w:r w:rsidRPr="00EB27F3">
        <w:rPr>
          <w:rFonts w:ascii="Times New Roman" w:hAnsi="Times New Roman" w:cs="Times New Roman"/>
          <w:b/>
          <w:bCs/>
          <w:sz w:val="24"/>
          <w:szCs w:val="24"/>
        </w:rPr>
        <w:t>prediction of malignant parotid tumors (n=</w:t>
      </w:r>
      <w:r w:rsidR="00447431" w:rsidRPr="00EB27F3">
        <w:rPr>
          <w:rFonts w:ascii="Times New Roman" w:hAnsi="Times New Roman" w:cs="Times New Roman"/>
          <w:b/>
          <w:bCs/>
          <w:sz w:val="24"/>
          <w:szCs w:val="24"/>
        </w:rPr>
        <w:t>50</w:t>
      </w:r>
      <w:r w:rsidRPr="00EB27F3">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375"/>
        <w:gridCol w:w="1375"/>
        <w:gridCol w:w="1376"/>
        <w:gridCol w:w="1376"/>
        <w:gridCol w:w="1376"/>
        <w:gridCol w:w="1376"/>
        <w:gridCol w:w="1376"/>
      </w:tblGrid>
      <w:tr w:rsidR="00447431" w:rsidRPr="00EB27F3" w14:paraId="1CE9C062" w14:textId="77777777" w:rsidTr="001747E6">
        <w:tc>
          <w:tcPr>
            <w:tcW w:w="1375" w:type="dxa"/>
          </w:tcPr>
          <w:p w14:paraId="3B4D250E" w14:textId="77777777" w:rsidR="00447431" w:rsidRPr="00EB27F3" w:rsidRDefault="00447431" w:rsidP="00EB27F3">
            <w:pPr>
              <w:spacing w:line="360" w:lineRule="auto"/>
              <w:rPr>
                <w:rFonts w:ascii="Times New Roman" w:hAnsi="Times New Roman" w:cs="Times New Roman"/>
                <w:sz w:val="24"/>
                <w:szCs w:val="24"/>
              </w:rPr>
            </w:pPr>
          </w:p>
        </w:tc>
        <w:tc>
          <w:tcPr>
            <w:tcW w:w="1375" w:type="dxa"/>
          </w:tcPr>
          <w:p w14:paraId="19934F53" w14:textId="0F339980"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Cut off value</w:t>
            </w:r>
          </w:p>
        </w:tc>
        <w:tc>
          <w:tcPr>
            <w:tcW w:w="1376" w:type="dxa"/>
          </w:tcPr>
          <w:p w14:paraId="4356DBCC" w14:textId="01F041C0"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Sensitivity</w:t>
            </w:r>
          </w:p>
        </w:tc>
        <w:tc>
          <w:tcPr>
            <w:tcW w:w="1376" w:type="dxa"/>
          </w:tcPr>
          <w:p w14:paraId="763B073C" w14:textId="2533C91B"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Specificity</w:t>
            </w:r>
          </w:p>
        </w:tc>
        <w:tc>
          <w:tcPr>
            <w:tcW w:w="1376" w:type="dxa"/>
          </w:tcPr>
          <w:p w14:paraId="519178BD" w14:textId="362F8498"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AUROC</w:t>
            </w:r>
          </w:p>
        </w:tc>
        <w:tc>
          <w:tcPr>
            <w:tcW w:w="2752" w:type="dxa"/>
            <w:gridSpan w:val="2"/>
          </w:tcPr>
          <w:p w14:paraId="10941B58" w14:textId="7D6F8899"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95% CI</w:t>
            </w:r>
          </w:p>
        </w:tc>
      </w:tr>
      <w:tr w:rsidR="00DB0332" w:rsidRPr="00EB27F3" w14:paraId="56B52484" w14:textId="77777777" w:rsidTr="00DB0332">
        <w:tc>
          <w:tcPr>
            <w:tcW w:w="1375" w:type="dxa"/>
          </w:tcPr>
          <w:p w14:paraId="4E863908" w14:textId="77777777" w:rsidR="00DB0332" w:rsidRPr="00EB27F3" w:rsidRDefault="00DB0332" w:rsidP="00EB27F3">
            <w:pPr>
              <w:spacing w:line="360" w:lineRule="auto"/>
              <w:rPr>
                <w:rFonts w:ascii="Times New Roman" w:hAnsi="Times New Roman" w:cs="Times New Roman"/>
                <w:sz w:val="24"/>
                <w:szCs w:val="24"/>
              </w:rPr>
            </w:pPr>
          </w:p>
        </w:tc>
        <w:tc>
          <w:tcPr>
            <w:tcW w:w="1375" w:type="dxa"/>
          </w:tcPr>
          <w:p w14:paraId="0E46C20C"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4B8F0D8A"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4A075667"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168A7D25"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59EFB21B" w14:textId="34DA1F0B"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Lower</w:t>
            </w:r>
          </w:p>
        </w:tc>
        <w:tc>
          <w:tcPr>
            <w:tcW w:w="1376" w:type="dxa"/>
          </w:tcPr>
          <w:p w14:paraId="5B90A274" w14:textId="74F41BC2"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Upper</w:t>
            </w:r>
          </w:p>
        </w:tc>
      </w:tr>
      <w:tr w:rsidR="00DB0332" w:rsidRPr="00EB27F3" w14:paraId="0F299E56" w14:textId="77777777" w:rsidTr="00DB0332">
        <w:tc>
          <w:tcPr>
            <w:tcW w:w="1375" w:type="dxa"/>
          </w:tcPr>
          <w:p w14:paraId="7E46B6C3" w14:textId="3B8AAC3E"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RI</w:t>
            </w:r>
          </w:p>
        </w:tc>
        <w:tc>
          <w:tcPr>
            <w:tcW w:w="1375" w:type="dxa"/>
          </w:tcPr>
          <w:p w14:paraId="79DE5CBC" w14:textId="02CBF95C"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&gt;=0.</w:t>
            </w:r>
            <w:r w:rsidR="00447431" w:rsidRPr="00EB27F3">
              <w:rPr>
                <w:rFonts w:ascii="Times New Roman" w:hAnsi="Times New Roman" w:cs="Times New Roman"/>
                <w:sz w:val="24"/>
                <w:szCs w:val="24"/>
              </w:rPr>
              <w:t>41</w:t>
            </w:r>
          </w:p>
        </w:tc>
        <w:tc>
          <w:tcPr>
            <w:tcW w:w="1376" w:type="dxa"/>
          </w:tcPr>
          <w:p w14:paraId="629888EA" w14:textId="61A4E7B8"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c>
          <w:tcPr>
            <w:tcW w:w="1376" w:type="dxa"/>
          </w:tcPr>
          <w:p w14:paraId="10C95326" w14:textId="49A4206A"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94.9</w:t>
            </w:r>
          </w:p>
        </w:tc>
        <w:tc>
          <w:tcPr>
            <w:tcW w:w="1376" w:type="dxa"/>
          </w:tcPr>
          <w:p w14:paraId="16879FFD" w14:textId="3A0B4A1E"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0.601</w:t>
            </w:r>
          </w:p>
        </w:tc>
        <w:tc>
          <w:tcPr>
            <w:tcW w:w="1376" w:type="dxa"/>
          </w:tcPr>
          <w:p w14:paraId="6C1175D0" w14:textId="7182821A"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0.412</w:t>
            </w:r>
          </w:p>
        </w:tc>
        <w:tc>
          <w:tcPr>
            <w:tcW w:w="1376" w:type="dxa"/>
          </w:tcPr>
          <w:p w14:paraId="74E1A2A6" w14:textId="5BA2E3E4"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0.791</w:t>
            </w:r>
          </w:p>
        </w:tc>
      </w:tr>
    </w:tbl>
    <w:p w14:paraId="76B7015F" w14:textId="334A3B6B" w:rsidR="00447431" w:rsidRPr="00EB27F3" w:rsidRDefault="00447431" w:rsidP="00EB27F3">
      <w:pPr>
        <w:spacing w:after="0" w:line="360" w:lineRule="auto"/>
        <w:rPr>
          <w:rFonts w:ascii="Times New Roman" w:hAnsi="Times New Roman" w:cs="Times New Roman"/>
          <w:sz w:val="24"/>
          <w:szCs w:val="24"/>
        </w:rPr>
      </w:pPr>
    </w:p>
    <w:p w14:paraId="2D68FC28" w14:textId="77777777" w:rsidR="00447431" w:rsidRPr="00447431" w:rsidRDefault="00447431" w:rsidP="00EB27F3">
      <w:pPr>
        <w:spacing w:line="360" w:lineRule="auto"/>
        <w:rPr>
          <w:rFonts w:ascii="Times New Roman" w:hAnsi="Times New Roman" w:cs="Times New Roman"/>
          <w:sz w:val="24"/>
          <w:szCs w:val="24"/>
        </w:rPr>
      </w:pPr>
      <w:r w:rsidRPr="00447431">
        <w:rPr>
          <w:rFonts w:ascii="Times New Roman" w:hAnsi="Times New Roman" w:cs="Times New Roman"/>
          <w:sz w:val="24"/>
          <w:szCs w:val="24"/>
        </w:rPr>
        <w:t>Table 12 provides data on the performance of the resistivity index (RI) as a diagnostic marker for predicting malignant parotid tumors, analyzed using a receiver-operating characteristic (ROC) curve. The cut-off value for RI was set at ≥0.41. At this threshold, the sensitivity of the test was 100.0%, indicating that the RI correctly identified all cases of malignant parotid tumors without missing any. This makes it a highly effective tool for ensuring that no malignant cases are overlooked.</w:t>
      </w:r>
    </w:p>
    <w:p w14:paraId="2F9E528A" w14:textId="77777777" w:rsidR="00447431" w:rsidRPr="00447431" w:rsidRDefault="00447431" w:rsidP="00EB27F3">
      <w:pPr>
        <w:spacing w:line="360" w:lineRule="auto"/>
        <w:rPr>
          <w:rFonts w:ascii="Times New Roman" w:hAnsi="Times New Roman" w:cs="Times New Roman"/>
          <w:sz w:val="24"/>
          <w:szCs w:val="24"/>
        </w:rPr>
      </w:pPr>
      <w:r w:rsidRPr="00447431">
        <w:rPr>
          <w:rFonts w:ascii="Times New Roman" w:hAnsi="Times New Roman" w:cs="Times New Roman"/>
          <w:sz w:val="24"/>
          <w:szCs w:val="24"/>
        </w:rPr>
        <w:t>The specificity was 94.9%, reflecting the RI's ability to correctly classify benign tumors and minimize false-positive diagnoses. The area under the ROC curve (AUROC) was 0.601, with a 95% confidence interval ranging from 0.412 to 0.791. While the AUROC suggests moderate diagnostic accuracy, the wide confidence interval implies variability in the predictive power. This analysis underscores the RI's potential as a sensitive and specific marker for malignancy while highlighting the need for further investigation into its overall diagnostic reliability.</w:t>
      </w:r>
    </w:p>
    <w:p w14:paraId="41D64965" w14:textId="046E15BE" w:rsidR="00447431" w:rsidRPr="00EB27F3" w:rsidRDefault="00447431" w:rsidP="00EB27F3">
      <w:pPr>
        <w:spacing w:line="360" w:lineRule="auto"/>
        <w:rPr>
          <w:rFonts w:ascii="Times New Roman" w:hAnsi="Times New Roman" w:cs="Times New Roman"/>
          <w:sz w:val="24"/>
          <w:szCs w:val="24"/>
        </w:rPr>
      </w:pPr>
    </w:p>
    <w:p w14:paraId="28BB44C6" w14:textId="77777777" w:rsidR="00DB0332" w:rsidRPr="00EB27F3" w:rsidRDefault="00DB0332"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47431" w:rsidRPr="00EB27F3" w14:paraId="17606E02" w14:textId="77777777" w:rsidTr="00447431">
        <w:tc>
          <w:tcPr>
            <w:tcW w:w="9630" w:type="dxa"/>
          </w:tcPr>
          <w:p w14:paraId="3CC61D57" w14:textId="07643E8E"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noProof/>
                <w:sz w:val="24"/>
                <w:szCs w:val="24"/>
              </w:rPr>
              <w:lastRenderedPageBreak/>
              <w:drawing>
                <wp:inline distT="0" distB="0" distL="0" distR="0" wp14:anchorId="45E35653" wp14:editId="1ED7C956">
                  <wp:extent cx="5943600" cy="3495675"/>
                  <wp:effectExtent l="0" t="0" r="0" b="9525"/>
                  <wp:docPr id="1576745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tc>
      </w:tr>
      <w:tr w:rsidR="00447431" w:rsidRPr="00EB27F3" w14:paraId="7AC29A2C" w14:textId="77777777" w:rsidTr="00447431">
        <w:tc>
          <w:tcPr>
            <w:tcW w:w="9630" w:type="dxa"/>
          </w:tcPr>
          <w:p w14:paraId="6968F66D" w14:textId="3C4EAC08" w:rsidR="00447431" w:rsidRPr="0075748F" w:rsidRDefault="00447431" w:rsidP="00EB27F3">
            <w:pPr>
              <w:spacing w:line="360" w:lineRule="auto"/>
              <w:rPr>
                <w:rFonts w:ascii="Times New Roman" w:hAnsi="Times New Roman" w:cs="Times New Roman"/>
                <w:b/>
                <w:bCs/>
                <w:sz w:val="24"/>
                <w:szCs w:val="24"/>
              </w:rPr>
            </w:pPr>
            <w:r w:rsidRPr="0075748F">
              <w:rPr>
                <w:rFonts w:ascii="Times New Roman" w:hAnsi="Times New Roman" w:cs="Times New Roman"/>
                <w:b/>
                <w:bCs/>
                <w:sz w:val="24"/>
                <w:szCs w:val="24"/>
              </w:rPr>
              <w:t xml:space="preserve">Figure </w:t>
            </w:r>
            <w:r w:rsidR="008176EB">
              <w:rPr>
                <w:rFonts w:ascii="Times New Roman" w:hAnsi="Times New Roman" w:cs="Times New Roman"/>
                <w:b/>
                <w:bCs/>
                <w:sz w:val="24"/>
                <w:szCs w:val="24"/>
              </w:rPr>
              <w:t>8</w:t>
            </w:r>
            <w:r w:rsidRPr="0075748F">
              <w:rPr>
                <w:rFonts w:ascii="Times New Roman" w:hAnsi="Times New Roman" w:cs="Times New Roman"/>
                <w:b/>
                <w:bCs/>
                <w:sz w:val="24"/>
                <w:szCs w:val="24"/>
              </w:rPr>
              <w:t>: Receiver-operator characteristic curves of parotid tumors.</w:t>
            </w:r>
          </w:p>
        </w:tc>
      </w:tr>
    </w:tbl>
    <w:p w14:paraId="75B028E8" w14:textId="77777777" w:rsidR="00447431" w:rsidRPr="00EB27F3" w:rsidRDefault="00447431" w:rsidP="00EB27F3">
      <w:pPr>
        <w:spacing w:after="0" w:line="360" w:lineRule="auto"/>
        <w:rPr>
          <w:rFonts w:ascii="Times New Roman" w:hAnsi="Times New Roman" w:cs="Times New Roman"/>
          <w:sz w:val="24"/>
          <w:szCs w:val="24"/>
        </w:rPr>
      </w:pPr>
    </w:p>
    <w:sectPr w:rsidR="00447431" w:rsidRPr="00EB27F3" w:rsidSect="00DC28C2">
      <w:pgSz w:w="11900" w:h="16840"/>
      <w:pgMar w:top="1940" w:right="580" w:bottom="900" w:left="1680" w:header="0" w:footer="71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01EA1"/>
    <w:multiLevelType w:val="multilevel"/>
    <w:tmpl w:val="5A0869AA"/>
    <w:lvl w:ilvl="0">
      <w:start w:val="3"/>
      <w:numFmt w:val="decimal"/>
      <w:lvlText w:val="%1"/>
      <w:lvlJc w:val="left"/>
      <w:pPr>
        <w:ind w:left="1282" w:hanging="452"/>
      </w:pPr>
      <w:rPr>
        <w:lang w:val="en-US" w:eastAsia="en-US" w:bidi="ar-SA"/>
      </w:rPr>
    </w:lvl>
    <w:lvl w:ilvl="1">
      <w:start w:val="11"/>
      <w:numFmt w:val="decimal"/>
      <w:lvlText w:val="%1.%2"/>
      <w:lvlJc w:val="left"/>
      <w:pPr>
        <w:ind w:left="1282" w:hanging="452"/>
      </w:pPr>
      <w:rPr>
        <w:rFonts w:ascii="Times New Roman" w:eastAsia="Times New Roman" w:hAnsi="Times New Roman" w:cs="Times New Roman" w:hint="default"/>
        <w:b/>
        <w:bCs/>
        <w:i w:val="0"/>
        <w:iCs w:val="0"/>
        <w:spacing w:val="-3"/>
        <w:w w:val="99"/>
        <w:sz w:val="22"/>
        <w:szCs w:val="22"/>
        <w:lang w:val="en-US" w:eastAsia="en-US" w:bidi="ar-SA"/>
      </w:rPr>
    </w:lvl>
    <w:lvl w:ilvl="2">
      <w:numFmt w:val="bullet"/>
      <w:lvlText w:val="•"/>
      <w:lvlJc w:val="left"/>
      <w:pPr>
        <w:ind w:left="1256" w:hanging="425"/>
      </w:pPr>
      <w:rPr>
        <w:rFonts w:ascii="Arial" w:eastAsia="Arial" w:hAnsi="Arial" w:cs="Arial" w:hint="default"/>
        <w:b w:val="0"/>
        <w:bCs w:val="0"/>
        <w:i w:val="0"/>
        <w:iCs w:val="0"/>
        <w:spacing w:val="0"/>
        <w:w w:val="102"/>
        <w:sz w:val="22"/>
        <w:szCs w:val="22"/>
        <w:lang w:val="en-US" w:eastAsia="en-US" w:bidi="ar-SA"/>
      </w:rPr>
    </w:lvl>
    <w:lvl w:ilvl="3">
      <w:numFmt w:val="bullet"/>
      <w:lvlText w:val="•"/>
      <w:lvlJc w:val="left"/>
      <w:pPr>
        <w:ind w:left="3124" w:hanging="425"/>
      </w:pPr>
      <w:rPr>
        <w:lang w:val="en-US" w:eastAsia="en-US" w:bidi="ar-SA"/>
      </w:rPr>
    </w:lvl>
    <w:lvl w:ilvl="4">
      <w:numFmt w:val="bullet"/>
      <w:lvlText w:val="•"/>
      <w:lvlJc w:val="left"/>
      <w:pPr>
        <w:ind w:left="4046" w:hanging="425"/>
      </w:pPr>
      <w:rPr>
        <w:lang w:val="en-US" w:eastAsia="en-US" w:bidi="ar-SA"/>
      </w:rPr>
    </w:lvl>
    <w:lvl w:ilvl="5">
      <w:numFmt w:val="bullet"/>
      <w:lvlText w:val="•"/>
      <w:lvlJc w:val="left"/>
      <w:pPr>
        <w:ind w:left="4968" w:hanging="425"/>
      </w:pPr>
      <w:rPr>
        <w:lang w:val="en-US" w:eastAsia="en-US" w:bidi="ar-SA"/>
      </w:rPr>
    </w:lvl>
    <w:lvl w:ilvl="6">
      <w:numFmt w:val="bullet"/>
      <w:lvlText w:val="•"/>
      <w:lvlJc w:val="left"/>
      <w:pPr>
        <w:ind w:left="5891" w:hanging="425"/>
      </w:pPr>
      <w:rPr>
        <w:lang w:val="en-US" w:eastAsia="en-US" w:bidi="ar-SA"/>
      </w:rPr>
    </w:lvl>
    <w:lvl w:ilvl="7">
      <w:numFmt w:val="bullet"/>
      <w:lvlText w:val="•"/>
      <w:lvlJc w:val="left"/>
      <w:pPr>
        <w:ind w:left="6813" w:hanging="425"/>
      </w:pPr>
      <w:rPr>
        <w:lang w:val="en-US" w:eastAsia="en-US" w:bidi="ar-SA"/>
      </w:rPr>
    </w:lvl>
    <w:lvl w:ilvl="8">
      <w:numFmt w:val="bullet"/>
      <w:lvlText w:val="•"/>
      <w:lvlJc w:val="left"/>
      <w:pPr>
        <w:ind w:left="7735" w:hanging="425"/>
      </w:pPr>
      <w:rPr>
        <w:lang w:val="en-US" w:eastAsia="en-US" w:bidi="ar-SA"/>
      </w:rPr>
    </w:lvl>
  </w:abstractNum>
  <w:abstractNum w:abstractNumId="1" w15:restartNumberingAfterBreak="0">
    <w:nsid w:val="7FEB3DF8"/>
    <w:multiLevelType w:val="hybridMultilevel"/>
    <w:tmpl w:val="05B2E378"/>
    <w:lvl w:ilvl="0" w:tplc="30102044">
      <w:start w:val="4"/>
      <w:numFmt w:val="decimal"/>
      <w:lvlText w:val="%1."/>
      <w:lvlJc w:val="left"/>
      <w:pPr>
        <w:ind w:left="2569" w:hanging="226"/>
      </w:pPr>
      <w:rPr>
        <w:rFonts w:ascii="Times New Roman" w:eastAsia="Times New Roman" w:hAnsi="Times New Roman" w:cs="Times New Roman" w:hint="default"/>
        <w:b/>
        <w:bCs/>
        <w:i w:val="0"/>
        <w:iCs w:val="0"/>
        <w:spacing w:val="0"/>
        <w:w w:val="97"/>
        <w:sz w:val="28"/>
        <w:szCs w:val="28"/>
        <w:lang w:val="en-US" w:eastAsia="en-US" w:bidi="ar-SA"/>
      </w:rPr>
    </w:lvl>
    <w:lvl w:ilvl="1" w:tplc="3A8421D6">
      <w:start w:val="1"/>
      <w:numFmt w:val="decimal"/>
      <w:lvlText w:val="%2."/>
      <w:lvlJc w:val="left"/>
      <w:pPr>
        <w:ind w:left="1169"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2" w:tplc="6944E62E">
      <w:numFmt w:val="bullet"/>
      <w:lvlText w:val="•"/>
      <w:lvlJc w:val="left"/>
      <w:pPr>
        <w:ind w:left="3340" w:hanging="339"/>
      </w:pPr>
      <w:rPr>
        <w:lang w:val="en-US" w:eastAsia="en-US" w:bidi="ar-SA"/>
      </w:rPr>
    </w:lvl>
    <w:lvl w:ilvl="3" w:tplc="1180B3A8">
      <w:numFmt w:val="bullet"/>
      <w:lvlText w:val="•"/>
      <w:lvlJc w:val="left"/>
      <w:pPr>
        <w:ind w:left="4120" w:hanging="339"/>
      </w:pPr>
      <w:rPr>
        <w:lang w:val="en-US" w:eastAsia="en-US" w:bidi="ar-SA"/>
      </w:rPr>
    </w:lvl>
    <w:lvl w:ilvl="4" w:tplc="E7900FC2">
      <w:numFmt w:val="bullet"/>
      <w:lvlText w:val="•"/>
      <w:lvlJc w:val="left"/>
      <w:pPr>
        <w:ind w:left="4900" w:hanging="339"/>
      </w:pPr>
      <w:rPr>
        <w:lang w:val="en-US" w:eastAsia="en-US" w:bidi="ar-SA"/>
      </w:rPr>
    </w:lvl>
    <w:lvl w:ilvl="5" w:tplc="D67AA3D8">
      <w:numFmt w:val="bullet"/>
      <w:lvlText w:val="•"/>
      <w:lvlJc w:val="left"/>
      <w:pPr>
        <w:ind w:left="5680" w:hanging="339"/>
      </w:pPr>
      <w:rPr>
        <w:lang w:val="en-US" w:eastAsia="en-US" w:bidi="ar-SA"/>
      </w:rPr>
    </w:lvl>
    <w:lvl w:ilvl="6" w:tplc="13420C86">
      <w:numFmt w:val="bullet"/>
      <w:lvlText w:val="•"/>
      <w:lvlJc w:val="left"/>
      <w:pPr>
        <w:ind w:left="6460" w:hanging="339"/>
      </w:pPr>
      <w:rPr>
        <w:lang w:val="en-US" w:eastAsia="en-US" w:bidi="ar-SA"/>
      </w:rPr>
    </w:lvl>
    <w:lvl w:ilvl="7" w:tplc="D6843554">
      <w:numFmt w:val="bullet"/>
      <w:lvlText w:val="•"/>
      <w:lvlJc w:val="left"/>
      <w:pPr>
        <w:ind w:left="7240" w:hanging="339"/>
      </w:pPr>
      <w:rPr>
        <w:lang w:val="en-US" w:eastAsia="en-US" w:bidi="ar-SA"/>
      </w:rPr>
    </w:lvl>
    <w:lvl w:ilvl="8" w:tplc="4B3E0A84">
      <w:numFmt w:val="bullet"/>
      <w:lvlText w:val="•"/>
      <w:lvlJc w:val="left"/>
      <w:pPr>
        <w:ind w:left="8020" w:hanging="339"/>
      </w:pPr>
      <w:rPr>
        <w:lang w:val="en-US" w:eastAsia="en-US" w:bidi="ar-SA"/>
      </w:rPr>
    </w:lvl>
  </w:abstractNum>
  <w:num w:numId="1" w16cid:durableId="1374885317">
    <w:abstractNumId w:val="0"/>
    <w:lvlOverride w:ilvl="0">
      <w:startOverride w:val="3"/>
    </w:lvlOverride>
    <w:lvlOverride w:ilvl="1">
      <w:startOverride w:val="11"/>
    </w:lvlOverride>
    <w:lvlOverride w:ilvl="2"/>
    <w:lvlOverride w:ilvl="3"/>
    <w:lvlOverride w:ilvl="4"/>
    <w:lvlOverride w:ilvl="5"/>
    <w:lvlOverride w:ilvl="6"/>
    <w:lvlOverride w:ilvl="7"/>
    <w:lvlOverride w:ilvl="8"/>
  </w:num>
  <w:num w:numId="2" w16cid:durableId="2117361265">
    <w:abstractNumId w:val="1"/>
    <w:lvlOverride w:ilvl="0">
      <w:startOverride w:val="4"/>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42"/>
    <w:rsid w:val="00011DCA"/>
    <w:rsid w:val="00035929"/>
    <w:rsid w:val="00044575"/>
    <w:rsid w:val="00047551"/>
    <w:rsid w:val="000635FE"/>
    <w:rsid w:val="00082198"/>
    <w:rsid w:val="000D2116"/>
    <w:rsid w:val="000F37C5"/>
    <w:rsid w:val="000F4CD4"/>
    <w:rsid w:val="00100FE6"/>
    <w:rsid w:val="00105A8C"/>
    <w:rsid w:val="001152EB"/>
    <w:rsid w:val="0014428C"/>
    <w:rsid w:val="0017213B"/>
    <w:rsid w:val="00194AAF"/>
    <w:rsid w:val="001A1D9E"/>
    <w:rsid w:val="001C5D0D"/>
    <w:rsid w:val="001E2F7F"/>
    <w:rsid w:val="00215FFD"/>
    <w:rsid w:val="002332BB"/>
    <w:rsid w:val="002455D5"/>
    <w:rsid w:val="002A0F66"/>
    <w:rsid w:val="002A47DA"/>
    <w:rsid w:val="002E21EA"/>
    <w:rsid w:val="002E5F80"/>
    <w:rsid w:val="002F6D0F"/>
    <w:rsid w:val="0030365E"/>
    <w:rsid w:val="0032258F"/>
    <w:rsid w:val="0035125C"/>
    <w:rsid w:val="003556DA"/>
    <w:rsid w:val="003A1E69"/>
    <w:rsid w:val="003B05D6"/>
    <w:rsid w:val="003D323F"/>
    <w:rsid w:val="003F2E20"/>
    <w:rsid w:val="003F485B"/>
    <w:rsid w:val="00402449"/>
    <w:rsid w:val="00402EBB"/>
    <w:rsid w:val="0042441C"/>
    <w:rsid w:val="00427233"/>
    <w:rsid w:val="00447431"/>
    <w:rsid w:val="00455E11"/>
    <w:rsid w:val="00465C61"/>
    <w:rsid w:val="00466FB9"/>
    <w:rsid w:val="004720C8"/>
    <w:rsid w:val="00476EA8"/>
    <w:rsid w:val="00492E20"/>
    <w:rsid w:val="004B5DE3"/>
    <w:rsid w:val="004D3954"/>
    <w:rsid w:val="004D56BE"/>
    <w:rsid w:val="00516614"/>
    <w:rsid w:val="005173A3"/>
    <w:rsid w:val="005179E8"/>
    <w:rsid w:val="00530813"/>
    <w:rsid w:val="00560218"/>
    <w:rsid w:val="005B40B8"/>
    <w:rsid w:val="005F499D"/>
    <w:rsid w:val="00607857"/>
    <w:rsid w:val="00645DC3"/>
    <w:rsid w:val="00671882"/>
    <w:rsid w:val="0067429A"/>
    <w:rsid w:val="00680BD3"/>
    <w:rsid w:val="006A1638"/>
    <w:rsid w:val="006A5BD6"/>
    <w:rsid w:val="006B318F"/>
    <w:rsid w:val="00704CB6"/>
    <w:rsid w:val="0075748F"/>
    <w:rsid w:val="00780842"/>
    <w:rsid w:val="0078188D"/>
    <w:rsid w:val="00785757"/>
    <w:rsid w:val="007B0CC8"/>
    <w:rsid w:val="007C7A12"/>
    <w:rsid w:val="007D285C"/>
    <w:rsid w:val="007E0B9B"/>
    <w:rsid w:val="00800EAD"/>
    <w:rsid w:val="00801210"/>
    <w:rsid w:val="0080404A"/>
    <w:rsid w:val="00805EF9"/>
    <w:rsid w:val="008065BB"/>
    <w:rsid w:val="008176EB"/>
    <w:rsid w:val="0082748C"/>
    <w:rsid w:val="008C33FD"/>
    <w:rsid w:val="00937E63"/>
    <w:rsid w:val="0094334C"/>
    <w:rsid w:val="00945B59"/>
    <w:rsid w:val="00962754"/>
    <w:rsid w:val="009940BE"/>
    <w:rsid w:val="009A6FF2"/>
    <w:rsid w:val="009B58F6"/>
    <w:rsid w:val="009C02DE"/>
    <w:rsid w:val="009D3428"/>
    <w:rsid w:val="009D34BC"/>
    <w:rsid w:val="00A204D9"/>
    <w:rsid w:val="00A248CA"/>
    <w:rsid w:val="00A6448E"/>
    <w:rsid w:val="00A82803"/>
    <w:rsid w:val="00A83F66"/>
    <w:rsid w:val="00AA181E"/>
    <w:rsid w:val="00AC332F"/>
    <w:rsid w:val="00AD49E4"/>
    <w:rsid w:val="00AD722B"/>
    <w:rsid w:val="00AF54AE"/>
    <w:rsid w:val="00B11A31"/>
    <w:rsid w:val="00B134C5"/>
    <w:rsid w:val="00B263C1"/>
    <w:rsid w:val="00B333B2"/>
    <w:rsid w:val="00B51C50"/>
    <w:rsid w:val="00B549BC"/>
    <w:rsid w:val="00B663B1"/>
    <w:rsid w:val="00B74F6A"/>
    <w:rsid w:val="00BA6E43"/>
    <w:rsid w:val="00BC3C89"/>
    <w:rsid w:val="00BE3140"/>
    <w:rsid w:val="00BE7B43"/>
    <w:rsid w:val="00C41442"/>
    <w:rsid w:val="00CB367B"/>
    <w:rsid w:val="00CC11B7"/>
    <w:rsid w:val="00CC1BDB"/>
    <w:rsid w:val="00CD09B6"/>
    <w:rsid w:val="00CE5D74"/>
    <w:rsid w:val="00CF4EAE"/>
    <w:rsid w:val="00D0737C"/>
    <w:rsid w:val="00D4168B"/>
    <w:rsid w:val="00D45DB0"/>
    <w:rsid w:val="00D65A10"/>
    <w:rsid w:val="00DB0332"/>
    <w:rsid w:val="00DB6A51"/>
    <w:rsid w:val="00DC28C2"/>
    <w:rsid w:val="00E0689F"/>
    <w:rsid w:val="00E27EA0"/>
    <w:rsid w:val="00E86B7E"/>
    <w:rsid w:val="00E872B5"/>
    <w:rsid w:val="00E91F64"/>
    <w:rsid w:val="00EA605A"/>
    <w:rsid w:val="00EB27F3"/>
    <w:rsid w:val="00EB4FF5"/>
    <w:rsid w:val="00EB678F"/>
    <w:rsid w:val="00EC7317"/>
    <w:rsid w:val="00ED1D35"/>
    <w:rsid w:val="00ED31C8"/>
    <w:rsid w:val="00EF4FCD"/>
    <w:rsid w:val="00EF5ED0"/>
    <w:rsid w:val="00F1765C"/>
    <w:rsid w:val="00FB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BB51"/>
  <w15:chartTrackingRefBased/>
  <w15:docId w15:val="{36B8B238-3AB9-4334-8EE0-5587278D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0D2116"/>
    <w:pPr>
      <w:widowControl w:val="0"/>
      <w:autoSpaceDE w:val="0"/>
      <w:autoSpaceDN w:val="0"/>
      <w:spacing w:after="0" w:line="240" w:lineRule="auto"/>
      <w:ind w:left="793"/>
      <w:outlineLvl w:val="5"/>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D2116"/>
    <w:rPr>
      <w:rFonts w:ascii="Times New Roman" w:eastAsia="Times New Roman" w:hAnsi="Times New Roman" w:cs="Times New Roman"/>
      <w:b/>
      <w:bCs/>
      <w:kern w:val="0"/>
      <w14:ligatures w14:val="none"/>
    </w:rPr>
  </w:style>
  <w:style w:type="paragraph" w:styleId="TOC1">
    <w:name w:val="toc 1"/>
    <w:basedOn w:val="Normal"/>
    <w:uiPriority w:val="1"/>
    <w:qFormat/>
    <w:rsid w:val="000D2116"/>
    <w:pPr>
      <w:widowControl w:val="0"/>
      <w:autoSpaceDE w:val="0"/>
      <w:autoSpaceDN w:val="0"/>
      <w:spacing w:before="125" w:after="0" w:line="240" w:lineRule="auto"/>
      <w:ind w:left="793"/>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D211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D2116"/>
    <w:rPr>
      <w:color w:val="0563C1" w:themeColor="hyperlink"/>
      <w:u w:val="single"/>
    </w:rPr>
  </w:style>
  <w:style w:type="table" w:styleId="TableGrid">
    <w:name w:val="Table Grid"/>
    <w:basedOn w:val="TableNormal"/>
    <w:uiPriority w:val="39"/>
    <w:rsid w:val="0047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3768">
      <w:bodyDiv w:val="1"/>
      <w:marLeft w:val="0"/>
      <w:marRight w:val="0"/>
      <w:marTop w:val="0"/>
      <w:marBottom w:val="0"/>
      <w:divBdr>
        <w:top w:val="none" w:sz="0" w:space="0" w:color="auto"/>
        <w:left w:val="none" w:sz="0" w:space="0" w:color="auto"/>
        <w:bottom w:val="none" w:sz="0" w:space="0" w:color="auto"/>
        <w:right w:val="none" w:sz="0" w:space="0" w:color="auto"/>
      </w:divBdr>
      <w:divsChild>
        <w:div w:id="850533162">
          <w:marLeft w:val="0"/>
          <w:marRight w:val="0"/>
          <w:marTop w:val="0"/>
          <w:marBottom w:val="0"/>
          <w:divBdr>
            <w:top w:val="none" w:sz="0" w:space="0" w:color="auto"/>
            <w:left w:val="none" w:sz="0" w:space="0" w:color="auto"/>
            <w:bottom w:val="none" w:sz="0" w:space="0" w:color="auto"/>
            <w:right w:val="none" w:sz="0" w:space="0" w:color="auto"/>
          </w:divBdr>
          <w:divsChild>
            <w:div w:id="847674264">
              <w:marLeft w:val="0"/>
              <w:marRight w:val="0"/>
              <w:marTop w:val="0"/>
              <w:marBottom w:val="0"/>
              <w:divBdr>
                <w:top w:val="none" w:sz="0" w:space="0" w:color="auto"/>
                <w:left w:val="none" w:sz="0" w:space="0" w:color="auto"/>
                <w:bottom w:val="none" w:sz="0" w:space="0" w:color="auto"/>
                <w:right w:val="none" w:sz="0" w:space="0" w:color="auto"/>
              </w:divBdr>
              <w:divsChild>
                <w:div w:id="2036806744">
                  <w:marLeft w:val="0"/>
                  <w:marRight w:val="0"/>
                  <w:marTop w:val="0"/>
                  <w:marBottom w:val="0"/>
                  <w:divBdr>
                    <w:top w:val="none" w:sz="0" w:space="0" w:color="auto"/>
                    <w:left w:val="none" w:sz="0" w:space="0" w:color="auto"/>
                    <w:bottom w:val="none" w:sz="0" w:space="0" w:color="auto"/>
                    <w:right w:val="none" w:sz="0" w:space="0" w:color="auto"/>
                  </w:divBdr>
                  <w:divsChild>
                    <w:div w:id="118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4618">
          <w:marLeft w:val="0"/>
          <w:marRight w:val="0"/>
          <w:marTop w:val="0"/>
          <w:marBottom w:val="0"/>
          <w:divBdr>
            <w:top w:val="none" w:sz="0" w:space="0" w:color="auto"/>
            <w:left w:val="none" w:sz="0" w:space="0" w:color="auto"/>
            <w:bottom w:val="none" w:sz="0" w:space="0" w:color="auto"/>
            <w:right w:val="none" w:sz="0" w:space="0" w:color="auto"/>
          </w:divBdr>
          <w:divsChild>
            <w:div w:id="464200777">
              <w:marLeft w:val="0"/>
              <w:marRight w:val="0"/>
              <w:marTop w:val="0"/>
              <w:marBottom w:val="0"/>
              <w:divBdr>
                <w:top w:val="none" w:sz="0" w:space="0" w:color="auto"/>
                <w:left w:val="none" w:sz="0" w:space="0" w:color="auto"/>
                <w:bottom w:val="none" w:sz="0" w:space="0" w:color="auto"/>
                <w:right w:val="none" w:sz="0" w:space="0" w:color="auto"/>
              </w:divBdr>
              <w:divsChild>
                <w:div w:id="483352513">
                  <w:marLeft w:val="0"/>
                  <w:marRight w:val="0"/>
                  <w:marTop w:val="0"/>
                  <w:marBottom w:val="0"/>
                  <w:divBdr>
                    <w:top w:val="none" w:sz="0" w:space="0" w:color="auto"/>
                    <w:left w:val="none" w:sz="0" w:space="0" w:color="auto"/>
                    <w:bottom w:val="none" w:sz="0" w:space="0" w:color="auto"/>
                    <w:right w:val="none" w:sz="0" w:space="0" w:color="auto"/>
                  </w:divBdr>
                  <w:divsChild>
                    <w:div w:id="994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0061">
      <w:bodyDiv w:val="1"/>
      <w:marLeft w:val="0"/>
      <w:marRight w:val="0"/>
      <w:marTop w:val="0"/>
      <w:marBottom w:val="0"/>
      <w:divBdr>
        <w:top w:val="none" w:sz="0" w:space="0" w:color="auto"/>
        <w:left w:val="none" w:sz="0" w:space="0" w:color="auto"/>
        <w:bottom w:val="none" w:sz="0" w:space="0" w:color="auto"/>
        <w:right w:val="none" w:sz="0" w:space="0" w:color="auto"/>
      </w:divBdr>
    </w:div>
    <w:div w:id="235361155">
      <w:bodyDiv w:val="1"/>
      <w:marLeft w:val="0"/>
      <w:marRight w:val="0"/>
      <w:marTop w:val="0"/>
      <w:marBottom w:val="0"/>
      <w:divBdr>
        <w:top w:val="none" w:sz="0" w:space="0" w:color="auto"/>
        <w:left w:val="none" w:sz="0" w:space="0" w:color="auto"/>
        <w:bottom w:val="none" w:sz="0" w:space="0" w:color="auto"/>
        <w:right w:val="none" w:sz="0" w:space="0" w:color="auto"/>
      </w:divBdr>
    </w:div>
    <w:div w:id="254365377">
      <w:bodyDiv w:val="1"/>
      <w:marLeft w:val="0"/>
      <w:marRight w:val="0"/>
      <w:marTop w:val="0"/>
      <w:marBottom w:val="0"/>
      <w:divBdr>
        <w:top w:val="none" w:sz="0" w:space="0" w:color="auto"/>
        <w:left w:val="none" w:sz="0" w:space="0" w:color="auto"/>
        <w:bottom w:val="none" w:sz="0" w:space="0" w:color="auto"/>
        <w:right w:val="none" w:sz="0" w:space="0" w:color="auto"/>
      </w:divBdr>
    </w:div>
    <w:div w:id="306203960">
      <w:bodyDiv w:val="1"/>
      <w:marLeft w:val="0"/>
      <w:marRight w:val="0"/>
      <w:marTop w:val="0"/>
      <w:marBottom w:val="0"/>
      <w:divBdr>
        <w:top w:val="none" w:sz="0" w:space="0" w:color="auto"/>
        <w:left w:val="none" w:sz="0" w:space="0" w:color="auto"/>
        <w:bottom w:val="none" w:sz="0" w:space="0" w:color="auto"/>
        <w:right w:val="none" w:sz="0" w:space="0" w:color="auto"/>
      </w:divBdr>
    </w:div>
    <w:div w:id="312176081">
      <w:bodyDiv w:val="1"/>
      <w:marLeft w:val="0"/>
      <w:marRight w:val="0"/>
      <w:marTop w:val="0"/>
      <w:marBottom w:val="0"/>
      <w:divBdr>
        <w:top w:val="none" w:sz="0" w:space="0" w:color="auto"/>
        <w:left w:val="none" w:sz="0" w:space="0" w:color="auto"/>
        <w:bottom w:val="none" w:sz="0" w:space="0" w:color="auto"/>
        <w:right w:val="none" w:sz="0" w:space="0" w:color="auto"/>
      </w:divBdr>
    </w:div>
    <w:div w:id="370809425">
      <w:bodyDiv w:val="1"/>
      <w:marLeft w:val="0"/>
      <w:marRight w:val="0"/>
      <w:marTop w:val="0"/>
      <w:marBottom w:val="0"/>
      <w:divBdr>
        <w:top w:val="none" w:sz="0" w:space="0" w:color="auto"/>
        <w:left w:val="none" w:sz="0" w:space="0" w:color="auto"/>
        <w:bottom w:val="none" w:sz="0" w:space="0" w:color="auto"/>
        <w:right w:val="none" w:sz="0" w:space="0" w:color="auto"/>
      </w:divBdr>
    </w:div>
    <w:div w:id="446855716">
      <w:bodyDiv w:val="1"/>
      <w:marLeft w:val="0"/>
      <w:marRight w:val="0"/>
      <w:marTop w:val="0"/>
      <w:marBottom w:val="0"/>
      <w:divBdr>
        <w:top w:val="none" w:sz="0" w:space="0" w:color="auto"/>
        <w:left w:val="none" w:sz="0" w:space="0" w:color="auto"/>
        <w:bottom w:val="none" w:sz="0" w:space="0" w:color="auto"/>
        <w:right w:val="none" w:sz="0" w:space="0" w:color="auto"/>
      </w:divBdr>
    </w:div>
    <w:div w:id="627129572">
      <w:bodyDiv w:val="1"/>
      <w:marLeft w:val="0"/>
      <w:marRight w:val="0"/>
      <w:marTop w:val="0"/>
      <w:marBottom w:val="0"/>
      <w:divBdr>
        <w:top w:val="none" w:sz="0" w:space="0" w:color="auto"/>
        <w:left w:val="none" w:sz="0" w:space="0" w:color="auto"/>
        <w:bottom w:val="none" w:sz="0" w:space="0" w:color="auto"/>
        <w:right w:val="none" w:sz="0" w:space="0" w:color="auto"/>
      </w:divBdr>
    </w:div>
    <w:div w:id="943340916">
      <w:bodyDiv w:val="1"/>
      <w:marLeft w:val="0"/>
      <w:marRight w:val="0"/>
      <w:marTop w:val="0"/>
      <w:marBottom w:val="0"/>
      <w:divBdr>
        <w:top w:val="none" w:sz="0" w:space="0" w:color="auto"/>
        <w:left w:val="none" w:sz="0" w:space="0" w:color="auto"/>
        <w:bottom w:val="none" w:sz="0" w:space="0" w:color="auto"/>
        <w:right w:val="none" w:sz="0" w:space="0" w:color="auto"/>
      </w:divBdr>
    </w:div>
    <w:div w:id="985934326">
      <w:bodyDiv w:val="1"/>
      <w:marLeft w:val="0"/>
      <w:marRight w:val="0"/>
      <w:marTop w:val="0"/>
      <w:marBottom w:val="0"/>
      <w:divBdr>
        <w:top w:val="none" w:sz="0" w:space="0" w:color="auto"/>
        <w:left w:val="none" w:sz="0" w:space="0" w:color="auto"/>
        <w:bottom w:val="none" w:sz="0" w:space="0" w:color="auto"/>
        <w:right w:val="none" w:sz="0" w:space="0" w:color="auto"/>
      </w:divBdr>
    </w:div>
    <w:div w:id="1171719531">
      <w:bodyDiv w:val="1"/>
      <w:marLeft w:val="0"/>
      <w:marRight w:val="0"/>
      <w:marTop w:val="0"/>
      <w:marBottom w:val="0"/>
      <w:divBdr>
        <w:top w:val="none" w:sz="0" w:space="0" w:color="auto"/>
        <w:left w:val="none" w:sz="0" w:space="0" w:color="auto"/>
        <w:bottom w:val="none" w:sz="0" w:space="0" w:color="auto"/>
        <w:right w:val="none" w:sz="0" w:space="0" w:color="auto"/>
      </w:divBdr>
      <w:divsChild>
        <w:div w:id="356270413">
          <w:marLeft w:val="0"/>
          <w:marRight w:val="0"/>
          <w:marTop w:val="0"/>
          <w:marBottom w:val="0"/>
          <w:divBdr>
            <w:top w:val="none" w:sz="0" w:space="0" w:color="auto"/>
            <w:left w:val="none" w:sz="0" w:space="0" w:color="auto"/>
            <w:bottom w:val="none" w:sz="0" w:space="0" w:color="auto"/>
            <w:right w:val="none" w:sz="0" w:space="0" w:color="auto"/>
          </w:divBdr>
          <w:divsChild>
            <w:div w:id="2143109415">
              <w:marLeft w:val="0"/>
              <w:marRight w:val="0"/>
              <w:marTop w:val="0"/>
              <w:marBottom w:val="0"/>
              <w:divBdr>
                <w:top w:val="none" w:sz="0" w:space="0" w:color="auto"/>
                <w:left w:val="none" w:sz="0" w:space="0" w:color="auto"/>
                <w:bottom w:val="none" w:sz="0" w:space="0" w:color="auto"/>
                <w:right w:val="none" w:sz="0" w:space="0" w:color="auto"/>
              </w:divBdr>
              <w:divsChild>
                <w:div w:id="708840802">
                  <w:marLeft w:val="0"/>
                  <w:marRight w:val="0"/>
                  <w:marTop w:val="0"/>
                  <w:marBottom w:val="0"/>
                  <w:divBdr>
                    <w:top w:val="none" w:sz="0" w:space="0" w:color="auto"/>
                    <w:left w:val="none" w:sz="0" w:space="0" w:color="auto"/>
                    <w:bottom w:val="none" w:sz="0" w:space="0" w:color="auto"/>
                    <w:right w:val="none" w:sz="0" w:space="0" w:color="auto"/>
                  </w:divBdr>
                  <w:divsChild>
                    <w:div w:id="997655129">
                      <w:marLeft w:val="0"/>
                      <w:marRight w:val="0"/>
                      <w:marTop w:val="0"/>
                      <w:marBottom w:val="0"/>
                      <w:divBdr>
                        <w:top w:val="none" w:sz="0" w:space="0" w:color="auto"/>
                        <w:left w:val="none" w:sz="0" w:space="0" w:color="auto"/>
                        <w:bottom w:val="none" w:sz="0" w:space="0" w:color="auto"/>
                        <w:right w:val="none" w:sz="0" w:space="0" w:color="auto"/>
                      </w:divBdr>
                      <w:divsChild>
                        <w:div w:id="572744676">
                          <w:marLeft w:val="0"/>
                          <w:marRight w:val="0"/>
                          <w:marTop w:val="0"/>
                          <w:marBottom w:val="0"/>
                          <w:divBdr>
                            <w:top w:val="none" w:sz="0" w:space="0" w:color="auto"/>
                            <w:left w:val="none" w:sz="0" w:space="0" w:color="auto"/>
                            <w:bottom w:val="none" w:sz="0" w:space="0" w:color="auto"/>
                            <w:right w:val="none" w:sz="0" w:space="0" w:color="auto"/>
                          </w:divBdr>
                          <w:divsChild>
                            <w:div w:id="1293318981">
                              <w:marLeft w:val="0"/>
                              <w:marRight w:val="0"/>
                              <w:marTop w:val="0"/>
                              <w:marBottom w:val="0"/>
                              <w:divBdr>
                                <w:top w:val="none" w:sz="0" w:space="0" w:color="auto"/>
                                <w:left w:val="none" w:sz="0" w:space="0" w:color="auto"/>
                                <w:bottom w:val="none" w:sz="0" w:space="0" w:color="auto"/>
                                <w:right w:val="none" w:sz="0" w:space="0" w:color="auto"/>
                              </w:divBdr>
                              <w:divsChild>
                                <w:div w:id="1273434415">
                                  <w:marLeft w:val="0"/>
                                  <w:marRight w:val="0"/>
                                  <w:marTop w:val="0"/>
                                  <w:marBottom w:val="0"/>
                                  <w:divBdr>
                                    <w:top w:val="none" w:sz="0" w:space="0" w:color="auto"/>
                                    <w:left w:val="none" w:sz="0" w:space="0" w:color="auto"/>
                                    <w:bottom w:val="none" w:sz="0" w:space="0" w:color="auto"/>
                                    <w:right w:val="none" w:sz="0" w:space="0" w:color="auto"/>
                                  </w:divBdr>
                                  <w:divsChild>
                                    <w:div w:id="1802571689">
                                      <w:marLeft w:val="0"/>
                                      <w:marRight w:val="0"/>
                                      <w:marTop w:val="0"/>
                                      <w:marBottom w:val="0"/>
                                      <w:divBdr>
                                        <w:top w:val="none" w:sz="0" w:space="0" w:color="auto"/>
                                        <w:left w:val="none" w:sz="0" w:space="0" w:color="auto"/>
                                        <w:bottom w:val="none" w:sz="0" w:space="0" w:color="auto"/>
                                        <w:right w:val="none" w:sz="0" w:space="0" w:color="auto"/>
                                      </w:divBdr>
                                      <w:divsChild>
                                        <w:div w:id="1192035411">
                                          <w:marLeft w:val="0"/>
                                          <w:marRight w:val="0"/>
                                          <w:marTop w:val="0"/>
                                          <w:marBottom w:val="0"/>
                                          <w:divBdr>
                                            <w:top w:val="none" w:sz="0" w:space="0" w:color="auto"/>
                                            <w:left w:val="none" w:sz="0" w:space="0" w:color="auto"/>
                                            <w:bottom w:val="none" w:sz="0" w:space="0" w:color="auto"/>
                                            <w:right w:val="none" w:sz="0" w:space="0" w:color="auto"/>
                                          </w:divBdr>
                                          <w:divsChild>
                                            <w:div w:id="31078019">
                                              <w:marLeft w:val="0"/>
                                              <w:marRight w:val="0"/>
                                              <w:marTop w:val="0"/>
                                              <w:marBottom w:val="0"/>
                                              <w:divBdr>
                                                <w:top w:val="none" w:sz="0" w:space="0" w:color="auto"/>
                                                <w:left w:val="none" w:sz="0" w:space="0" w:color="auto"/>
                                                <w:bottom w:val="none" w:sz="0" w:space="0" w:color="auto"/>
                                                <w:right w:val="none" w:sz="0" w:space="0" w:color="auto"/>
                                              </w:divBdr>
                                              <w:divsChild>
                                                <w:div w:id="1394936696">
                                                  <w:marLeft w:val="0"/>
                                                  <w:marRight w:val="0"/>
                                                  <w:marTop w:val="0"/>
                                                  <w:marBottom w:val="0"/>
                                                  <w:divBdr>
                                                    <w:top w:val="none" w:sz="0" w:space="0" w:color="auto"/>
                                                    <w:left w:val="none" w:sz="0" w:space="0" w:color="auto"/>
                                                    <w:bottom w:val="none" w:sz="0" w:space="0" w:color="auto"/>
                                                    <w:right w:val="none" w:sz="0" w:space="0" w:color="auto"/>
                                                  </w:divBdr>
                                                  <w:divsChild>
                                                    <w:div w:id="47384388">
                                                      <w:marLeft w:val="0"/>
                                                      <w:marRight w:val="0"/>
                                                      <w:marTop w:val="0"/>
                                                      <w:marBottom w:val="0"/>
                                                      <w:divBdr>
                                                        <w:top w:val="none" w:sz="0" w:space="0" w:color="auto"/>
                                                        <w:left w:val="none" w:sz="0" w:space="0" w:color="auto"/>
                                                        <w:bottom w:val="none" w:sz="0" w:space="0" w:color="auto"/>
                                                        <w:right w:val="none" w:sz="0" w:space="0" w:color="auto"/>
                                                      </w:divBdr>
                                                      <w:divsChild>
                                                        <w:div w:id="20413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713332">
      <w:bodyDiv w:val="1"/>
      <w:marLeft w:val="0"/>
      <w:marRight w:val="0"/>
      <w:marTop w:val="0"/>
      <w:marBottom w:val="0"/>
      <w:divBdr>
        <w:top w:val="none" w:sz="0" w:space="0" w:color="auto"/>
        <w:left w:val="none" w:sz="0" w:space="0" w:color="auto"/>
        <w:bottom w:val="none" w:sz="0" w:space="0" w:color="auto"/>
        <w:right w:val="none" w:sz="0" w:space="0" w:color="auto"/>
      </w:divBdr>
      <w:divsChild>
        <w:div w:id="728067071">
          <w:marLeft w:val="0"/>
          <w:marRight w:val="0"/>
          <w:marTop w:val="0"/>
          <w:marBottom w:val="0"/>
          <w:divBdr>
            <w:top w:val="none" w:sz="0" w:space="0" w:color="auto"/>
            <w:left w:val="none" w:sz="0" w:space="0" w:color="auto"/>
            <w:bottom w:val="none" w:sz="0" w:space="0" w:color="auto"/>
            <w:right w:val="none" w:sz="0" w:space="0" w:color="auto"/>
          </w:divBdr>
          <w:divsChild>
            <w:div w:id="958878183">
              <w:marLeft w:val="0"/>
              <w:marRight w:val="0"/>
              <w:marTop w:val="0"/>
              <w:marBottom w:val="0"/>
              <w:divBdr>
                <w:top w:val="none" w:sz="0" w:space="0" w:color="auto"/>
                <w:left w:val="none" w:sz="0" w:space="0" w:color="auto"/>
                <w:bottom w:val="none" w:sz="0" w:space="0" w:color="auto"/>
                <w:right w:val="none" w:sz="0" w:space="0" w:color="auto"/>
              </w:divBdr>
              <w:divsChild>
                <w:div w:id="2072070504">
                  <w:marLeft w:val="0"/>
                  <w:marRight w:val="0"/>
                  <w:marTop w:val="0"/>
                  <w:marBottom w:val="0"/>
                  <w:divBdr>
                    <w:top w:val="none" w:sz="0" w:space="0" w:color="auto"/>
                    <w:left w:val="none" w:sz="0" w:space="0" w:color="auto"/>
                    <w:bottom w:val="none" w:sz="0" w:space="0" w:color="auto"/>
                    <w:right w:val="none" w:sz="0" w:space="0" w:color="auto"/>
                  </w:divBdr>
                  <w:divsChild>
                    <w:div w:id="1451316280">
                      <w:marLeft w:val="0"/>
                      <w:marRight w:val="0"/>
                      <w:marTop w:val="0"/>
                      <w:marBottom w:val="0"/>
                      <w:divBdr>
                        <w:top w:val="none" w:sz="0" w:space="0" w:color="auto"/>
                        <w:left w:val="none" w:sz="0" w:space="0" w:color="auto"/>
                        <w:bottom w:val="none" w:sz="0" w:space="0" w:color="auto"/>
                        <w:right w:val="none" w:sz="0" w:space="0" w:color="auto"/>
                      </w:divBdr>
                      <w:divsChild>
                        <w:div w:id="956519699">
                          <w:marLeft w:val="0"/>
                          <w:marRight w:val="0"/>
                          <w:marTop w:val="0"/>
                          <w:marBottom w:val="0"/>
                          <w:divBdr>
                            <w:top w:val="none" w:sz="0" w:space="0" w:color="auto"/>
                            <w:left w:val="none" w:sz="0" w:space="0" w:color="auto"/>
                            <w:bottom w:val="none" w:sz="0" w:space="0" w:color="auto"/>
                            <w:right w:val="none" w:sz="0" w:space="0" w:color="auto"/>
                          </w:divBdr>
                          <w:divsChild>
                            <w:div w:id="242447119">
                              <w:marLeft w:val="0"/>
                              <w:marRight w:val="0"/>
                              <w:marTop w:val="0"/>
                              <w:marBottom w:val="0"/>
                              <w:divBdr>
                                <w:top w:val="none" w:sz="0" w:space="0" w:color="auto"/>
                                <w:left w:val="none" w:sz="0" w:space="0" w:color="auto"/>
                                <w:bottom w:val="none" w:sz="0" w:space="0" w:color="auto"/>
                                <w:right w:val="none" w:sz="0" w:space="0" w:color="auto"/>
                              </w:divBdr>
                              <w:divsChild>
                                <w:div w:id="1090735416">
                                  <w:marLeft w:val="0"/>
                                  <w:marRight w:val="0"/>
                                  <w:marTop w:val="0"/>
                                  <w:marBottom w:val="0"/>
                                  <w:divBdr>
                                    <w:top w:val="none" w:sz="0" w:space="0" w:color="auto"/>
                                    <w:left w:val="none" w:sz="0" w:space="0" w:color="auto"/>
                                    <w:bottom w:val="none" w:sz="0" w:space="0" w:color="auto"/>
                                    <w:right w:val="none" w:sz="0" w:space="0" w:color="auto"/>
                                  </w:divBdr>
                                  <w:divsChild>
                                    <w:div w:id="2060473161">
                                      <w:marLeft w:val="0"/>
                                      <w:marRight w:val="0"/>
                                      <w:marTop w:val="0"/>
                                      <w:marBottom w:val="0"/>
                                      <w:divBdr>
                                        <w:top w:val="none" w:sz="0" w:space="0" w:color="auto"/>
                                        <w:left w:val="none" w:sz="0" w:space="0" w:color="auto"/>
                                        <w:bottom w:val="none" w:sz="0" w:space="0" w:color="auto"/>
                                        <w:right w:val="none" w:sz="0" w:space="0" w:color="auto"/>
                                      </w:divBdr>
                                      <w:divsChild>
                                        <w:div w:id="1135830470">
                                          <w:marLeft w:val="0"/>
                                          <w:marRight w:val="0"/>
                                          <w:marTop w:val="0"/>
                                          <w:marBottom w:val="0"/>
                                          <w:divBdr>
                                            <w:top w:val="none" w:sz="0" w:space="0" w:color="auto"/>
                                            <w:left w:val="none" w:sz="0" w:space="0" w:color="auto"/>
                                            <w:bottom w:val="none" w:sz="0" w:space="0" w:color="auto"/>
                                            <w:right w:val="none" w:sz="0" w:space="0" w:color="auto"/>
                                          </w:divBdr>
                                          <w:divsChild>
                                            <w:div w:id="2116753828">
                                              <w:marLeft w:val="0"/>
                                              <w:marRight w:val="0"/>
                                              <w:marTop w:val="0"/>
                                              <w:marBottom w:val="0"/>
                                              <w:divBdr>
                                                <w:top w:val="none" w:sz="0" w:space="0" w:color="auto"/>
                                                <w:left w:val="none" w:sz="0" w:space="0" w:color="auto"/>
                                                <w:bottom w:val="none" w:sz="0" w:space="0" w:color="auto"/>
                                                <w:right w:val="none" w:sz="0" w:space="0" w:color="auto"/>
                                              </w:divBdr>
                                              <w:divsChild>
                                                <w:div w:id="1914392024">
                                                  <w:marLeft w:val="0"/>
                                                  <w:marRight w:val="0"/>
                                                  <w:marTop w:val="0"/>
                                                  <w:marBottom w:val="0"/>
                                                  <w:divBdr>
                                                    <w:top w:val="none" w:sz="0" w:space="0" w:color="auto"/>
                                                    <w:left w:val="none" w:sz="0" w:space="0" w:color="auto"/>
                                                    <w:bottom w:val="none" w:sz="0" w:space="0" w:color="auto"/>
                                                    <w:right w:val="none" w:sz="0" w:space="0" w:color="auto"/>
                                                  </w:divBdr>
                                                  <w:divsChild>
                                                    <w:div w:id="983657943">
                                                      <w:marLeft w:val="0"/>
                                                      <w:marRight w:val="0"/>
                                                      <w:marTop w:val="0"/>
                                                      <w:marBottom w:val="0"/>
                                                      <w:divBdr>
                                                        <w:top w:val="none" w:sz="0" w:space="0" w:color="auto"/>
                                                        <w:left w:val="none" w:sz="0" w:space="0" w:color="auto"/>
                                                        <w:bottom w:val="none" w:sz="0" w:space="0" w:color="auto"/>
                                                        <w:right w:val="none" w:sz="0" w:space="0" w:color="auto"/>
                                                      </w:divBdr>
                                                      <w:divsChild>
                                                        <w:div w:id="95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017554">
      <w:bodyDiv w:val="1"/>
      <w:marLeft w:val="0"/>
      <w:marRight w:val="0"/>
      <w:marTop w:val="0"/>
      <w:marBottom w:val="0"/>
      <w:divBdr>
        <w:top w:val="none" w:sz="0" w:space="0" w:color="auto"/>
        <w:left w:val="none" w:sz="0" w:space="0" w:color="auto"/>
        <w:bottom w:val="none" w:sz="0" w:space="0" w:color="auto"/>
        <w:right w:val="none" w:sz="0" w:space="0" w:color="auto"/>
      </w:divBdr>
    </w:div>
    <w:div w:id="1637031125">
      <w:bodyDiv w:val="1"/>
      <w:marLeft w:val="0"/>
      <w:marRight w:val="0"/>
      <w:marTop w:val="0"/>
      <w:marBottom w:val="0"/>
      <w:divBdr>
        <w:top w:val="none" w:sz="0" w:space="0" w:color="auto"/>
        <w:left w:val="none" w:sz="0" w:space="0" w:color="auto"/>
        <w:bottom w:val="none" w:sz="0" w:space="0" w:color="auto"/>
        <w:right w:val="none" w:sz="0" w:space="0" w:color="auto"/>
      </w:divBdr>
      <w:divsChild>
        <w:div w:id="1090934119">
          <w:marLeft w:val="0"/>
          <w:marRight w:val="0"/>
          <w:marTop w:val="0"/>
          <w:marBottom w:val="0"/>
          <w:divBdr>
            <w:top w:val="none" w:sz="0" w:space="0" w:color="auto"/>
            <w:left w:val="none" w:sz="0" w:space="0" w:color="auto"/>
            <w:bottom w:val="none" w:sz="0" w:space="0" w:color="auto"/>
            <w:right w:val="none" w:sz="0" w:space="0" w:color="auto"/>
          </w:divBdr>
          <w:divsChild>
            <w:div w:id="479813360">
              <w:marLeft w:val="0"/>
              <w:marRight w:val="0"/>
              <w:marTop w:val="0"/>
              <w:marBottom w:val="0"/>
              <w:divBdr>
                <w:top w:val="none" w:sz="0" w:space="0" w:color="auto"/>
                <w:left w:val="none" w:sz="0" w:space="0" w:color="auto"/>
                <w:bottom w:val="none" w:sz="0" w:space="0" w:color="auto"/>
                <w:right w:val="none" w:sz="0" w:space="0" w:color="auto"/>
              </w:divBdr>
              <w:divsChild>
                <w:div w:id="696660459">
                  <w:marLeft w:val="0"/>
                  <w:marRight w:val="0"/>
                  <w:marTop w:val="0"/>
                  <w:marBottom w:val="0"/>
                  <w:divBdr>
                    <w:top w:val="none" w:sz="0" w:space="0" w:color="auto"/>
                    <w:left w:val="none" w:sz="0" w:space="0" w:color="auto"/>
                    <w:bottom w:val="none" w:sz="0" w:space="0" w:color="auto"/>
                    <w:right w:val="none" w:sz="0" w:space="0" w:color="auto"/>
                  </w:divBdr>
                  <w:divsChild>
                    <w:div w:id="257257911">
                      <w:marLeft w:val="0"/>
                      <w:marRight w:val="0"/>
                      <w:marTop w:val="0"/>
                      <w:marBottom w:val="0"/>
                      <w:divBdr>
                        <w:top w:val="none" w:sz="0" w:space="0" w:color="auto"/>
                        <w:left w:val="none" w:sz="0" w:space="0" w:color="auto"/>
                        <w:bottom w:val="none" w:sz="0" w:space="0" w:color="auto"/>
                        <w:right w:val="none" w:sz="0" w:space="0" w:color="auto"/>
                      </w:divBdr>
                      <w:divsChild>
                        <w:div w:id="469396655">
                          <w:marLeft w:val="0"/>
                          <w:marRight w:val="0"/>
                          <w:marTop w:val="0"/>
                          <w:marBottom w:val="0"/>
                          <w:divBdr>
                            <w:top w:val="none" w:sz="0" w:space="0" w:color="auto"/>
                            <w:left w:val="none" w:sz="0" w:space="0" w:color="auto"/>
                            <w:bottom w:val="none" w:sz="0" w:space="0" w:color="auto"/>
                            <w:right w:val="none" w:sz="0" w:space="0" w:color="auto"/>
                          </w:divBdr>
                          <w:divsChild>
                            <w:div w:id="1458331402">
                              <w:marLeft w:val="0"/>
                              <w:marRight w:val="0"/>
                              <w:marTop w:val="0"/>
                              <w:marBottom w:val="0"/>
                              <w:divBdr>
                                <w:top w:val="none" w:sz="0" w:space="0" w:color="auto"/>
                                <w:left w:val="none" w:sz="0" w:space="0" w:color="auto"/>
                                <w:bottom w:val="none" w:sz="0" w:space="0" w:color="auto"/>
                                <w:right w:val="none" w:sz="0" w:space="0" w:color="auto"/>
                              </w:divBdr>
                              <w:divsChild>
                                <w:div w:id="606230059">
                                  <w:marLeft w:val="0"/>
                                  <w:marRight w:val="0"/>
                                  <w:marTop w:val="0"/>
                                  <w:marBottom w:val="0"/>
                                  <w:divBdr>
                                    <w:top w:val="none" w:sz="0" w:space="0" w:color="auto"/>
                                    <w:left w:val="none" w:sz="0" w:space="0" w:color="auto"/>
                                    <w:bottom w:val="none" w:sz="0" w:space="0" w:color="auto"/>
                                    <w:right w:val="none" w:sz="0" w:space="0" w:color="auto"/>
                                  </w:divBdr>
                                  <w:divsChild>
                                    <w:div w:id="694620756">
                                      <w:marLeft w:val="0"/>
                                      <w:marRight w:val="0"/>
                                      <w:marTop w:val="0"/>
                                      <w:marBottom w:val="0"/>
                                      <w:divBdr>
                                        <w:top w:val="none" w:sz="0" w:space="0" w:color="auto"/>
                                        <w:left w:val="none" w:sz="0" w:space="0" w:color="auto"/>
                                        <w:bottom w:val="none" w:sz="0" w:space="0" w:color="auto"/>
                                        <w:right w:val="none" w:sz="0" w:space="0" w:color="auto"/>
                                      </w:divBdr>
                                      <w:divsChild>
                                        <w:div w:id="1940287804">
                                          <w:marLeft w:val="0"/>
                                          <w:marRight w:val="0"/>
                                          <w:marTop w:val="0"/>
                                          <w:marBottom w:val="0"/>
                                          <w:divBdr>
                                            <w:top w:val="none" w:sz="0" w:space="0" w:color="auto"/>
                                            <w:left w:val="none" w:sz="0" w:space="0" w:color="auto"/>
                                            <w:bottom w:val="none" w:sz="0" w:space="0" w:color="auto"/>
                                            <w:right w:val="none" w:sz="0" w:space="0" w:color="auto"/>
                                          </w:divBdr>
                                          <w:divsChild>
                                            <w:div w:id="148789474">
                                              <w:marLeft w:val="0"/>
                                              <w:marRight w:val="0"/>
                                              <w:marTop w:val="0"/>
                                              <w:marBottom w:val="0"/>
                                              <w:divBdr>
                                                <w:top w:val="none" w:sz="0" w:space="0" w:color="auto"/>
                                                <w:left w:val="none" w:sz="0" w:space="0" w:color="auto"/>
                                                <w:bottom w:val="none" w:sz="0" w:space="0" w:color="auto"/>
                                                <w:right w:val="none" w:sz="0" w:space="0" w:color="auto"/>
                                              </w:divBdr>
                                              <w:divsChild>
                                                <w:div w:id="127013509">
                                                  <w:marLeft w:val="0"/>
                                                  <w:marRight w:val="0"/>
                                                  <w:marTop w:val="0"/>
                                                  <w:marBottom w:val="0"/>
                                                  <w:divBdr>
                                                    <w:top w:val="none" w:sz="0" w:space="0" w:color="auto"/>
                                                    <w:left w:val="none" w:sz="0" w:space="0" w:color="auto"/>
                                                    <w:bottom w:val="none" w:sz="0" w:space="0" w:color="auto"/>
                                                    <w:right w:val="none" w:sz="0" w:space="0" w:color="auto"/>
                                                  </w:divBdr>
                                                  <w:divsChild>
                                                    <w:div w:id="205915286">
                                                      <w:marLeft w:val="0"/>
                                                      <w:marRight w:val="0"/>
                                                      <w:marTop w:val="0"/>
                                                      <w:marBottom w:val="0"/>
                                                      <w:divBdr>
                                                        <w:top w:val="none" w:sz="0" w:space="0" w:color="auto"/>
                                                        <w:left w:val="none" w:sz="0" w:space="0" w:color="auto"/>
                                                        <w:bottom w:val="none" w:sz="0" w:space="0" w:color="auto"/>
                                                        <w:right w:val="none" w:sz="0" w:space="0" w:color="auto"/>
                                                      </w:divBdr>
                                                      <w:divsChild>
                                                        <w:div w:id="1971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393909">
      <w:bodyDiv w:val="1"/>
      <w:marLeft w:val="0"/>
      <w:marRight w:val="0"/>
      <w:marTop w:val="0"/>
      <w:marBottom w:val="0"/>
      <w:divBdr>
        <w:top w:val="none" w:sz="0" w:space="0" w:color="auto"/>
        <w:left w:val="none" w:sz="0" w:space="0" w:color="auto"/>
        <w:bottom w:val="none" w:sz="0" w:space="0" w:color="auto"/>
        <w:right w:val="none" w:sz="0" w:space="0" w:color="auto"/>
      </w:divBdr>
    </w:div>
    <w:div w:id="1672835323">
      <w:bodyDiv w:val="1"/>
      <w:marLeft w:val="0"/>
      <w:marRight w:val="0"/>
      <w:marTop w:val="0"/>
      <w:marBottom w:val="0"/>
      <w:divBdr>
        <w:top w:val="none" w:sz="0" w:space="0" w:color="auto"/>
        <w:left w:val="none" w:sz="0" w:space="0" w:color="auto"/>
        <w:bottom w:val="none" w:sz="0" w:space="0" w:color="auto"/>
        <w:right w:val="none" w:sz="0" w:space="0" w:color="auto"/>
      </w:divBdr>
    </w:div>
    <w:div w:id="1718552602">
      <w:bodyDiv w:val="1"/>
      <w:marLeft w:val="0"/>
      <w:marRight w:val="0"/>
      <w:marTop w:val="0"/>
      <w:marBottom w:val="0"/>
      <w:divBdr>
        <w:top w:val="none" w:sz="0" w:space="0" w:color="auto"/>
        <w:left w:val="none" w:sz="0" w:space="0" w:color="auto"/>
        <w:bottom w:val="none" w:sz="0" w:space="0" w:color="auto"/>
        <w:right w:val="none" w:sz="0" w:space="0" w:color="auto"/>
      </w:divBdr>
    </w:div>
    <w:div w:id="1745950501">
      <w:bodyDiv w:val="1"/>
      <w:marLeft w:val="0"/>
      <w:marRight w:val="0"/>
      <w:marTop w:val="0"/>
      <w:marBottom w:val="0"/>
      <w:divBdr>
        <w:top w:val="none" w:sz="0" w:space="0" w:color="auto"/>
        <w:left w:val="none" w:sz="0" w:space="0" w:color="auto"/>
        <w:bottom w:val="none" w:sz="0" w:space="0" w:color="auto"/>
        <w:right w:val="none" w:sz="0" w:space="0" w:color="auto"/>
      </w:divBdr>
    </w:div>
    <w:div w:id="1835102017">
      <w:bodyDiv w:val="1"/>
      <w:marLeft w:val="0"/>
      <w:marRight w:val="0"/>
      <w:marTop w:val="0"/>
      <w:marBottom w:val="0"/>
      <w:divBdr>
        <w:top w:val="none" w:sz="0" w:space="0" w:color="auto"/>
        <w:left w:val="none" w:sz="0" w:space="0" w:color="auto"/>
        <w:bottom w:val="none" w:sz="0" w:space="0" w:color="auto"/>
        <w:right w:val="none" w:sz="0" w:space="0" w:color="auto"/>
      </w:divBdr>
    </w:div>
    <w:div w:id="1836721407">
      <w:bodyDiv w:val="1"/>
      <w:marLeft w:val="0"/>
      <w:marRight w:val="0"/>
      <w:marTop w:val="0"/>
      <w:marBottom w:val="0"/>
      <w:divBdr>
        <w:top w:val="none" w:sz="0" w:space="0" w:color="auto"/>
        <w:left w:val="none" w:sz="0" w:space="0" w:color="auto"/>
        <w:bottom w:val="none" w:sz="0" w:space="0" w:color="auto"/>
        <w:right w:val="none" w:sz="0" w:space="0" w:color="auto"/>
      </w:divBdr>
    </w:div>
    <w:div w:id="1842816825">
      <w:bodyDiv w:val="1"/>
      <w:marLeft w:val="0"/>
      <w:marRight w:val="0"/>
      <w:marTop w:val="0"/>
      <w:marBottom w:val="0"/>
      <w:divBdr>
        <w:top w:val="none" w:sz="0" w:space="0" w:color="auto"/>
        <w:left w:val="none" w:sz="0" w:space="0" w:color="auto"/>
        <w:bottom w:val="none" w:sz="0" w:space="0" w:color="auto"/>
        <w:right w:val="none" w:sz="0" w:space="0" w:color="auto"/>
      </w:divBdr>
    </w:div>
    <w:div w:id="1923834158">
      <w:bodyDiv w:val="1"/>
      <w:marLeft w:val="0"/>
      <w:marRight w:val="0"/>
      <w:marTop w:val="0"/>
      <w:marBottom w:val="0"/>
      <w:divBdr>
        <w:top w:val="none" w:sz="0" w:space="0" w:color="auto"/>
        <w:left w:val="none" w:sz="0" w:space="0" w:color="auto"/>
        <w:bottom w:val="none" w:sz="0" w:space="0" w:color="auto"/>
        <w:right w:val="none" w:sz="0" w:space="0" w:color="auto"/>
      </w:divBdr>
      <w:divsChild>
        <w:div w:id="1121073803">
          <w:marLeft w:val="0"/>
          <w:marRight w:val="0"/>
          <w:marTop w:val="0"/>
          <w:marBottom w:val="0"/>
          <w:divBdr>
            <w:top w:val="none" w:sz="0" w:space="0" w:color="auto"/>
            <w:left w:val="none" w:sz="0" w:space="0" w:color="auto"/>
            <w:bottom w:val="none" w:sz="0" w:space="0" w:color="auto"/>
            <w:right w:val="none" w:sz="0" w:space="0" w:color="auto"/>
          </w:divBdr>
          <w:divsChild>
            <w:div w:id="947158807">
              <w:marLeft w:val="0"/>
              <w:marRight w:val="0"/>
              <w:marTop w:val="0"/>
              <w:marBottom w:val="0"/>
              <w:divBdr>
                <w:top w:val="none" w:sz="0" w:space="0" w:color="auto"/>
                <w:left w:val="none" w:sz="0" w:space="0" w:color="auto"/>
                <w:bottom w:val="none" w:sz="0" w:space="0" w:color="auto"/>
                <w:right w:val="none" w:sz="0" w:space="0" w:color="auto"/>
              </w:divBdr>
              <w:divsChild>
                <w:div w:id="1259798766">
                  <w:marLeft w:val="0"/>
                  <w:marRight w:val="0"/>
                  <w:marTop w:val="0"/>
                  <w:marBottom w:val="0"/>
                  <w:divBdr>
                    <w:top w:val="none" w:sz="0" w:space="0" w:color="auto"/>
                    <w:left w:val="none" w:sz="0" w:space="0" w:color="auto"/>
                    <w:bottom w:val="none" w:sz="0" w:space="0" w:color="auto"/>
                    <w:right w:val="none" w:sz="0" w:space="0" w:color="auto"/>
                  </w:divBdr>
                  <w:divsChild>
                    <w:div w:id="1843930663">
                      <w:marLeft w:val="0"/>
                      <w:marRight w:val="0"/>
                      <w:marTop w:val="0"/>
                      <w:marBottom w:val="0"/>
                      <w:divBdr>
                        <w:top w:val="none" w:sz="0" w:space="0" w:color="auto"/>
                        <w:left w:val="none" w:sz="0" w:space="0" w:color="auto"/>
                        <w:bottom w:val="none" w:sz="0" w:space="0" w:color="auto"/>
                        <w:right w:val="none" w:sz="0" w:space="0" w:color="auto"/>
                      </w:divBdr>
                      <w:divsChild>
                        <w:div w:id="1206410199">
                          <w:marLeft w:val="0"/>
                          <w:marRight w:val="0"/>
                          <w:marTop w:val="0"/>
                          <w:marBottom w:val="0"/>
                          <w:divBdr>
                            <w:top w:val="none" w:sz="0" w:space="0" w:color="auto"/>
                            <w:left w:val="none" w:sz="0" w:space="0" w:color="auto"/>
                            <w:bottom w:val="none" w:sz="0" w:space="0" w:color="auto"/>
                            <w:right w:val="none" w:sz="0" w:space="0" w:color="auto"/>
                          </w:divBdr>
                          <w:divsChild>
                            <w:div w:id="1031538624">
                              <w:marLeft w:val="0"/>
                              <w:marRight w:val="0"/>
                              <w:marTop w:val="0"/>
                              <w:marBottom w:val="0"/>
                              <w:divBdr>
                                <w:top w:val="none" w:sz="0" w:space="0" w:color="auto"/>
                                <w:left w:val="none" w:sz="0" w:space="0" w:color="auto"/>
                                <w:bottom w:val="none" w:sz="0" w:space="0" w:color="auto"/>
                                <w:right w:val="none" w:sz="0" w:space="0" w:color="auto"/>
                              </w:divBdr>
                              <w:divsChild>
                                <w:div w:id="1003244437">
                                  <w:marLeft w:val="0"/>
                                  <w:marRight w:val="0"/>
                                  <w:marTop w:val="0"/>
                                  <w:marBottom w:val="0"/>
                                  <w:divBdr>
                                    <w:top w:val="none" w:sz="0" w:space="0" w:color="auto"/>
                                    <w:left w:val="none" w:sz="0" w:space="0" w:color="auto"/>
                                    <w:bottom w:val="none" w:sz="0" w:space="0" w:color="auto"/>
                                    <w:right w:val="none" w:sz="0" w:space="0" w:color="auto"/>
                                  </w:divBdr>
                                  <w:divsChild>
                                    <w:div w:id="792404489">
                                      <w:marLeft w:val="0"/>
                                      <w:marRight w:val="0"/>
                                      <w:marTop w:val="0"/>
                                      <w:marBottom w:val="0"/>
                                      <w:divBdr>
                                        <w:top w:val="none" w:sz="0" w:space="0" w:color="auto"/>
                                        <w:left w:val="none" w:sz="0" w:space="0" w:color="auto"/>
                                        <w:bottom w:val="none" w:sz="0" w:space="0" w:color="auto"/>
                                        <w:right w:val="none" w:sz="0" w:space="0" w:color="auto"/>
                                      </w:divBdr>
                                      <w:divsChild>
                                        <w:div w:id="921371359">
                                          <w:marLeft w:val="0"/>
                                          <w:marRight w:val="0"/>
                                          <w:marTop w:val="0"/>
                                          <w:marBottom w:val="0"/>
                                          <w:divBdr>
                                            <w:top w:val="none" w:sz="0" w:space="0" w:color="auto"/>
                                            <w:left w:val="none" w:sz="0" w:space="0" w:color="auto"/>
                                            <w:bottom w:val="none" w:sz="0" w:space="0" w:color="auto"/>
                                            <w:right w:val="none" w:sz="0" w:space="0" w:color="auto"/>
                                          </w:divBdr>
                                          <w:divsChild>
                                            <w:div w:id="286199320">
                                              <w:marLeft w:val="0"/>
                                              <w:marRight w:val="0"/>
                                              <w:marTop w:val="0"/>
                                              <w:marBottom w:val="0"/>
                                              <w:divBdr>
                                                <w:top w:val="none" w:sz="0" w:space="0" w:color="auto"/>
                                                <w:left w:val="none" w:sz="0" w:space="0" w:color="auto"/>
                                                <w:bottom w:val="none" w:sz="0" w:space="0" w:color="auto"/>
                                                <w:right w:val="none" w:sz="0" w:space="0" w:color="auto"/>
                                              </w:divBdr>
                                              <w:divsChild>
                                                <w:div w:id="1821146378">
                                                  <w:marLeft w:val="0"/>
                                                  <w:marRight w:val="0"/>
                                                  <w:marTop w:val="0"/>
                                                  <w:marBottom w:val="0"/>
                                                  <w:divBdr>
                                                    <w:top w:val="none" w:sz="0" w:space="0" w:color="auto"/>
                                                    <w:left w:val="none" w:sz="0" w:space="0" w:color="auto"/>
                                                    <w:bottom w:val="none" w:sz="0" w:space="0" w:color="auto"/>
                                                    <w:right w:val="none" w:sz="0" w:space="0" w:color="auto"/>
                                                  </w:divBdr>
                                                  <w:divsChild>
                                                    <w:div w:id="1907185596">
                                                      <w:marLeft w:val="0"/>
                                                      <w:marRight w:val="0"/>
                                                      <w:marTop w:val="0"/>
                                                      <w:marBottom w:val="0"/>
                                                      <w:divBdr>
                                                        <w:top w:val="none" w:sz="0" w:space="0" w:color="auto"/>
                                                        <w:left w:val="none" w:sz="0" w:space="0" w:color="auto"/>
                                                        <w:bottom w:val="none" w:sz="0" w:space="0" w:color="auto"/>
                                                        <w:right w:val="none" w:sz="0" w:space="0" w:color="auto"/>
                                                      </w:divBdr>
                                                      <w:divsChild>
                                                        <w:div w:id="17658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264339">
      <w:bodyDiv w:val="1"/>
      <w:marLeft w:val="0"/>
      <w:marRight w:val="0"/>
      <w:marTop w:val="0"/>
      <w:marBottom w:val="0"/>
      <w:divBdr>
        <w:top w:val="none" w:sz="0" w:space="0" w:color="auto"/>
        <w:left w:val="none" w:sz="0" w:space="0" w:color="auto"/>
        <w:bottom w:val="none" w:sz="0" w:space="0" w:color="auto"/>
        <w:right w:val="none" w:sz="0" w:space="0" w:color="auto"/>
      </w:divBdr>
    </w:div>
    <w:div w:id="1990203180">
      <w:bodyDiv w:val="1"/>
      <w:marLeft w:val="0"/>
      <w:marRight w:val="0"/>
      <w:marTop w:val="0"/>
      <w:marBottom w:val="0"/>
      <w:divBdr>
        <w:top w:val="none" w:sz="0" w:space="0" w:color="auto"/>
        <w:left w:val="none" w:sz="0" w:space="0" w:color="auto"/>
        <w:bottom w:val="none" w:sz="0" w:space="0" w:color="auto"/>
        <w:right w:val="none" w:sz="0" w:space="0" w:color="auto"/>
      </w:divBdr>
      <w:divsChild>
        <w:div w:id="726877682">
          <w:marLeft w:val="0"/>
          <w:marRight w:val="0"/>
          <w:marTop w:val="0"/>
          <w:marBottom w:val="0"/>
          <w:divBdr>
            <w:top w:val="none" w:sz="0" w:space="0" w:color="auto"/>
            <w:left w:val="none" w:sz="0" w:space="0" w:color="auto"/>
            <w:bottom w:val="none" w:sz="0" w:space="0" w:color="auto"/>
            <w:right w:val="none" w:sz="0" w:space="0" w:color="auto"/>
          </w:divBdr>
          <w:divsChild>
            <w:div w:id="364790062">
              <w:marLeft w:val="0"/>
              <w:marRight w:val="0"/>
              <w:marTop w:val="0"/>
              <w:marBottom w:val="0"/>
              <w:divBdr>
                <w:top w:val="none" w:sz="0" w:space="0" w:color="auto"/>
                <w:left w:val="none" w:sz="0" w:space="0" w:color="auto"/>
                <w:bottom w:val="none" w:sz="0" w:space="0" w:color="auto"/>
                <w:right w:val="none" w:sz="0" w:space="0" w:color="auto"/>
              </w:divBdr>
              <w:divsChild>
                <w:div w:id="1367608124">
                  <w:marLeft w:val="0"/>
                  <w:marRight w:val="0"/>
                  <w:marTop w:val="0"/>
                  <w:marBottom w:val="0"/>
                  <w:divBdr>
                    <w:top w:val="none" w:sz="0" w:space="0" w:color="auto"/>
                    <w:left w:val="none" w:sz="0" w:space="0" w:color="auto"/>
                    <w:bottom w:val="none" w:sz="0" w:space="0" w:color="auto"/>
                    <w:right w:val="none" w:sz="0" w:space="0" w:color="auto"/>
                  </w:divBdr>
                  <w:divsChild>
                    <w:div w:id="1021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51848">
          <w:marLeft w:val="0"/>
          <w:marRight w:val="0"/>
          <w:marTop w:val="0"/>
          <w:marBottom w:val="0"/>
          <w:divBdr>
            <w:top w:val="none" w:sz="0" w:space="0" w:color="auto"/>
            <w:left w:val="none" w:sz="0" w:space="0" w:color="auto"/>
            <w:bottom w:val="none" w:sz="0" w:space="0" w:color="auto"/>
            <w:right w:val="none" w:sz="0" w:space="0" w:color="auto"/>
          </w:divBdr>
          <w:divsChild>
            <w:div w:id="1117990858">
              <w:marLeft w:val="0"/>
              <w:marRight w:val="0"/>
              <w:marTop w:val="0"/>
              <w:marBottom w:val="0"/>
              <w:divBdr>
                <w:top w:val="none" w:sz="0" w:space="0" w:color="auto"/>
                <w:left w:val="none" w:sz="0" w:space="0" w:color="auto"/>
                <w:bottom w:val="none" w:sz="0" w:space="0" w:color="auto"/>
                <w:right w:val="none" w:sz="0" w:space="0" w:color="auto"/>
              </w:divBdr>
              <w:divsChild>
                <w:div w:id="1408840546">
                  <w:marLeft w:val="0"/>
                  <w:marRight w:val="0"/>
                  <w:marTop w:val="0"/>
                  <w:marBottom w:val="0"/>
                  <w:divBdr>
                    <w:top w:val="none" w:sz="0" w:space="0" w:color="auto"/>
                    <w:left w:val="none" w:sz="0" w:space="0" w:color="auto"/>
                    <w:bottom w:val="none" w:sz="0" w:space="0" w:color="auto"/>
                    <w:right w:val="none" w:sz="0" w:space="0" w:color="auto"/>
                  </w:divBdr>
                  <w:divsChild>
                    <w:div w:id="16236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of the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6"/>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902A-4372-8E79-EB8167515699}"/>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902A-4372-8E79-EB8167515699}"/>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5-902A-4372-8E79-EB816751569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&lt;5</c:v>
                </c:pt>
                <c:pt idx="1">
                  <c:v>5-10</c:v>
                </c:pt>
                <c:pt idx="2">
                  <c:v>11-20</c:v>
                </c:pt>
                <c:pt idx="3">
                  <c:v>21-30</c:v>
                </c:pt>
                <c:pt idx="4">
                  <c:v>31-40</c:v>
                </c:pt>
                <c:pt idx="5">
                  <c:v>41-50</c:v>
                </c:pt>
                <c:pt idx="6">
                  <c:v>51-60</c:v>
                </c:pt>
                <c:pt idx="7">
                  <c:v>61-72</c:v>
                </c:pt>
              </c:strCache>
            </c:strRef>
          </c:cat>
          <c:val>
            <c:numRef>
              <c:f>Sheet1!$B$2:$B$9</c:f>
              <c:numCache>
                <c:formatCode>General</c:formatCode>
                <c:ptCount val="8"/>
                <c:pt idx="0">
                  <c:v>2</c:v>
                </c:pt>
                <c:pt idx="1">
                  <c:v>4</c:v>
                </c:pt>
                <c:pt idx="2">
                  <c:v>10</c:v>
                </c:pt>
                <c:pt idx="3">
                  <c:v>24</c:v>
                </c:pt>
                <c:pt idx="4">
                  <c:v>38</c:v>
                </c:pt>
                <c:pt idx="5">
                  <c:v>6</c:v>
                </c:pt>
                <c:pt idx="6">
                  <c:v>4</c:v>
                </c:pt>
                <c:pt idx="7">
                  <c:v>12</c:v>
                </c:pt>
              </c:numCache>
            </c:numRef>
          </c:val>
          <c:extLst>
            <c:ext xmlns:c16="http://schemas.microsoft.com/office/drawing/2014/chart" uri="{C3380CC4-5D6E-409C-BE32-E72D297353CC}">
              <c16:uniqueId val="{00000006-902A-4372-8E79-EB8167515699}"/>
            </c:ext>
          </c:extLst>
        </c:ser>
        <c:dLbls>
          <c:dLblPos val="outEnd"/>
          <c:showLegendKey val="0"/>
          <c:showVal val="1"/>
          <c:showCatName val="0"/>
          <c:showSerName val="0"/>
          <c:showPercent val="0"/>
          <c:showBubbleSize val="0"/>
        </c:dLbls>
        <c:gapWidth val="219"/>
        <c:overlap val="-27"/>
        <c:axId val="381422592"/>
        <c:axId val="381421872"/>
      </c:barChart>
      <c:catAx>
        <c:axId val="38142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1872"/>
        <c:crosses val="autoZero"/>
        <c:auto val="1"/>
        <c:lblAlgn val="ctr"/>
        <c:lblOffset val="100"/>
        <c:noMultiLvlLbl val="0"/>
      </c:catAx>
      <c:valAx>
        <c:axId val="38142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Sheet1!$B$16</c:f>
              <c:strCache>
                <c:ptCount val="1"/>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72FD-4B1C-8D51-0B5FD1B3B33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72FD-4B1C-8D51-0B5FD1B3B33E}"/>
              </c:ext>
            </c:extLst>
          </c:dPt>
          <c:dLbls>
            <c:dLbl>
              <c:idx val="0"/>
              <c:layout>
                <c:manualLayout>
                  <c:x val="-0.10957098889638325"/>
                  <c:y val="-1.442350830990296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FD-4B1C-8D51-0B5FD1B3B33E}"/>
                </c:ext>
              </c:extLst>
            </c:dLbl>
            <c:dLbl>
              <c:idx val="1"/>
              <c:layout>
                <c:manualLayout>
                  <c:x val="0.12125506062443868"/>
                  <c:y val="-2.466849433367106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FD-4B1C-8D51-0B5FD1B3B3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Sheet1!$A$17:$A$18</c:f>
              <c:strCache>
                <c:ptCount val="2"/>
                <c:pt idx="0">
                  <c:v>Married</c:v>
                </c:pt>
                <c:pt idx="1">
                  <c:v>Unmarried</c:v>
                </c:pt>
              </c:strCache>
            </c:strRef>
          </c:cat>
          <c:val>
            <c:numRef>
              <c:f>Sheet1!$B$17:$B$18</c:f>
              <c:numCache>
                <c:formatCode>0.0</c:formatCode>
                <c:ptCount val="2"/>
                <c:pt idx="0">
                  <c:v>58</c:v>
                </c:pt>
                <c:pt idx="1">
                  <c:v>42</c:v>
                </c:pt>
              </c:numCache>
            </c:numRef>
          </c:val>
          <c:extLst>
            <c:ext xmlns:c16="http://schemas.microsoft.com/office/drawing/2014/chart" uri="{C3380CC4-5D6E-409C-BE32-E72D297353CC}">
              <c16:uniqueId val="{00000004-72FD-4B1C-8D51-0B5FD1B3B3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295589418148635"/>
          <c:y val="0.45019455589650348"/>
          <c:w val="0.18142039110247285"/>
          <c:h val="0.19522908768930089"/>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Clinical Presentation of Participants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Sheet1!$B$29</c:f>
              <c:strCache>
                <c:ptCount val="1"/>
                <c:pt idx="0">
                  <c:v>Percentage</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A391-4EFB-8652-BE508CF61C3D}"/>
              </c:ext>
            </c:extLst>
          </c:dPt>
          <c:dPt>
            <c:idx val="1"/>
            <c:invertIfNegative val="0"/>
            <c:bubble3D val="0"/>
            <c:spPr>
              <a:solidFill>
                <a:srgbClr val="0070C0"/>
              </a:solidFill>
              <a:ln>
                <a:noFill/>
              </a:ln>
              <a:effectLst/>
            </c:spPr>
            <c:extLst>
              <c:ext xmlns:c16="http://schemas.microsoft.com/office/drawing/2014/chart" uri="{C3380CC4-5D6E-409C-BE32-E72D297353CC}">
                <c16:uniqueId val="{00000003-A391-4EFB-8652-BE508CF61C3D}"/>
              </c:ext>
            </c:extLst>
          </c:dPt>
          <c:dPt>
            <c:idx val="2"/>
            <c:invertIfNegative val="0"/>
            <c:bubble3D val="0"/>
            <c:spPr>
              <a:solidFill>
                <a:srgbClr val="7030A0"/>
              </a:solidFill>
              <a:ln>
                <a:noFill/>
              </a:ln>
              <a:effectLst/>
            </c:spPr>
            <c:extLst>
              <c:ext xmlns:c16="http://schemas.microsoft.com/office/drawing/2014/chart" uri="{C3380CC4-5D6E-409C-BE32-E72D297353CC}">
                <c16:uniqueId val="{00000005-A391-4EFB-8652-BE508CF61C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Sheet1!$A$30:$A$32</c:f>
              <c:strCache>
                <c:ptCount val="3"/>
                <c:pt idx="0">
                  <c:v>Fever</c:v>
                </c:pt>
                <c:pt idx="1">
                  <c:v>Pain</c:v>
                </c:pt>
                <c:pt idx="2">
                  <c:v>Swelling</c:v>
                </c:pt>
              </c:strCache>
            </c:strRef>
          </c:cat>
          <c:val>
            <c:numRef>
              <c:f>Sheet1!$B$30:$B$32</c:f>
              <c:numCache>
                <c:formatCode>0.0</c:formatCode>
                <c:ptCount val="3"/>
                <c:pt idx="0">
                  <c:v>8</c:v>
                </c:pt>
                <c:pt idx="1">
                  <c:v>36</c:v>
                </c:pt>
                <c:pt idx="2">
                  <c:v>100</c:v>
                </c:pt>
              </c:numCache>
            </c:numRef>
          </c:val>
          <c:extLst>
            <c:ext xmlns:c16="http://schemas.microsoft.com/office/drawing/2014/chart" uri="{C3380CC4-5D6E-409C-BE32-E72D297353CC}">
              <c16:uniqueId val="{00000006-A391-4EFB-8652-BE508CF61C3D}"/>
            </c:ext>
          </c:extLst>
        </c:ser>
        <c:dLbls>
          <c:dLblPos val="outEnd"/>
          <c:showLegendKey val="0"/>
          <c:showVal val="1"/>
          <c:showCatName val="0"/>
          <c:showSerName val="0"/>
          <c:showPercent val="0"/>
          <c:showBubbleSize val="0"/>
        </c:dLbls>
        <c:gapWidth val="219"/>
        <c:overlap val="-27"/>
        <c:axId val="354674776"/>
        <c:axId val="354671536"/>
      </c:barChart>
      <c:catAx>
        <c:axId val="35467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Clinical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1536"/>
        <c:crosses val="autoZero"/>
        <c:auto val="1"/>
        <c:lblAlgn val="ctr"/>
        <c:lblOffset val="100"/>
        <c:noMultiLvlLbl val="0"/>
      </c:catAx>
      <c:valAx>
        <c:axId val="35467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E1E-472A-A5DB-84F7040F81FE}"/>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E1E-472A-A5DB-84F7040F81FE}"/>
              </c:ext>
            </c:extLst>
          </c:dPt>
          <c:dPt>
            <c:idx val="2"/>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E1E-472A-A5DB-84F7040F81FE}"/>
              </c:ext>
            </c:extLst>
          </c:dPt>
          <c:dLbls>
            <c:dLbl>
              <c:idx val="1"/>
              <c:layout>
                <c:manualLayout>
                  <c:x val="-0.10444291338582677"/>
                  <c:y val="0.18548082531350249"/>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8.5222222222222227E-2"/>
                      <c:h val="0.12493073782443861"/>
                    </c:manualLayout>
                  </c15:layout>
                </c:ext>
                <c:ext xmlns:c16="http://schemas.microsoft.com/office/drawing/2014/chart" uri="{C3380CC4-5D6E-409C-BE32-E72D297353CC}">
                  <c16:uniqueId val="{00000003-9E1E-472A-A5DB-84F7040F81FE}"/>
                </c:ext>
              </c:extLst>
            </c:dLbl>
            <c:dLbl>
              <c:idx val="2"/>
              <c:layout>
                <c:manualLayout>
                  <c:x val="0.10078390201224847"/>
                  <c:y val="-0.23177712160979885"/>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8.7999999999999995E-2"/>
                      <c:h val="0.11567147856517936"/>
                    </c:manualLayout>
                  </c15:layout>
                </c:ext>
                <c:ext xmlns:c16="http://schemas.microsoft.com/office/drawing/2014/chart" uri="{C3380CC4-5D6E-409C-BE32-E72D297353CC}">
                  <c16:uniqueId val="{00000005-9E1E-472A-A5DB-84F7040F81F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Sheet1!$K$16:$K$18</c:f>
              <c:strCache>
                <c:ptCount val="3"/>
                <c:pt idx="0">
                  <c:v>Color Doppler Ultrasound diagnosis</c:v>
                </c:pt>
                <c:pt idx="1">
                  <c:v>Benign</c:v>
                </c:pt>
                <c:pt idx="2">
                  <c:v>Malignant</c:v>
                </c:pt>
              </c:strCache>
            </c:strRef>
          </c:cat>
          <c:val>
            <c:numRef>
              <c:f>Sheet1!$L$16:$L$18</c:f>
              <c:numCache>
                <c:formatCode>General</c:formatCode>
                <c:ptCount val="3"/>
                <c:pt idx="1">
                  <c:v>22</c:v>
                </c:pt>
                <c:pt idx="2">
                  <c:v>78</c:v>
                </c:pt>
              </c:numCache>
            </c:numRef>
          </c:val>
          <c:extLst>
            <c:ext xmlns:c16="http://schemas.microsoft.com/office/drawing/2014/chart" uri="{C3380CC4-5D6E-409C-BE32-E72D297353CC}">
              <c16:uniqueId val="{00000006-9E1E-472A-A5DB-84F7040F81F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DE3-4216-85D2-D0C56B0A7AC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DE3-4216-85D2-D0C56B0A7AC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DE3-4216-85D2-D0C56B0A7AC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DE3-4216-85D2-D0C56B0A7AC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3DE3-4216-85D2-D0C56B0A7AC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3DE3-4216-85D2-D0C56B0A7AC5}"/>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Sheet1!$K$25:$K$27</c:f>
              <c:strCache>
                <c:ptCount val="3"/>
                <c:pt idx="0">
                  <c:v>Histopathological diagnosis </c:v>
                </c:pt>
                <c:pt idx="1">
                  <c:v>Benign</c:v>
                </c:pt>
                <c:pt idx="2">
                  <c:v>Malignant</c:v>
                </c:pt>
              </c:strCache>
            </c:strRef>
          </c:cat>
          <c:val>
            <c:numRef>
              <c:f>Sheet1!$L$25:$L$27</c:f>
              <c:numCache>
                <c:formatCode>General</c:formatCode>
                <c:ptCount val="3"/>
                <c:pt idx="1">
                  <c:v>26</c:v>
                </c:pt>
                <c:pt idx="2">
                  <c:v>74</c:v>
                </c:pt>
              </c:numCache>
            </c:numRef>
          </c:val>
          <c:extLst>
            <c:ext xmlns:c16="http://schemas.microsoft.com/office/drawing/2014/chart" uri="{C3380CC4-5D6E-409C-BE32-E72D297353CC}">
              <c16:uniqueId val="{00000006-3DE3-4216-85D2-D0C56B0A7AC5}"/>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Sheet3!$C$2</c:f>
              <c:strCache>
                <c:ptCount val="1"/>
                <c:pt idx="0">
                  <c:v>Benign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Sheet3!$B$3:$B$24</c:f>
              <c:strCache>
                <c:ptCount val="22"/>
                <c:pt idx="0">
                  <c:v>Focal</c:v>
                </c:pt>
                <c:pt idx="1">
                  <c:v>Diffuse</c:v>
                </c:pt>
                <c:pt idx="2">
                  <c:v>≤1.5 cm</c:v>
                </c:pt>
                <c:pt idx="3">
                  <c:v>&gt;1.5 cm</c:v>
                </c:pt>
                <c:pt idx="4">
                  <c:v>Homogeneously hypoechoic</c:v>
                </c:pt>
                <c:pt idx="5">
                  <c:v>Mixed echogenic heterogenous</c:v>
                </c:pt>
                <c:pt idx="6">
                  <c:v>Well defined</c:v>
                </c:pt>
                <c:pt idx="7">
                  <c:v>Poorly defined</c:v>
                </c:pt>
                <c:pt idx="8">
                  <c:v>Grade 1</c:v>
                </c:pt>
                <c:pt idx="9">
                  <c:v>Grade 2</c:v>
                </c:pt>
                <c:pt idx="10">
                  <c:v>Grade 3</c:v>
                </c:pt>
                <c:pt idx="11">
                  <c:v>Regular (branching linear)</c:v>
                </c:pt>
                <c:pt idx="12">
                  <c:v>Non-branching linear</c:v>
                </c:pt>
                <c:pt idx="13">
                  <c:v>Irregular chaotic / criss-cross</c:v>
                </c:pt>
                <c:pt idx="14">
                  <c:v>Normal</c:v>
                </c:pt>
                <c:pt idx="15">
                  <c:v>Increased</c:v>
                </c:pt>
                <c:pt idx="16">
                  <c:v>Decreased</c:v>
                </c:pt>
                <c:pt idx="17">
                  <c:v>Normal</c:v>
                </c:pt>
                <c:pt idx="18">
                  <c:v>Increased</c:v>
                </c:pt>
                <c:pt idx="19">
                  <c:v>Decreased</c:v>
                </c:pt>
                <c:pt idx="20">
                  <c:v>&lt;0.41</c:v>
                </c:pt>
                <c:pt idx="21">
                  <c:v>≥0.41</c:v>
                </c:pt>
              </c:strCache>
              <c:extLst/>
            </c:strRef>
          </c:cat>
          <c:val>
            <c:numRef>
              <c:f>Sheet3!$C$3:$C$24</c:f>
              <c:numCache>
                <c:formatCode>General</c:formatCode>
                <c:ptCount val="22"/>
                <c:pt idx="0">
                  <c:v>11</c:v>
                </c:pt>
                <c:pt idx="1">
                  <c:v>2</c:v>
                </c:pt>
                <c:pt idx="2">
                  <c:v>0</c:v>
                </c:pt>
                <c:pt idx="3">
                  <c:v>13</c:v>
                </c:pt>
                <c:pt idx="4">
                  <c:v>2</c:v>
                </c:pt>
                <c:pt idx="5">
                  <c:v>11</c:v>
                </c:pt>
                <c:pt idx="6">
                  <c:v>6</c:v>
                </c:pt>
                <c:pt idx="7">
                  <c:v>7</c:v>
                </c:pt>
                <c:pt idx="8">
                  <c:v>4</c:v>
                </c:pt>
                <c:pt idx="9">
                  <c:v>8</c:v>
                </c:pt>
                <c:pt idx="10">
                  <c:v>1</c:v>
                </c:pt>
                <c:pt idx="11">
                  <c:v>2</c:v>
                </c:pt>
                <c:pt idx="12">
                  <c:v>3</c:v>
                </c:pt>
                <c:pt idx="13">
                  <c:v>8</c:v>
                </c:pt>
                <c:pt idx="14">
                  <c:v>3</c:v>
                </c:pt>
                <c:pt idx="15">
                  <c:v>8</c:v>
                </c:pt>
                <c:pt idx="16">
                  <c:v>2</c:v>
                </c:pt>
                <c:pt idx="17">
                  <c:v>2</c:v>
                </c:pt>
                <c:pt idx="18">
                  <c:v>9</c:v>
                </c:pt>
                <c:pt idx="19">
                  <c:v>2</c:v>
                </c:pt>
                <c:pt idx="20">
                  <c:v>1</c:v>
                </c:pt>
                <c:pt idx="21">
                  <c:v>12</c:v>
                </c:pt>
              </c:numCache>
            </c:numRef>
          </c:val>
          <c:extLst>
            <c:ext xmlns:c16="http://schemas.microsoft.com/office/drawing/2014/chart" uri="{C3380CC4-5D6E-409C-BE32-E72D297353CC}">
              <c16:uniqueId val="{00000000-AA2C-4A03-A9EE-E43D5EA0A279}"/>
            </c:ext>
          </c:extLst>
        </c:ser>
        <c:ser>
          <c:idx val="1"/>
          <c:order val="1"/>
          <c:tx>
            <c:strRef>
              <c:f>Sheet3!$D$2</c:f>
              <c:strCache>
                <c:ptCount val="1"/>
                <c:pt idx="0">
                  <c:v>Malignant</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Sheet3!$B$3:$B$24</c:f>
              <c:strCache>
                <c:ptCount val="22"/>
                <c:pt idx="0">
                  <c:v>Focal</c:v>
                </c:pt>
                <c:pt idx="1">
                  <c:v>Diffuse</c:v>
                </c:pt>
                <c:pt idx="2">
                  <c:v>≤1.5 cm</c:v>
                </c:pt>
                <c:pt idx="3">
                  <c:v>&gt;1.5 cm</c:v>
                </c:pt>
                <c:pt idx="4">
                  <c:v>Homogeneously hypoechoic</c:v>
                </c:pt>
                <c:pt idx="5">
                  <c:v>Mixed echogenic heterogenous</c:v>
                </c:pt>
                <c:pt idx="6">
                  <c:v>Well defined</c:v>
                </c:pt>
                <c:pt idx="7">
                  <c:v>Poorly defined</c:v>
                </c:pt>
                <c:pt idx="8">
                  <c:v>Grade 1</c:v>
                </c:pt>
                <c:pt idx="9">
                  <c:v>Grade 2</c:v>
                </c:pt>
                <c:pt idx="10">
                  <c:v>Grade 3</c:v>
                </c:pt>
                <c:pt idx="11">
                  <c:v>Regular (branching linear)</c:v>
                </c:pt>
                <c:pt idx="12">
                  <c:v>Non-branching linear</c:v>
                </c:pt>
                <c:pt idx="13">
                  <c:v>Irregular chaotic / criss-cross</c:v>
                </c:pt>
                <c:pt idx="14">
                  <c:v>Normal</c:v>
                </c:pt>
                <c:pt idx="15">
                  <c:v>Increased</c:v>
                </c:pt>
                <c:pt idx="16">
                  <c:v>Decreased</c:v>
                </c:pt>
                <c:pt idx="17">
                  <c:v>Normal</c:v>
                </c:pt>
                <c:pt idx="18">
                  <c:v>Increased</c:v>
                </c:pt>
                <c:pt idx="19">
                  <c:v>Decreased</c:v>
                </c:pt>
                <c:pt idx="20">
                  <c:v>&lt;0.41</c:v>
                </c:pt>
                <c:pt idx="21">
                  <c:v>≥0.41</c:v>
                </c:pt>
              </c:strCache>
              <c:extLst/>
            </c:strRef>
          </c:cat>
          <c:val>
            <c:numRef>
              <c:f>Sheet3!$D$3:$D$24</c:f>
              <c:numCache>
                <c:formatCode>General</c:formatCode>
                <c:ptCount val="22"/>
                <c:pt idx="0">
                  <c:v>22</c:v>
                </c:pt>
                <c:pt idx="1">
                  <c:v>15</c:v>
                </c:pt>
                <c:pt idx="2">
                  <c:v>0</c:v>
                </c:pt>
                <c:pt idx="3">
                  <c:v>37</c:v>
                </c:pt>
                <c:pt idx="4">
                  <c:v>12</c:v>
                </c:pt>
                <c:pt idx="5">
                  <c:v>25</c:v>
                </c:pt>
                <c:pt idx="6">
                  <c:v>4</c:v>
                </c:pt>
                <c:pt idx="7">
                  <c:v>33</c:v>
                </c:pt>
                <c:pt idx="8">
                  <c:v>1</c:v>
                </c:pt>
                <c:pt idx="9">
                  <c:v>24</c:v>
                </c:pt>
                <c:pt idx="10">
                  <c:v>12</c:v>
                </c:pt>
                <c:pt idx="11">
                  <c:v>0</c:v>
                </c:pt>
                <c:pt idx="12">
                  <c:v>12</c:v>
                </c:pt>
                <c:pt idx="13">
                  <c:v>25</c:v>
                </c:pt>
                <c:pt idx="14">
                  <c:v>5</c:v>
                </c:pt>
                <c:pt idx="15">
                  <c:v>30</c:v>
                </c:pt>
                <c:pt idx="16">
                  <c:v>2</c:v>
                </c:pt>
                <c:pt idx="17">
                  <c:v>8</c:v>
                </c:pt>
                <c:pt idx="18">
                  <c:v>27</c:v>
                </c:pt>
                <c:pt idx="19">
                  <c:v>2</c:v>
                </c:pt>
                <c:pt idx="20">
                  <c:v>2</c:v>
                </c:pt>
                <c:pt idx="21">
                  <c:v>35</c:v>
                </c:pt>
              </c:numCache>
            </c:numRef>
          </c:val>
          <c:extLst>
            <c:ext xmlns:c16="http://schemas.microsoft.com/office/drawing/2014/chart" uri="{C3380CC4-5D6E-409C-BE32-E72D297353CC}">
              <c16:uniqueId val="{00000001-AA2C-4A03-A9EE-E43D5EA0A279}"/>
            </c:ext>
          </c:extLst>
        </c:ser>
        <c:dLbls>
          <c:dLblPos val="outEnd"/>
          <c:showLegendKey val="0"/>
          <c:showVal val="1"/>
          <c:showCatName val="0"/>
          <c:showSerName val="0"/>
          <c:showPercent val="0"/>
          <c:showBubbleSize val="0"/>
        </c:dLbls>
        <c:gapWidth val="100"/>
        <c:overlap val="-24"/>
        <c:axId val="385194168"/>
        <c:axId val="385201368"/>
      </c:barChart>
      <c:catAx>
        <c:axId val="38519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5201368"/>
        <c:crosses val="autoZero"/>
        <c:auto val="1"/>
        <c:lblAlgn val="ctr"/>
        <c:lblOffset val="100"/>
        <c:noMultiLvlLbl val="0"/>
      </c:catAx>
      <c:valAx>
        <c:axId val="38520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5194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Sheet1!$K$2:$K$13</c:f>
              <c:strCache>
                <c:ptCount val="12"/>
                <c:pt idx="0">
                  <c:v>GCT-seminoma</c:v>
                </c:pt>
                <c:pt idx="1">
                  <c:v>mixed GCT</c:v>
                </c:pt>
                <c:pt idx="2">
                  <c:v>NHL</c:v>
                </c:pt>
                <c:pt idx="3">
                  <c:v>Abscess</c:v>
                </c:pt>
                <c:pt idx="4">
                  <c:v>GCT-yolk sac tumor</c:v>
                </c:pt>
                <c:pt idx="5">
                  <c:v>mature teratoma</c:v>
                </c:pt>
                <c:pt idx="6">
                  <c:v>immature teratoma</c:v>
                </c:pt>
                <c:pt idx="7">
                  <c:v>NSGCT-embryonal ca</c:v>
                </c:pt>
                <c:pt idx="8">
                  <c:v>sex cord stromal tumor</c:v>
                </c:pt>
                <c:pt idx="9">
                  <c:v>TB orchitis</c:v>
                </c:pt>
                <c:pt idx="10">
                  <c:v>acute epididymo-orchitis</c:v>
                </c:pt>
                <c:pt idx="11">
                  <c:v>testicular torsion</c:v>
                </c:pt>
              </c:strCache>
            </c:strRef>
          </c:cat>
          <c:val>
            <c:numRef>
              <c:f>Sheet1!$L$2:$L$13</c:f>
              <c:numCache>
                <c:formatCode>###0.0</c:formatCode>
                <c:ptCount val="12"/>
                <c:pt idx="0">
                  <c:v>36</c:v>
                </c:pt>
                <c:pt idx="1">
                  <c:v>12</c:v>
                </c:pt>
                <c:pt idx="2">
                  <c:v>12</c:v>
                </c:pt>
                <c:pt idx="3">
                  <c:v>8</c:v>
                </c:pt>
                <c:pt idx="4">
                  <c:v>6</c:v>
                </c:pt>
                <c:pt idx="5">
                  <c:v>6</c:v>
                </c:pt>
                <c:pt idx="6">
                  <c:v>4</c:v>
                </c:pt>
                <c:pt idx="7">
                  <c:v>4</c:v>
                </c:pt>
                <c:pt idx="8">
                  <c:v>4</c:v>
                </c:pt>
                <c:pt idx="9">
                  <c:v>4</c:v>
                </c:pt>
                <c:pt idx="10">
                  <c:v>2</c:v>
                </c:pt>
                <c:pt idx="11">
                  <c:v>2</c:v>
                </c:pt>
              </c:numCache>
            </c:numRef>
          </c:val>
          <c:extLst>
            <c:ext xmlns:c16="http://schemas.microsoft.com/office/drawing/2014/chart" uri="{C3380CC4-5D6E-409C-BE32-E72D297353CC}">
              <c16:uniqueId val="{00000000-EAD8-4449-9D46-4399C1238852}"/>
            </c:ext>
          </c:extLst>
        </c:ser>
        <c:dLbls>
          <c:dLblPos val="outEnd"/>
          <c:showLegendKey val="0"/>
          <c:showVal val="1"/>
          <c:showCatName val="0"/>
          <c:showSerName val="0"/>
          <c:showPercent val="0"/>
          <c:showBubbleSize val="0"/>
        </c:dLbls>
        <c:gapWidth val="219"/>
        <c:overlap val="-27"/>
        <c:axId val="571576720"/>
        <c:axId val="571578160"/>
      </c:barChart>
      <c:catAx>
        <c:axId val="57157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Histopathological Findings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78160"/>
        <c:crosses val="autoZero"/>
        <c:auto val="1"/>
        <c:lblAlgn val="ctr"/>
        <c:lblOffset val="100"/>
        <c:noMultiLvlLbl val="0"/>
      </c:catAx>
      <c:valAx>
        <c:axId val="57157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7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16</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110</cp:revision>
  <dcterms:created xsi:type="dcterms:W3CDTF">2024-12-25T07:21:00Z</dcterms:created>
  <dcterms:modified xsi:type="dcterms:W3CDTF">2025-02-18T16:35:00Z</dcterms:modified>
</cp:coreProperties>
</file>