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7C7EAE" w14:textId="5F14A423" w:rsidR="00856571" w:rsidRDefault="00856571">
      <w:r>
        <w:t>Methods</w:t>
      </w:r>
    </w:p>
    <w:p w14:paraId="672EA0AD" w14:textId="044FAD43" w:rsidR="00F14C33" w:rsidRDefault="00F14C33">
      <w:r>
        <w:t>Dengue Data</w:t>
      </w:r>
    </w:p>
    <w:p w14:paraId="1D29F43B" w14:textId="77777777" w:rsidR="002D3037" w:rsidRDefault="00F14C33">
      <w:r w:rsidRPr="00F14C33">
        <w:t>T</w:t>
      </w:r>
      <w:r>
        <w:t>h</w:t>
      </w:r>
      <w:r w:rsidRPr="00F14C33">
        <w:t xml:space="preserve">e number of reported </w:t>
      </w:r>
      <w:r>
        <w:t>dengue-related data</w:t>
      </w:r>
      <w:r w:rsidRPr="00F14C33">
        <w:t xml:space="preserve">, including </w:t>
      </w:r>
      <w:r>
        <w:t>total</w:t>
      </w:r>
      <w:r w:rsidRPr="00F14C33">
        <w:t xml:space="preserve"> new cases, </w:t>
      </w:r>
      <w:r>
        <w:t>total</w:t>
      </w:r>
      <w:r w:rsidRPr="00F14C33">
        <w:t xml:space="preserve"> new deaths, total </w:t>
      </w:r>
      <w:r>
        <w:t>cases</w:t>
      </w:r>
      <w:r w:rsidRPr="00F14C33">
        <w:t xml:space="preserve"> per </w:t>
      </w:r>
      <w:r>
        <w:t>thousand</w:t>
      </w:r>
      <w:r w:rsidRPr="00F14C33">
        <w:t xml:space="preserve">, and total </w:t>
      </w:r>
      <w:r>
        <w:t>deaths per thousand</w:t>
      </w:r>
      <w:r w:rsidRPr="00F14C33">
        <w:t xml:space="preserve"> have been extracted from the </w:t>
      </w:r>
      <w:r w:rsidR="00697163">
        <w:t xml:space="preserve">WHO situation reports/Weekly bulletin and </w:t>
      </w:r>
      <w:r>
        <w:t>Ministry</w:t>
      </w:r>
      <w:r w:rsidRPr="00F14C33">
        <w:t xml:space="preserve"> of Health website from January 2000 to December 202</w:t>
      </w:r>
      <w:r>
        <w:t xml:space="preserve">3 of </w:t>
      </w:r>
      <w:r w:rsidR="008C4EE3">
        <w:t>eight South Asian countries (</w:t>
      </w:r>
      <w:r w:rsidR="008C4EE3" w:rsidRPr="008C4EE3">
        <w:t>Afghanistan</w:t>
      </w:r>
      <w:r w:rsidR="00EC2108">
        <w:t xml:space="preserve"> (2021-2023) (</w:t>
      </w:r>
      <w:hyperlink r:id="rId4" w:history="1">
        <w:r w:rsidR="00EC2108" w:rsidRPr="00791F3A">
          <w:rPr>
            <w:rStyle w:val="Hyperlink"/>
          </w:rPr>
          <w:t>https://www.emro.who.int/afg/information-resources/infectious-disease-outbreak-situation-reports.html</w:t>
        </w:r>
      </w:hyperlink>
      <w:r w:rsidR="00EC2108">
        <w:t>) (</w:t>
      </w:r>
      <w:hyperlink r:id="rId5" w:history="1">
        <w:r w:rsidR="00B269BB" w:rsidRPr="00791F3A">
          <w:rPr>
            <w:rStyle w:val="Hyperlink"/>
          </w:rPr>
          <w:t>https://moph.gov.af/en/</w:t>
        </w:r>
      </w:hyperlink>
      <w:r w:rsidR="00EC2108">
        <w:t>)</w:t>
      </w:r>
      <w:r w:rsidR="00B269BB">
        <w:t xml:space="preserve"> (</w:t>
      </w:r>
      <w:hyperlink r:id="rId6" w:history="1">
        <w:r w:rsidR="00B269BB" w:rsidRPr="00791F3A">
          <w:rPr>
            <w:rStyle w:val="Hyperlink"/>
          </w:rPr>
          <w:t>https://ghdx.healthdata.org/organizations/national-disease-surveillance-response-ndsr-afghanistan</w:t>
        </w:r>
      </w:hyperlink>
      <w:r w:rsidR="00B269BB">
        <w:t xml:space="preserve">) </w:t>
      </w:r>
      <w:r w:rsidR="008C4EE3">
        <w:t xml:space="preserve">, </w:t>
      </w:r>
      <w:r w:rsidR="008C4EE3" w:rsidRPr="008C4EE3">
        <w:t>Bangladesh</w:t>
      </w:r>
      <w:r w:rsidR="00B269BB">
        <w:t xml:space="preserve"> (</w:t>
      </w:r>
      <w:r w:rsidR="00B269BB" w:rsidRPr="00B269BB">
        <w:t>https://old.dghs.gov.bd/index.php/bd/home/5200-daily-dengue-status-report</w:t>
      </w:r>
      <w:r w:rsidR="00B269BB">
        <w:t>)</w:t>
      </w:r>
      <w:r w:rsidR="008C4EE3">
        <w:t xml:space="preserve">, </w:t>
      </w:r>
      <w:r w:rsidR="008C4EE3" w:rsidRPr="008C4EE3">
        <w:t>Bhutan</w:t>
      </w:r>
      <w:r w:rsidR="00B269BB">
        <w:t xml:space="preserve"> (</w:t>
      </w:r>
      <w:r w:rsidR="00B269BB" w:rsidRPr="00B269BB">
        <w:t>https://www.moh.gov.bt/assessing-dengue-outbreak/</w:t>
      </w:r>
      <w:r w:rsidR="00B269BB">
        <w:t>)</w:t>
      </w:r>
      <w:r w:rsidR="00D05D25">
        <w:t xml:space="preserve"> (</w:t>
      </w:r>
      <w:r w:rsidR="00D05D25" w:rsidRPr="00D05D25">
        <w:t>https://www.rcdc.gov.bt/web/</w:t>
      </w:r>
      <w:r w:rsidR="00D05D25">
        <w:t>)</w:t>
      </w:r>
      <w:r w:rsidR="008C4EE3">
        <w:t xml:space="preserve">, </w:t>
      </w:r>
      <w:r w:rsidR="008C4EE3" w:rsidRPr="008C4EE3">
        <w:t>India</w:t>
      </w:r>
      <w:r w:rsidR="00B269BB">
        <w:t xml:space="preserve"> (</w:t>
      </w:r>
      <w:r w:rsidR="00B269BB" w:rsidRPr="00B269BB">
        <w:t>https://ncvbdc.mohfw.gov.in/</w:t>
      </w:r>
      <w:r w:rsidR="00B269BB">
        <w:t>)</w:t>
      </w:r>
      <w:r w:rsidR="008C4EE3">
        <w:t xml:space="preserve">, </w:t>
      </w:r>
      <w:r w:rsidR="008C4EE3" w:rsidRPr="008C4EE3">
        <w:t>Maldives</w:t>
      </w:r>
      <w:r w:rsidR="008C4EE3">
        <w:t xml:space="preserve">, </w:t>
      </w:r>
      <w:r w:rsidR="008C4EE3" w:rsidRPr="008C4EE3">
        <w:t>Nepal</w:t>
      </w:r>
      <w:r w:rsidR="00B269BB">
        <w:t xml:space="preserve"> (</w:t>
      </w:r>
      <w:r w:rsidR="00B269BB" w:rsidRPr="00B269BB">
        <w:t>https://edcd.gov.np/</w:t>
      </w:r>
      <w:r w:rsidR="00B269BB">
        <w:t>)</w:t>
      </w:r>
      <w:r w:rsidR="008C4EE3">
        <w:t xml:space="preserve">, </w:t>
      </w:r>
      <w:r w:rsidR="008C4EE3" w:rsidRPr="008C4EE3">
        <w:t>Pakistan</w:t>
      </w:r>
      <w:r w:rsidR="00B269BB">
        <w:t xml:space="preserve"> (</w:t>
      </w:r>
      <w:r w:rsidR="00B269BB" w:rsidRPr="00B269BB">
        <w:t>https://www.nih.org.pk/health-data-center</w:t>
      </w:r>
      <w:r w:rsidR="00B269BB">
        <w:t>)</w:t>
      </w:r>
      <w:r w:rsidR="008C4EE3">
        <w:t xml:space="preserve">, and </w:t>
      </w:r>
      <w:proofErr w:type="spellStart"/>
      <w:r w:rsidR="008C4EE3" w:rsidRPr="008C4EE3">
        <w:t>Srilanka</w:t>
      </w:r>
      <w:proofErr w:type="spellEnd"/>
      <w:r w:rsidR="00477C1D">
        <w:t xml:space="preserve"> (</w:t>
      </w:r>
      <w:hyperlink r:id="rId7" w:history="1">
        <w:r w:rsidR="00477C1D" w:rsidRPr="00A120C7">
          <w:rPr>
            <w:rStyle w:val="Hyperlink"/>
          </w:rPr>
          <w:t>https://www.dengue.health.gov.lk/web/index.php/en/</w:t>
        </w:r>
      </w:hyperlink>
      <w:r w:rsidR="00477C1D">
        <w:t>)</w:t>
      </w:r>
      <w:r w:rsidR="007F6203">
        <w:t xml:space="preserve"> (</w:t>
      </w:r>
      <w:hyperlink r:id="rId8" w:history="1">
        <w:r w:rsidR="007F6203" w:rsidRPr="00A120C7">
          <w:rPr>
            <w:rStyle w:val="Hyperlink"/>
          </w:rPr>
          <w:t>https://www.epid.gov.lk/web/index.php?option=com_content&amp;view=article&amp;id=171&amp;Itemid=487&amp;lang=en</w:t>
        </w:r>
      </w:hyperlink>
      <w:r w:rsidR="007F6203">
        <w:t>)</w:t>
      </w:r>
      <w:r w:rsidR="008C4EE3">
        <w:t>)</w:t>
      </w:r>
      <w:r w:rsidRPr="00F14C33">
        <w:t xml:space="preserve">. </w:t>
      </w:r>
      <w:r w:rsidR="004F41F0">
        <w:t xml:space="preserve">All reports </w:t>
      </w:r>
      <w:r w:rsidR="00ED5D2B">
        <w:t>in</w:t>
      </w:r>
      <w:r w:rsidR="004F41F0">
        <w:t xml:space="preserve"> the Ministry of Health</w:t>
      </w:r>
      <w:r w:rsidRPr="00F14C33">
        <w:t xml:space="preserve"> used the </w:t>
      </w:r>
      <w:r w:rsidR="00ED5D2B">
        <w:t xml:space="preserve">WHO case </w:t>
      </w:r>
      <w:r w:rsidRPr="00F14C33">
        <w:t xml:space="preserve">definition </w:t>
      </w:r>
      <w:r w:rsidR="00ED5D2B">
        <w:t>(</w:t>
      </w:r>
      <w:r w:rsidR="00ED5D2B" w:rsidRPr="00ED5D2B">
        <w:t>https://www.who.int/docs/default-source/outbreak-toolkit/updates-documents_july-5/dengue-outbreak-data-collection-toolbox---inis-3-july-1.pdf?sfvrsn=ec3ffcf3_2</w:t>
      </w:r>
      <w:r w:rsidR="00ED5D2B">
        <w:t>)</w:t>
      </w:r>
      <w:r w:rsidRPr="00F14C33">
        <w:t xml:space="preserve">. We collected </w:t>
      </w:r>
      <w:r w:rsidR="00ED5D2B">
        <w:t xml:space="preserve">Dengue serotypes </w:t>
      </w:r>
      <w:r w:rsidRPr="00F14C33">
        <w:t xml:space="preserve">from </w:t>
      </w:r>
      <w:r w:rsidR="00ED5D2B">
        <w:t>different published paper</w:t>
      </w:r>
      <w:r w:rsidRPr="00F14C33">
        <w:t xml:space="preserve"> over the period 2000–202</w:t>
      </w:r>
      <w:r w:rsidR="00ED5D2B">
        <w:t>3</w:t>
      </w:r>
      <w:r w:rsidRPr="00F14C33">
        <w:t xml:space="preserve"> </w:t>
      </w:r>
      <w:r w:rsidR="00ED5D2B">
        <w:t>from all south Asian countries</w:t>
      </w:r>
      <w:r w:rsidR="00477C1D">
        <w:t xml:space="preserve"> ((</w:t>
      </w:r>
      <w:r w:rsidR="00477C1D" w:rsidRPr="008C4EE3">
        <w:t>Afghanistan</w:t>
      </w:r>
      <w:r w:rsidR="00477C1D">
        <w:t xml:space="preserve"> (2021-2023), </w:t>
      </w:r>
      <w:r w:rsidR="00477C1D" w:rsidRPr="008C4EE3">
        <w:t>Bangladesh</w:t>
      </w:r>
      <w:r w:rsidR="00477C1D">
        <w:t xml:space="preserve">, </w:t>
      </w:r>
      <w:r w:rsidR="00477C1D" w:rsidRPr="008C4EE3">
        <w:t>Bhutan</w:t>
      </w:r>
      <w:r w:rsidR="00477C1D">
        <w:t xml:space="preserve">, </w:t>
      </w:r>
      <w:r w:rsidR="00477C1D" w:rsidRPr="008C4EE3">
        <w:t>India</w:t>
      </w:r>
      <w:r w:rsidR="00477C1D">
        <w:t xml:space="preserve">, </w:t>
      </w:r>
      <w:r w:rsidR="00477C1D" w:rsidRPr="008C4EE3">
        <w:t>Maldives</w:t>
      </w:r>
      <w:r w:rsidR="00477C1D">
        <w:t xml:space="preserve">, </w:t>
      </w:r>
      <w:r w:rsidR="00477C1D" w:rsidRPr="008C4EE3">
        <w:t>Nepal</w:t>
      </w:r>
      <w:r w:rsidR="00477C1D">
        <w:t xml:space="preserve">, </w:t>
      </w:r>
      <w:r w:rsidR="00477C1D" w:rsidRPr="008C4EE3">
        <w:t>Pakistan</w:t>
      </w:r>
      <w:r w:rsidR="00477C1D">
        <w:t xml:space="preserve">, and </w:t>
      </w:r>
      <w:proofErr w:type="spellStart"/>
      <w:r w:rsidR="00477C1D" w:rsidRPr="008C4EE3">
        <w:t>Srilanka</w:t>
      </w:r>
      <w:proofErr w:type="spellEnd"/>
      <w:r w:rsidR="0061430C">
        <w:t xml:space="preserve"> </w:t>
      </w:r>
      <w:r w:rsidR="00477C1D">
        <w:t>)</w:t>
      </w:r>
      <w:r w:rsidR="0061430C">
        <w:t xml:space="preserve"> (</w:t>
      </w:r>
      <w:hyperlink r:id="rId9" w:history="1">
        <w:r w:rsidR="0061430C" w:rsidRPr="00A120C7">
          <w:rPr>
            <w:rStyle w:val="Hyperlink"/>
          </w:rPr>
          <w:t>https://www.ncbi.nlm.nih.gov/pmc/articles/PMC9594905/</w:t>
        </w:r>
      </w:hyperlink>
      <w:r w:rsidR="0061430C">
        <w:t>) (</w:t>
      </w:r>
      <w:hyperlink r:id="rId10" w:history="1">
        <w:r w:rsidR="009C516F" w:rsidRPr="00A120C7">
          <w:rPr>
            <w:rStyle w:val="Hyperlink"/>
          </w:rPr>
          <w:t>https://tropmedhealth.biomedcentral.com/articles/10.1186/s41182-023-00528-6</w:t>
        </w:r>
      </w:hyperlink>
      <w:r w:rsidR="009C516F">
        <w:t>) (</w:t>
      </w:r>
      <w:hyperlink r:id="rId11" w:history="1">
        <w:r w:rsidR="009C516F" w:rsidRPr="00A120C7">
          <w:rPr>
            <w:rStyle w:val="Hyperlink"/>
          </w:rPr>
          <w:t>https://www.ijidonline.com/article/S1201-9712(23)00711-7/pdf</w:t>
        </w:r>
      </w:hyperlink>
      <w:r w:rsidR="009C516F">
        <w:t>) (</w:t>
      </w:r>
      <w:hyperlink r:id="rId12" w:history="1">
        <w:r w:rsidR="00C72C72" w:rsidRPr="00A120C7">
          <w:rPr>
            <w:rStyle w:val="Hyperlink"/>
          </w:rPr>
          <w:t>https://www.ncbi.nlm.nih.gov/pmc/articles/PMC2866390/</w:t>
        </w:r>
      </w:hyperlink>
      <w:r w:rsidR="00C72C72">
        <w:t>) (</w:t>
      </w:r>
      <w:hyperlink r:id="rId13" w:history="1">
        <w:r w:rsidR="00C72C72" w:rsidRPr="00A120C7">
          <w:rPr>
            <w:rStyle w:val="Hyperlink"/>
          </w:rPr>
          <w:t>https://journals.plos.org/plosntds/article/file?id=10.1371/journal.pntd.0008165&amp;type=printable</w:t>
        </w:r>
      </w:hyperlink>
      <w:r w:rsidR="00C72C72">
        <w:t>) (</w:t>
      </w:r>
      <w:hyperlink r:id="rId14" w:history="1">
        <w:r w:rsidR="002D012D" w:rsidRPr="00A120C7">
          <w:rPr>
            <w:rStyle w:val="Hyperlink"/>
          </w:rPr>
          <w:t>https://parasitesandvectors.biomedcentral.com/articles/10.1186/s13071-022-05409-1</w:t>
        </w:r>
      </w:hyperlink>
      <w:r w:rsidR="002D012D">
        <w:t>) (</w:t>
      </w:r>
      <w:hyperlink r:id="rId15" w:history="1">
        <w:r w:rsidR="002D012D" w:rsidRPr="00A120C7">
          <w:rPr>
            <w:rStyle w:val="Hyperlink"/>
          </w:rPr>
          <w:t>https://www.sciencedirect.com/science/article/pii/S2405673117300612?via%3Dihub</w:t>
        </w:r>
      </w:hyperlink>
      <w:r w:rsidR="002D012D">
        <w:t>) (</w:t>
      </w:r>
      <w:hyperlink r:id="rId16" w:anchor=":~:text=4.-,Discussion,2%20remained%20a%20minor%20serotype" w:history="1">
        <w:r w:rsidR="006615B4" w:rsidRPr="00A120C7">
          <w:rPr>
            <w:rStyle w:val="Hyperlink"/>
          </w:rPr>
          <w:t>https://www.mdpi.com/1999-4915/15/2/507#:~:text=4.-,Discussion,2%20remained%20a%20minor%20serotype</w:t>
        </w:r>
      </w:hyperlink>
      <w:r w:rsidR="006615B4" w:rsidRPr="006615B4">
        <w:t>.</w:t>
      </w:r>
      <w:r w:rsidR="006615B4">
        <w:t xml:space="preserve">) </w:t>
      </w:r>
    </w:p>
    <w:p w14:paraId="28E864B3" w14:textId="002EC436" w:rsidR="002D3037" w:rsidRDefault="006615B4">
      <w:r>
        <w:t>(</w:t>
      </w:r>
      <w:hyperlink r:id="rId17" w:history="1">
        <w:r w:rsidRPr="00A120C7">
          <w:rPr>
            <w:rStyle w:val="Hyperlink"/>
          </w:rPr>
          <w:t>https://www.nature.com/articles/s41598-023-35928-5</w:t>
        </w:r>
      </w:hyperlink>
      <w:r>
        <w:t xml:space="preserve">) </w:t>
      </w:r>
      <w:r w:rsidR="00350142">
        <w:t>(</w:t>
      </w:r>
      <w:hyperlink r:id="rId18" w:anchor=":~:text=in%20these%20areas.-,CONCLUSION,%2F1994%20is%20DENV%2D2" w:history="1">
        <w:r w:rsidR="00350142" w:rsidRPr="00A120C7">
          <w:rPr>
            <w:rStyle w:val="Hyperlink"/>
          </w:rPr>
          <w:t>https://journals.lww.com/jvbd/fulltext/2022/59020/an_overview_of_dengue_viral_infection_circulating.1.aspx#:~:text=in%20these%20areas.-,CONCLUSION,%2F1994%20is%20DENV%2D2</w:t>
        </w:r>
      </w:hyperlink>
      <w:r w:rsidR="00350142" w:rsidRPr="00350142">
        <w:t>.</w:t>
      </w:r>
      <w:r w:rsidR="00350142">
        <w:t>) (</w:t>
      </w:r>
      <w:hyperlink r:id="rId19" w:history="1">
        <w:r w:rsidR="00350142" w:rsidRPr="00A120C7">
          <w:rPr>
            <w:rStyle w:val="Hyperlink"/>
          </w:rPr>
          <w:t>https://www.scielo.br/j/bjb/a/vmvbFKXcP5zbfhrr6TkwjQz/#</w:t>
        </w:r>
      </w:hyperlink>
      <w:r w:rsidR="00350142">
        <w:t xml:space="preserve">) </w:t>
      </w:r>
    </w:p>
    <w:p w14:paraId="2432559F" w14:textId="09187046" w:rsidR="002D3037" w:rsidRDefault="002D3037">
      <w:r>
        <w:t>(</w:t>
      </w:r>
      <w:hyperlink r:id="rId20" w:anchor=":~:text=Circulating%20Dengue%20Serotypes&amp;text=DENV%2D2%20and%20DENV%2D3,was%20not%20identified%20in%20samples" w:history="1">
        <w:r w:rsidRPr="00A120C7">
          <w:rPr>
            <w:rStyle w:val="Hyperlink"/>
          </w:rPr>
          <w:t>https://www.ncbi.nlm.nih.gov/pmc/articles/PMC2662655/#:~:text=Circulating%20Dengue%20Serotypes&amp;text=DENV%2D2%20and%20DENV%2D3,was%20not%20identified%20in%20samples</w:t>
        </w:r>
      </w:hyperlink>
      <w:r w:rsidRPr="002D3037">
        <w:t>.</w:t>
      </w:r>
      <w:r>
        <w:t>)</w:t>
      </w:r>
    </w:p>
    <w:p w14:paraId="64DBA8F7" w14:textId="5A8089AF" w:rsidR="002D3037" w:rsidRDefault="002D3037">
      <w:r>
        <w:t>(</w:t>
      </w:r>
      <w:hyperlink r:id="rId21" w:history="1">
        <w:r w:rsidRPr="00A120C7">
          <w:rPr>
            <w:rStyle w:val="Hyperlink"/>
          </w:rPr>
          <w:t>https://www.ncbi.nlm.nih.gov/pmc/articles/PMC8618005/</w:t>
        </w:r>
      </w:hyperlink>
      <w:r>
        <w:t>)</w:t>
      </w:r>
    </w:p>
    <w:p w14:paraId="6A54A108" w14:textId="77777777" w:rsidR="000934D6" w:rsidRDefault="002D3037">
      <w:r>
        <w:t>(</w:t>
      </w:r>
      <w:hyperlink r:id="rId22" w:history="1">
        <w:r w:rsidRPr="00A120C7">
          <w:rPr>
            <w:rStyle w:val="Hyperlink"/>
          </w:rPr>
          <w:t>https://www.sciencedirect.com/science/article/pii/S1201971213003421</w:t>
        </w:r>
      </w:hyperlink>
      <w:r>
        <w:t>) (</w:t>
      </w:r>
      <w:hyperlink r:id="rId23" w:history="1">
        <w:r w:rsidRPr="00A120C7">
          <w:rPr>
            <w:rStyle w:val="Hyperlink"/>
          </w:rPr>
          <w:t>https://www.idhjournal.com.au/article/S2468-0451(18)30021-X/fulltext</w:t>
        </w:r>
      </w:hyperlink>
      <w:r>
        <w:t xml:space="preserve">) </w:t>
      </w:r>
    </w:p>
    <w:p w14:paraId="0B4E093D" w14:textId="2A5D4DE1" w:rsidR="00F14C33" w:rsidRDefault="000934D6">
      <w:r>
        <w:t>(</w:t>
      </w:r>
      <w:hyperlink r:id="rId24" w:history="1">
        <w:r w:rsidRPr="00A120C7">
          <w:rPr>
            <w:rStyle w:val="Hyperlink"/>
          </w:rPr>
          <w:t>https://www.ijidonline.com/article/S1201-9712(13)00342-1/pdf</w:t>
        </w:r>
      </w:hyperlink>
      <w:r>
        <w:t xml:space="preserve">) </w:t>
      </w:r>
      <w:r w:rsidR="00F14C33" w:rsidRPr="00F14C33">
        <w:t>.</w:t>
      </w:r>
    </w:p>
    <w:p w14:paraId="41A6B437" w14:textId="77777777" w:rsidR="000B6035" w:rsidRDefault="000B6035">
      <w:pPr>
        <w:rPr>
          <w:rFonts w:ascii="Times New Roman" w:hAnsi="Times New Roman" w:cs="Times New Roman"/>
          <w:b/>
          <w:color w:val="1C1C1C"/>
          <w:shd w:val="clear" w:color="auto" w:fill="FFFFFF"/>
        </w:rPr>
      </w:pPr>
      <w:r>
        <w:rPr>
          <w:rFonts w:ascii="Times New Roman" w:hAnsi="Times New Roman" w:cs="Times New Roman"/>
          <w:b/>
          <w:color w:val="1C1C1C"/>
          <w:shd w:val="clear" w:color="auto" w:fill="FFFFFF"/>
        </w:rPr>
        <w:br w:type="page"/>
      </w:r>
    </w:p>
    <w:p w14:paraId="7AFBBDE5" w14:textId="6B8753CC" w:rsidR="000934D6" w:rsidRPr="00BA7E40" w:rsidRDefault="000934D6" w:rsidP="000934D6">
      <w:pPr>
        <w:spacing w:after="0" w:line="480" w:lineRule="auto"/>
        <w:rPr>
          <w:rFonts w:ascii="Times New Roman" w:hAnsi="Times New Roman" w:cs="Times New Roman"/>
          <w:b/>
          <w:color w:val="1C1C1C"/>
          <w:shd w:val="clear" w:color="auto" w:fill="FFFFFF"/>
        </w:rPr>
      </w:pPr>
      <w:r>
        <w:rPr>
          <w:rFonts w:ascii="Times New Roman" w:hAnsi="Times New Roman" w:cs="Times New Roman"/>
          <w:b/>
          <w:color w:val="1C1C1C"/>
          <w:shd w:val="clear" w:color="auto" w:fill="FFFFFF"/>
        </w:rPr>
        <w:lastRenderedPageBreak/>
        <w:t>C</w:t>
      </w:r>
      <w:r w:rsidRPr="00BA7E40">
        <w:rPr>
          <w:rFonts w:ascii="Times New Roman" w:hAnsi="Times New Roman" w:cs="Times New Roman"/>
          <w:b/>
          <w:color w:val="1C1C1C"/>
          <w:shd w:val="clear" w:color="auto" w:fill="FFFFFF"/>
        </w:rPr>
        <w:t>ase-fatality rat</w:t>
      </w:r>
      <w:r>
        <w:rPr>
          <w:rFonts w:ascii="Times New Roman" w:hAnsi="Times New Roman" w:cs="Times New Roman"/>
          <w:b/>
          <w:color w:val="1C1C1C"/>
          <w:shd w:val="clear" w:color="auto" w:fill="FFFFFF"/>
        </w:rPr>
        <w:t>io</w:t>
      </w:r>
      <w:r w:rsidRPr="00BA7E40">
        <w:rPr>
          <w:rFonts w:ascii="Times New Roman" w:hAnsi="Times New Roman" w:cs="Times New Roman"/>
          <w:b/>
          <w:color w:val="1C1C1C"/>
          <w:shd w:val="clear" w:color="auto" w:fill="FFFFFF"/>
        </w:rPr>
        <w:t xml:space="preserve"> (CFR)</w:t>
      </w:r>
    </w:p>
    <w:p w14:paraId="27A6A99F" w14:textId="3EF00A52" w:rsidR="00370EEF" w:rsidRDefault="00370EEF" w:rsidP="000B6035">
      <w:pPr>
        <w:spacing w:after="0" w:line="480" w:lineRule="auto"/>
        <w:rPr>
          <w:rFonts w:ascii="Times New Roman" w:hAnsi="Times New Roman" w:cs="Times New Roman"/>
          <w:color w:val="000000"/>
        </w:rPr>
      </w:pPr>
      <w:r w:rsidRPr="00370EEF">
        <w:rPr>
          <w:rFonts w:ascii="Times New Roman" w:hAnsi="Times New Roman" w:cs="Times New Roman"/>
          <w:color w:val="000000"/>
        </w:rPr>
        <w:t>We computed the Case Fatality Rate (CFR) of dengue as the percentage of dengue-attributed deaths among confirmed cases, using the formula: CFR = (dengue-attributed deaths / confirmed cases) x 100.</w:t>
      </w:r>
    </w:p>
    <w:p w14:paraId="4663C262" w14:textId="77777777" w:rsidR="00370EEF" w:rsidRPr="000B6035" w:rsidRDefault="00370EEF" w:rsidP="000B6035">
      <w:pPr>
        <w:spacing w:after="0" w:line="480" w:lineRule="auto"/>
        <w:rPr>
          <w:rFonts w:ascii="Times New Roman" w:hAnsi="Times New Roman" w:cs="Times New Roman"/>
        </w:rPr>
      </w:pPr>
    </w:p>
    <w:p w14:paraId="7794D6AD" w14:textId="5B9D0874" w:rsidR="000B6035" w:rsidRPr="00BA7E40" w:rsidRDefault="000B6035" w:rsidP="000B6035">
      <w:pPr>
        <w:spacing w:after="0" w:line="480" w:lineRule="auto"/>
        <w:rPr>
          <w:rFonts w:ascii="Times New Roman" w:hAnsi="Times New Roman" w:cs="Times New Roman"/>
          <w:b/>
          <w:color w:val="000000"/>
        </w:rPr>
      </w:pPr>
      <w:r w:rsidRPr="00BA7E40">
        <w:rPr>
          <w:rFonts w:ascii="Times New Roman" w:hAnsi="Times New Roman" w:cs="Times New Roman"/>
          <w:b/>
          <w:color w:val="000000"/>
        </w:rPr>
        <w:t>Time series model to predict the trend</w:t>
      </w:r>
    </w:p>
    <w:p w14:paraId="4D1FBCDC" w14:textId="77777777" w:rsidR="000B6035" w:rsidRDefault="000B6035" w:rsidP="000B6035">
      <w:pPr>
        <w:spacing w:after="0" w:line="480" w:lineRule="auto"/>
        <w:rPr>
          <w:rFonts w:ascii="Times New Roman" w:hAnsi="Times New Roman" w:cs="Times New Roman"/>
          <w:bCs/>
          <w:color w:val="000000"/>
        </w:rPr>
      </w:pPr>
      <w:r>
        <w:rPr>
          <w:rFonts w:ascii="Times New Roman" w:hAnsi="Times New Roman" w:cs="Times New Roman"/>
          <w:color w:val="000000"/>
        </w:rPr>
        <w:t>T</w:t>
      </w:r>
      <w:r w:rsidRPr="00BA7E40">
        <w:rPr>
          <w:rFonts w:ascii="Times New Roman" w:hAnsi="Times New Roman" w:cs="Times New Roman"/>
          <w:color w:val="000000"/>
        </w:rPr>
        <w:t xml:space="preserve">hree </w:t>
      </w:r>
      <w:r>
        <w:rPr>
          <w:rFonts w:ascii="Times New Roman" w:hAnsi="Times New Roman" w:cs="Times New Roman"/>
          <w:color w:val="000000"/>
        </w:rPr>
        <w:t>time-series</w:t>
      </w:r>
      <w:r w:rsidRPr="00BA7E40">
        <w:rPr>
          <w:rFonts w:ascii="Times New Roman" w:hAnsi="Times New Roman" w:cs="Times New Roman"/>
          <w:color w:val="000000"/>
        </w:rPr>
        <w:t xml:space="preserve"> models (i.e., </w:t>
      </w:r>
      <w:r w:rsidRPr="00BA7E40">
        <w:rPr>
          <w:rFonts w:ascii="Times New Roman" w:hAnsi="Times New Roman" w:cs="Times New Roman"/>
        </w:rPr>
        <w:t>auto-regressive integrated moving average (</w:t>
      </w:r>
      <w:r w:rsidRPr="00BA7E40">
        <w:rPr>
          <w:rFonts w:ascii="Times New Roman" w:hAnsi="Times New Roman" w:cs="Times New Roman"/>
          <w:bCs/>
          <w:color w:val="000000"/>
        </w:rPr>
        <w:t>ARIMA</w:t>
      </w:r>
      <w:r w:rsidRPr="00BA7E40">
        <w:rPr>
          <w:rFonts w:ascii="Times New Roman" w:hAnsi="Times New Roman" w:cs="Times New Roman"/>
        </w:rPr>
        <w:t>)</w:t>
      </w:r>
      <w:r>
        <w:rPr>
          <w:rFonts w:ascii="Times New Roman" w:hAnsi="Times New Roman" w:cs="Times New Roman"/>
        </w:rPr>
        <w:t xml:space="preserve">, </w:t>
      </w:r>
      <w:r w:rsidRPr="00BA7E40">
        <w:rPr>
          <w:rFonts w:ascii="Times New Roman" w:hAnsi="Times New Roman" w:cs="Times New Roman"/>
        </w:rPr>
        <w:t>automatic time-series forecasting model</w:t>
      </w:r>
      <w:r w:rsidRPr="00BA7E40">
        <w:rPr>
          <w:rFonts w:ascii="Times New Roman" w:hAnsi="Times New Roman" w:cs="Times New Roman"/>
          <w:bCs/>
        </w:rPr>
        <w:t xml:space="preserve"> </w:t>
      </w:r>
      <w:r>
        <w:rPr>
          <w:rFonts w:ascii="Times New Roman" w:hAnsi="Times New Roman" w:cs="Times New Roman"/>
          <w:bCs/>
        </w:rPr>
        <w:t xml:space="preserve">also known as ‘Prophet model’, and </w:t>
      </w:r>
      <w:r w:rsidRPr="00BA7E40">
        <w:rPr>
          <w:rFonts w:ascii="Times New Roman" w:hAnsi="Times New Roman" w:cs="Times New Roman"/>
          <w:bCs/>
        </w:rPr>
        <w:t>simple exponential smoothing (SES)</w:t>
      </w:r>
      <w:r w:rsidRPr="00BA7E40">
        <w:rPr>
          <w:rFonts w:ascii="Times New Roman" w:hAnsi="Times New Roman" w:cs="Times New Roman"/>
          <w:color w:val="000000"/>
        </w:rPr>
        <w:t xml:space="preserve">), </w:t>
      </w:r>
      <w:r>
        <w:rPr>
          <w:rFonts w:ascii="Times New Roman" w:hAnsi="Times New Roman" w:cs="Times New Roman"/>
          <w:color w:val="000000"/>
        </w:rPr>
        <w:t xml:space="preserve">were used </w:t>
      </w:r>
      <w:r w:rsidRPr="00BA7E40">
        <w:rPr>
          <w:rFonts w:ascii="Times New Roman" w:hAnsi="Times New Roman" w:cs="Times New Roman"/>
          <w:color w:val="000000"/>
        </w:rPr>
        <w:t xml:space="preserve">to identify the trend of </w:t>
      </w:r>
      <w:r>
        <w:rPr>
          <w:rFonts w:ascii="Times New Roman" w:hAnsi="Times New Roman" w:cs="Times New Roman"/>
          <w:color w:val="000000"/>
        </w:rPr>
        <w:t xml:space="preserve">south-Asian dengue </w:t>
      </w:r>
      <w:r w:rsidRPr="00BA7E40">
        <w:rPr>
          <w:rFonts w:ascii="Times New Roman" w:hAnsi="Times New Roman" w:cs="Times New Roman"/>
          <w:color w:val="000000"/>
        </w:rPr>
        <w:t>CFR</w:t>
      </w:r>
      <w:r>
        <w:rPr>
          <w:rFonts w:ascii="Times New Roman" w:hAnsi="Times New Roman" w:cs="Times New Roman"/>
          <w:color w:val="000000"/>
        </w:rPr>
        <w:t xml:space="preserve"> from 2000-2023</w:t>
      </w:r>
      <w:r w:rsidRPr="00BA7E40">
        <w:rPr>
          <w:rFonts w:ascii="Times New Roman" w:hAnsi="Times New Roman" w:cs="Times New Roman"/>
          <w:color w:val="000000"/>
        </w:rPr>
        <w:t xml:space="preserve">. </w:t>
      </w:r>
      <w:r w:rsidRPr="00BA7E40">
        <w:rPr>
          <w:rFonts w:ascii="Times New Roman" w:hAnsi="Times New Roman" w:cs="Times New Roman"/>
          <w:bCs/>
          <w:color w:val="000000"/>
        </w:rPr>
        <w:t xml:space="preserve">The details of </w:t>
      </w:r>
      <w:r>
        <w:rPr>
          <w:rFonts w:ascii="Times New Roman" w:hAnsi="Times New Roman" w:cs="Times New Roman"/>
          <w:bCs/>
          <w:color w:val="000000"/>
        </w:rPr>
        <w:t xml:space="preserve">the </w:t>
      </w:r>
      <w:r w:rsidRPr="00BA7E40">
        <w:rPr>
          <w:rFonts w:ascii="Times New Roman" w:hAnsi="Times New Roman" w:cs="Times New Roman"/>
          <w:bCs/>
          <w:color w:val="000000"/>
        </w:rPr>
        <w:t>SES, ARIMA</w:t>
      </w:r>
      <w:r>
        <w:rPr>
          <w:rFonts w:ascii="Times New Roman" w:hAnsi="Times New Roman" w:cs="Times New Roman"/>
          <w:bCs/>
          <w:color w:val="000000"/>
        </w:rPr>
        <w:t>,</w:t>
      </w:r>
      <w:r w:rsidRPr="00BA7E40">
        <w:rPr>
          <w:rFonts w:ascii="Times New Roman" w:hAnsi="Times New Roman" w:cs="Times New Roman"/>
          <w:bCs/>
          <w:color w:val="000000"/>
        </w:rPr>
        <w:t xml:space="preserve"> and Prophet models are discussed in </w:t>
      </w:r>
      <w:r>
        <w:rPr>
          <w:rFonts w:ascii="Times New Roman" w:hAnsi="Times New Roman" w:cs="Times New Roman"/>
          <w:bCs/>
          <w:color w:val="000000"/>
        </w:rPr>
        <w:t xml:space="preserve">an </w:t>
      </w:r>
      <w:r w:rsidRPr="00BA7E40">
        <w:rPr>
          <w:rFonts w:ascii="Times New Roman" w:hAnsi="Times New Roman" w:cs="Times New Roman"/>
          <w:bCs/>
          <w:color w:val="000000"/>
        </w:rPr>
        <w:t xml:space="preserve">earlier article on COVID-19 </w:t>
      </w:r>
      <w:r w:rsidRPr="00BA7E40">
        <w:rPr>
          <w:rFonts w:ascii="Times New Roman" w:hAnsi="Times New Roman" w:cs="Times New Roman"/>
          <w:bCs/>
          <w:color w:val="000000"/>
        </w:rPr>
        <w:fldChar w:fldCharType="begin" w:fldLock="1"/>
      </w:r>
      <w:r>
        <w:rPr>
          <w:rFonts w:ascii="Times New Roman" w:hAnsi="Times New Roman" w:cs="Times New Roman"/>
          <w:bCs/>
          <w:color w:val="000000"/>
        </w:rPr>
        <w:instrText>ADDIN CSL_CITATION {"citationItems":[{"id":"ITEM-1","itemData":{"DOI":"10.4269/ajtmh.20-1496","ISSN":"1476-1645","PMID":"33882025","abstract":"The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COVID-19.","author":[{"dropping-particle":"","family":"Hasan","given":"Mohammad Nayeem","non-dropping-particle":"","parse-names":false,"suffix":""},{"dropping-particle":"","family":"Haider","given":"Najmul","non-dropping-particle":"","parse-names":false,"suffix":""},{"dropping-particle":"","family":"Stigler","given":"Florian L.","non-dropping-particle":"","parse-names":false,"suffix":""},{"dropping-particle":"","family":"Khan","given":"Rumi Ahmed","non-dropping-particle":"","parse-names":false,"suffix":""},{"dropping-particle":"","family":"McCoy","given":"David","non-dropping-particle":"","parse-names":false,"suffix":""},{"dropping-particle":"","family":"Zumla","given":"Alimuddin","non-dropping-particle":"","parse-names":false,"suffix":""},{"dropping-particle":"","family":"Kock","given":"Richard A.","non-dropping-particle":"","parse-names":false,"suffix":""},{"dropping-particle":"","family":"Uddin","given":"Md Jamal","non-dropping-particle":"","parse-names":false,"suffix":""}],"container-title":"The American journal of tropical medicine and hygiene","id":"ITEM-1","issue":"6","issued":{"date-parts":[["2021","4","21"]]},"page":"2176-2184","title":"The Global Case-Fatality Rate of COVID-19 Has Been Declining Since May 2020.","type":"article-journal","volume":"104"},"uris":["http://www.mendeley.com/documents/?uuid=2398d37f-d2e3-41d2-a4db-2640d59b8c03"]}],"mendeley":{"formattedCitation":"(Hasan et al. 2021)","plainTextFormattedCitation":"(Hasan et al. 2021)","previouslyFormattedCitation":"(Hasan et al. 2021)"},"properties":{"noteIndex":0},"schema":"https://github.com/citation-style-language/schema/raw/master/csl-citation.json"}</w:instrText>
      </w:r>
      <w:r w:rsidRPr="00BA7E40">
        <w:rPr>
          <w:rFonts w:ascii="Times New Roman" w:hAnsi="Times New Roman" w:cs="Times New Roman"/>
          <w:bCs/>
          <w:color w:val="000000"/>
        </w:rPr>
        <w:fldChar w:fldCharType="separate"/>
      </w:r>
      <w:r w:rsidRPr="00FD6347">
        <w:rPr>
          <w:rFonts w:ascii="Times New Roman" w:hAnsi="Times New Roman" w:cs="Times New Roman"/>
          <w:bCs/>
          <w:noProof/>
          <w:color w:val="000000"/>
        </w:rPr>
        <w:t>(Hasan et al. 2021)</w:t>
      </w:r>
      <w:r w:rsidRPr="00BA7E40">
        <w:rPr>
          <w:rFonts w:ascii="Times New Roman" w:hAnsi="Times New Roman" w:cs="Times New Roman"/>
          <w:bCs/>
          <w:color w:val="000000"/>
        </w:rPr>
        <w:fldChar w:fldCharType="end"/>
      </w:r>
      <w:r w:rsidRPr="00BA7E40">
        <w:rPr>
          <w:rFonts w:ascii="Times New Roman" w:hAnsi="Times New Roman" w:cs="Times New Roman"/>
          <w:bCs/>
          <w:color w:val="000000"/>
        </w:rPr>
        <w:t>.</w:t>
      </w:r>
    </w:p>
    <w:p w14:paraId="34FBC0F6" w14:textId="77777777" w:rsidR="00370EEF" w:rsidRDefault="00370EEF" w:rsidP="000B6035">
      <w:pPr>
        <w:spacing w:after="0" w:line="480" w:lineRule="auto"/>
        <w:rPr>
          <w:rFonts w:ascii="Times New Roman" w:hAnsi="Times New Roman" w:cs="Times New Roman"/>
          <w:bCs/>
          <w:color w:val="000000"/>
        </w:rPr>
      </w:pPr>
    </w:p>
    <w:p w14:paraId="5A6D4F37" w14:textId="39267A81" w:rsidR="000B6035" w:rsidRPr="00BA7E40" w:rsidRDefault="000B6035" w:rsidP="000B6035">
      <w:pPr>
        <w:spacing w:after="0" w:line="480" w:lineRule="auto"/>
        <w:rPr>
          <w:rFonts w:ascii="Times New Roman" w:hAnsi="Times New Roman" w:cs="Times New Roman"/>
          <w:b/>
          <w:bCs/>
        </w:rPr>
      </w:pPr>
      <w:r w:rsidRPr="00BA7E40">
        <w:rPr>
          <w:rFonts w:ascii="Times New Roman" w:hAnsi="Times New Roman" w:cs="Times New Roman"/>
          <w:b/>
          <w:bCs/>
        </w:rPr>
        <w:t>Empirical evaluation</w:t>
      </w:r>
    </w:p>
    <w:p w14:paraId="502CCF08" w14:textId="1945B01B" w:rsidR="005C71F7" w:rsidRDefault="005C71F7" w:rsidP="000B6035">
      <w:pPr>
        <w:spacing w:after="0" w:line="480" w:lineRule="auto"/>
        <w:rPr>
          <w:rFonts w:ascii="Times New Roman" w:hAnsi="Times New Roman" w:cs="Times New Roman"/>
          <w:bCs/>
          <w:color w:val="000000"/>
        </w:rPr>
      </w:pPr>
      <w:r w:rsidRPr="005C71F7">
        <w:rPr>
          <w:rFonts w:ascii="Times New Roman" w:hAnsi="Times New Roman" w:cs="Times New Roman"/>
          <w:bCs/>
          <w:color w:val="000000"/>
        </w:rPr>
        <w:t>We utilized the autoregressive integrated moving average (ARIMA) model for forecasting. The specifics of the ARIMA model are detailed in a previous article on dengue</w:t>
      </w:r>
      <w:r>
        <w:rPr>
          <w:rFonts w:ascii="Times New Roman" w:hAnsi="Times New Roman" w:cs="Times New Roman"/>
          <w:bCs/>
          <w:color w:val="000000"/>
        </w:rPr>
        <w:t xml:space="preserve"> (</w:t>
      </w:r>
      <w:hyperlink r:id="rId25" w:history="1">
        <w:r w:rsidRPr="00A120C7">
          <w:rPr>
            <w:rStyle w:val="Hyperlink"/>
            <w:rFonts w:ascii="Times New Roman" w:hAnsi="Times New Roman" w:cs="Times New Roman"/>
            <w:bCs/>
          </w:rPr>
          <w:t>https://academic.oup.com/jme/article/61/2/345/7585384</w:t>
        </w:r>
      </w:hyperlink>
      <w:r>
        <w:rPr>
          <w:rFonts w:ascii="Times New Roman" w:hAnsi="Times New Roman" w:cs="Times New Roman"/>
          <w:bCs/>
          <w:color w:val="000000"/>
        </w:rPr>
        <w:t>)</w:t>
      </w:r>
      <w:r w:rsidRPr="005C71F7">
        <w:rPr>
          <w:rFonts w:ascii="Times New Roman" w:hAnsi="Times New Roman" w:cs="Times New Roman"/>
          <w:bCs/>
          <w:color w:val="000000"/>
        </w:rPr>
        <w:t>. Additionally, we employed a Mann–Kendall (M–K) trend analysis to identify potential upward or downward trends</w:t>
      </w:r>
      <w:r>
        <w:rPr>
          <w:rFonts w:ascii="Times New Roman" w:hAnsi="Times New Roman" w:cs="Times New Roman"/>
          <w:bCs/>
          <w:color w:val="000000"/>
        </w:rPr>
        <w:t xml:space="preserve"> (</w:t>
      </w:r>
      <w:hyperlink r:id="rId26" w:tgtFrame="_blank" w:history="1">
        <w:r>
          <w:rPr>
            <w:rStyle w:val="Hyperlink"/>
            <w:rFonts w:ascii="Source Sans Pro" w:hAnsi="Source Sans Pro"/>
            <w:color w:val="006FB7"/>
            <w:sz w:val="23"/>
            <w:szCs w:val="23"/>
            <w:bdr w:val="none" w:sz="0" w:space="0" w:color="auto" w:frame="1"/>
            <w:shd w:val="clear" w:color="auto" w:fill="FFFFFF"/>
          </w:rPr>
          <w:t>https://doi.org/10.1623/hysj.49.1.21.53996</w:t>
        </w:r>
      </w:hyperlink>
      <w:r>
        <w:t>)</w:t>
      </w:r>
      <w:r w:rsidRPr="005C71F7">
        <w:rPr>
          <w:rFonts w:ascii="Times New Roman" w:hAnsi="Times New Roman" w:cs="Times New Roman"/>
          <w:bCs/>
          <w:color w:val="000000"/>
        </w:rPr>
        <w:t>. The null hypothesis assumes no monotonic trend, while the alternative hypothesis suggests the presence of a trend, which may be positive, negative, or non-null. Furthermore, we conducted Sen’s slope test to evaluate variations in annual dengue cases and deaths. A positive slope indicates an upward trend, while a negative slope indicates a downward trend over a given period</w:t>
      </w:r>
      <w:r>
        <w:rPr>
          <w:rFonts w:ascii="Times New Roman" w:hAnsi="Times New Roman" w:cs="Times New Roman"/>
          <w:bCs/>
          <w:color w:val="000000"/>
        </w:rPr>
        <w:t xml:space="preserve"> (</w:t>
      </w:r>
      <w:hyperlink r:id="rId27" w:tgtFrame="_blank" w:history="1">
        <w:r>
          <w:rPr>
            <w:rStyle w:val="Hyperlink"/>
            <w:rFonts w:ascii="Source Sans Pro" w:hAnsi="Source Sans Pro"/>
            <w:color w:val="006FB7"/>
            <w:sz w:val="23"/>
            <w:szCs w:val="23"/>
            <w:bdr w:val="none" w:sz="0" w:space="0" w:color="auto" w:frame="1"/>
            <w:shd w:val="clear" w:color="auto" w:fill="FFFFFF"/>
          </w:rPr>
          <w:t>https://doi.org/10.1080/01621459.1968.10480934</w:t>
        </w:r>
      </w:hyperlink>
      <w:r>
        <w:t>)</w:t>
      </w:r>
      <w:r w:rsidRPr="005C71F7">
        <w:rPr>
          <w:rFonts w:ascii="Times New Roman" w:hAnsi="Times New Roman" w:cs="Times New Roman"/>
          <w:bCs/>
          <w:color w:val="000000"/>
        </w:rPr>
        <w:t>.</w:t>
      </w:r>
    </w:p>
    <w:p w14:paraId="5B7911D2" w14:textId="77777777" w:rsidR="005C71F7" w:rsidRDefault="005C71F7" w:rsidP="000B6035">
      <w:pPr>
        <w:spacing w:after="0" w:line="480" w:lineRule="auto"/>
        <w:rPr>
          <w:rFonts w:ascii="Times New Roman" w:hAnsi="Times New Roman" w:cs="Times New Roman"/>
          <w:bCs/>
          <w:color w:val="000000"/>
        </w:rPr>
      </w:pPr>
    </w:p>
    <w:p w14:paraId="4F21A0E0" w14:textId="4CD67CA8" w:rsidR="000B6035" w:rsidRPr="00BA7E40" w:rsidRDefault="000B6035" w:rsidP="000B6035">
      <w:pPr>
        <w:spacing w:after="0" w:line="480" w:lineRule="auto"/>
        <w:rPr>
          <w:rFonts w:ascii="Times New Roman" w:hAnsi="Times New Roman" w:cs="Times New Roman"/>
          <w:b/>
          <w:color w:val="1C1C1C"/>
          <w:shd w:val="clear" w:color="auto" w:fill="FFFFFF"/>
        </w:rPr>
      </w:pPr>
      <w:r w:rsidRPr="00BA7E40">
        <w:rPr>
          <w:rFonts w:ascii="Times New Roman" w:hAnsi="Times New Roman" w:cs="Times New Roman"/>
          <w:b/>
          <w:color w:val="1C1C1C"/>
          <w:shd w:val="clear" w:color="auto" w:fill="FFFFFF"/>
        </w:rPr>
        <w:t>Statistical analysis</w:t>
      </w:r>
    </w:p>
    <w:p w14:paraId="5883ECE6" w14:textId="28DBDFF0" w:rsidR="000B6035" w:rsidRPr="00BA7E40" w:rsidRDefault="00FA4CB6" w:rsidP="000B6035">
      <w:pPr>
        <w:spacing w:after="0" w:line="480" w:lineRule="auto"/>
        <w:rPr>
          <w:rFonts w:ascii="Times New Roman" w:hAnsi="Times New Roman" w:cs="Times New Roman"/>
          <w:bCs/>
          <w:color w:val="000000"/>
        </w:rPr>
      </w:pPr>
      <w:r w:rsidRPr="00FA4CB6">
        <w:rPr>
          <w:rFonts w:ascii="Times New Roman" w:hAnsi="Times New Roman" w:cs="Times New Roman"/>
          <w:bCs/>
          <w:color w:val="000000"/>
        </w:rPr>
        <w:t xml:space="preserve">We conducted an analysis of summary statistics, including the mean and standard error (SE) of dengue cases, deaths, and Case Fatality Rate (CFR) across South Asian countries. Our observations revealed </w:t>
      </w:r>
      <w:r w:rsidRPr="00FA4CB6">
        <w:rPr>
          <w:rFonts w:ascii="Times New Roman" w:hAnsi="Times New Roman" w:cs="Times New Roman"/>
          <w:bCs/>
          <w:color w:val="000000"/>
        </w:rPr>
        <w:lastRenderedPageBreak/>
        <w:t>dynamic shifts in dengue cases, deaths, and CFR trends over time. To forecast future trends, we employed time-series models. All statistical analyses were performed using R version 3.5.2.2.</w:t>
      </w:r>
    </w:p>
    <w:p w14:paraId="43DD0833" w14:textId="77777777" w:rsidR="00767834" w:rsidRDefault="00767834" w:rsidP="000B6035">
      <w:pPr>
        <w:spacing w:after="0" w:line="480" w:lineRule="auto"/>
        <w:rPr>
          <w:rFonts w:ascii="Times New Roman" w:hAnsi="Times New Roman" w:cs="Times New Roman"/>
          <w:color w:val="000000"/>
          <w:shd w:val="clear" w:color="auto" w:fill="FFFFFF"/>
        </w:rPr>
      </w:pPr>
    </w:p>
    <w:p w14:paraId="23FCB23F" w14:textId="4525528F" w:rsidR="000B6035" w:rsidRPr="00767834" w:rsidRDefault="0076721B" w:rsidP="000B6035">
      <w:pPr>
        <w:spacing w:after="0" w:line="480" w:lineRule="auto"/>
        <w:rPr>
          <w:rFonts w:ascii="Times New Roman" w:hAnsi="Times New Roman" w:cs="Times New Roman"/>
          <w:b/>
          <w:bCs/>
          <w:color w:val="000000"/>
          <w:shd w:val="clear" w:color="auto" w:fill="FFFFFF"/>
        </w:rPr>
      </w:pPr>
      <w:r w:rsidRPr="00767834">
        <w:rPr>
          <w:rFonts w:ascii="Times New Roman" w:hAnsi="Times New Roman" w:cs="Times New Roman"/>
          <w:b/>
          <w:bCs/>
          <w:color w:val="000000"/>
          <w:shd w:val="clear" w:color="auto" w:fill="FFFFFF"/>
        </w:rPr>
        <w:t>Results</w:t>
      </w:r>
    </w:p>
    <w:p w14:paraId="5CA3AF47" w14:textId="66213D41" w:rsidR="00B63531" w:rsidRDefault="00535539" w:rsidP="000B6035">
      <w:pPr>
        <w:spacing w:after="0" w:line="48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Figure 1:</w:t>
      </w:r>
    </w:p>
    <w:p w14:paraId="2F1E9346" w14:textId="1920880A" w:rsidR="00781CA7" w:rsidRDefault="00781CA7" w:rsidP="00781CA7">
      <w:pPr>
        <w:spacing w:after="0" w:line="480" w:lineRule="auto"/>
        <w:jc w:val="center"/>
        <w:rPr>
          <w:rFonts w:ascii="Times New Roman" w:hAnsi="Times New Roman" w:cs="Times New Roman"/>
          <w:color w:val="000000"/>
          <w:shd w:val="clear" w:color="auto" w:fill="FFFFFF"/>
        </w:rPr>
      </w:pPr>
      <w:r>
        <w:rPr>
          <w:noProof/>
        </w:rPr>
        <w:lastRenderedPageBreak/>
        <w:drawing>
          <wp:inline distT="0" distB="0" distL="0" distR="0" wp14:anchorId="6DA2A350" wp14:editId="01D5632D">
            <wp:extent cx="4489450" cy="6734175"/>
            <wp:effectExtent l="0" t="0" r="0" b="0"/>
            <wp:docPr id="106822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89450" cy="6734175"/>
                    </a:xfrm>
                    <a:prstGeom prst="rect">
                      <a:avLst/>
                    </a:prstGeom>
                    <a:noFill/>
                    <a:ln>
                      <a:noFill/>
                    </a:ln>
                  </pic:spPr>
                </pic:pic>
              </a:graphicData>
            </a:graphic>
          </wp:inline>
        </w:drawing>
      </w:r>
    </w:p>
    <w:p w14:paraId="448A12A4" w14:textId="2E3F9660" w:rsidR="00781CA7" w:rsidRDefault="00781CA7" w:rsidP="000B6035">
      <w:pPr>
        <w:spacing w:after="0" w:line="48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Figure 2</w:t>
      </w:r>
    </w:p>
    <w:p w14:paraId="273037BA" w14:textId="05A95B4F" w:rsidR="00781CA7" w:rsidRDefault="00781CA7" w:rsidP="000B6035">
      <w:pPr>
        <w:spacing w:after="0" w:line="480" w:lineRule="auto"/>
        <w:rPr>
          <w:rFonts w:ascii="Times New Roman" w:hAnsi="Times New Roman" w:cs="Times New Roman"/>
          <w:color w:val="000000"/>
          <w:shd w:val="clear" w:color="auto" w:fill="FFFFFF"/>
        </w:rPr>
      </w:pPr>
      <w:r>
        <w:rPr>
          <w:noProof/>
        </w:rPr>
        <w:lastRenderedPageBreak/>
        <w:drawing>
          <wp:inline distT="0" distB="0" distL="0" distR="0" wp14:anchorId="436AFACB" wp14:editId="44C983E3">
            <wp:extent cx="5943600" cy="4754880"/>
            <wp:effectExtent l="0" t="0" r="0" b="0"/>
            <wp:docPr id="148632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DDF97B4" w14:textId="768F9BE0" w:rsidR="00781CA7" w:rsidRDefault="00781CA7" w:rsidP="000B6035">
      <w:pPr>
        <w:spacing w:after="0" w:line="48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Figure 3:</w:t>
      </w:r>
    </w:p>
    <w:p w14:paraId="21B88E12" w14:textId="59AC35B9" w:rsidR="00781CA7" w:rsidRPr="0082799F" w:rsidRDefault="00781CA7" w:rsidP="000B6035">
      <w:pPr>
        <w:spacing w:after="0" w:line="480" w:lineRule="auto"/>
        <w:rPr>
          <w:rFonts w:ascii="Times New Roman" w:hAnsi="Times New Roman" w:cs="Times New Roman"/>
          <w:color w:val="000000"/>
          <w:shd w:val="clear" w:color="auto" w:fill="FFFFFF"/>
        </w:rPr>
      </w:pPr>
      <w:r>
        <w:rPr>
          <w:noProof/>
        </w:rPr>
        <w:lastRenderedPageBreak/>
        <w:drawing>
          <wp:inline distT="0" distB="0" distL="0" distR="0" wp14:anchorId="440E9F46" wp14:editId="641CED53">
            <wp:extent cx="5943600" cy="5943600"/>
            <wp:effectExtent l="0" t="0" r="0" b="0"/>
            <wp:docPr id="987611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EAB958B" w14:textId="77777777" w:rsidR="000B6035" w:rsidRPr="0064323A" w:rsidRDefault="000B6035" w:rsidP="000934D6">
      <w:pPr>
        <w:spacing w:after="0" w:line="480" w:lineRule="auto"/>
        <w:rPr>
          <w:rFonts w:ascii="Times New Roman" w:hAnsi="Times New Roman" w:cs="Times New Roman"/>
          <w:color w:val="000000"/>
        </w:rPr>
      </w:pPr>
    </w:p>
    <w:p w14:paraId="38DE7AB3" w14:textId="77777777" w:rsidR="000934D6" w:rsidRDefault="000934D6"/>
    <w:sectPr w:rsidR="000934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F0FED"/>
    <w:rsid w:val="000934D6"/>
    <w:rsid w:val="000B6035"/>
    <w:rsid w:val="002455D5"/>
    <w:rsid w:val="002D012D"/>
    <w:rsid w:val="002D3037"/>
    <w:rsid w:val="00350142"/>
    <w:rsid w:val="00370EEF"/>
    <w:rsid w:val="00477C1D"/>
    <w:rsid w:val="004F41F0"/>
    <w:rsid w:val="00535539"/>
    <w:rsid w:val="005B6F45"/>
    <w:rsid w:val="005C71F7"/>
    <w:rsid w:val="0061430C"/>
    <w:rsid w:val="006615B4"/>
    <w:rsid w:val="00697163"/>
    <w:rsid w:val="006F2ED8"/>
    <w:rsid w:val="0076721B"/>
    <w:rsid w:val="00767834"/>
    <w:rsid w:val="00781CA7"/>
    <w:rsid w:val="007F6203"/>
    <w:rsid w:val="00856571"/>
    <w:rsid w:val="008C4EE3"/>
    <w:rsid w:val="008D1579"/>
    <w:rsid w:val="009C0DE4"/>
    <w:rsid w:val="009C516F"/>
    <w:rsid w:val="00AE56EC"/>
    <w:rsid w:val="00B269BB"/>
    <w:rsid w:val="00B63531"/>
    <w:rsid w:val="00C72C72"/>
    <w:rsid w:val="00CF0FED"/>
    <w:rsid w:val="00D05D25"/>
    <w:rsid w:val="00DD38D1"/>
    <w:rsid w:val="00EA3FA2"/>
    <w:rsid w:val="00EB678F"/>
    <w:rsid w:val="00EC2108"/>
    <w:rsid w:val="00ED5D2B"/>
    <w:rsid w:val="00F14C33"/>
    <w:rsid w:val="00FA4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EE93FF"/>
  <w15:docId w15:val="{E51BDF3F-0C2D-4CF5-A224-F434AE387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2108"/>
    <w:rPr>
      <w:color w:val="0563C1" w:themeColor="hyperlink"/>
      <w:u w:val="single"/>
    </w:rPr>
  </w:style>
  <w:style w:type="character" w:styleId="UnresolvedMention">
    <w:name w:val="Unresolved Mention"/>
    <w:basedOn w:val="DefaultParagraphFont"/>
    <w:uiPriority w:val="99"/>
    <w:semiHidden/>
    <w:unhideWhenUsed/>
    <w:rsid w:val="00EC21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00459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epid.gov.lk/web/index.php?option=com_content&amp;view=article&amp;id=171&amp;Itemid=487&amp;lang=en" TargetMode="External"/><Relationship Id="rId13" Type="http://schemas.openxmlformats.org/officeDocument/2006/relationships/hyperlink" Target="https://journals.plos.org/plosntds/article/file?id=10.1371/journal.pntd.0008165&amp;type=printable" TargetMode="External"/><Relationship Id="rId18" Type="http://schemas.openxmlformats.org/officeDocument/2006/relationships/hyperlink" Target="https://journals.lww.com/jvbd/fulltext/2022/59020/an_overview_of_dengue_viral_infection_circulating.1.aspx" TargetMode="External"/><Relationship Id="rId26" Type="http://schemas.openxmlformats.org/officeDocument/2006/relationships/hyperlink" Target="https://doi.org/10.1623/hysj.49.1.21.53996" TargetMode="External"/><Relationship Id="rId3" Type="http://schemas.openxmlformats.org/officeDocument/2006/relationships/webSettings" Target="webSettings.xml"/><Relationship Id="rId21" Type="http://schemas.openxmlformats.org/officeDocument/2006/relationships/hyperlink" Target="https://www.ncbi.nlm.nih.gov/pmc/articles/PMC8618005/" TargetMode="External"/><Relationship Id="rId7" Type="http://schemas.openxmlformats.org/officeDocument/2006/relationships/hyperlink" Target="https://www.dengue.health.gov.lk/web/index.php/en/" TargetMode="External"/><Relationship Id="rId12" Type="http://schemas.openxmlformats.org/officeDocument/2006/relationships/hyperlink" Target="https://www.ncbi.nlm.nih.gov/pmc/articles/PMC2866390/" TargetMode="External"/><Relationship Id="rId17" Type="http://schemas.openxmlformats.org/officeDocument/2006/relationships/hyperlink" Target="https://www.nature.com/articles/s41598-023-35928-5" TargetMode="External"/><Relationship Id="rId25" Type="http://schemas.openxmlformats.org/officeDocument/2006/relationships/hyperlink" Target="https://academic.oup.com/jme/article/61/2/345/7585384" TargetMode="External"/><Relationship Id="rId2" Type="http://schemas.openxmlformats.org/officeDocument/2006/relationships/settings" Target="settings.xml"/><Relationship Id="rId16" Type="http://schemas.openxmlformats.org/officeDocument/2006/relationships/hyperlink" Target="https://www.mdpi.com/1999-4915/15/2/507" TargetMode="External"/><Relationship Id="rId20" Type="http://schemas.openxmlformats.org/officeDocument/2006/relationships/hyperlink" Target="https://www.ncbi.nlm.nih.gov/pmc/articles/PMC2662655/" TargetMode="External"/><Relationship Id="rId29" Type="http://schemas.openxmlformats.org/officeDocument/2006/relationships/image" Target="media/image2.tiff"/><Relationship Id="rId1" Type="http://schemas.openxmlformats.org/officeDocument/2006/relationships/styles" Target="styles.xml"/><Relationship Id="rId6" Type="http://schemas.openxmlformats.org/officeDocument/2006/relationships/hyperlink" Target="https://ghdx.healthdata.org/organizations/national-disease-surveillance-response-ndsr-afghanistan" TargetMode="External"/><Relationship Id="rId11" Type="http://schemas.openxmlformats.org/officeDocument/2006/relationships/hyperlink" Target="https://www.ijidonline.com/article/S1201-9712(23)00711-7/pdf" TargetMode="External"/><Relationship Id="rId24" Type="http://schemas.openxmlformats.org/officeDocument/2006/relationships/hyperlink" Target="https://www.ijidonline.com/article/S1201-9712(13)00342-1/pdf" TargetMode="External"/><Relationship Id="rId32" Type="http://schemas.openxmlformats.org/officeDocument/2006/relationships/theme" Target="theme/theme1.xml"/><Relationship Id="rId5" Type="http://schemas.openxmlformats.org/officeDocument/2006/relationships/hyperlink" Target="https://moph.gov.af/en/" TargetMode="External"/><Relationship Id="rId15" Type="http://schemas.openxmlformats.org/officeDocument/2006/relationships/hyperlink" Target="https://www.sciencedirect.com/science/article/pii/S2405673117300612?via%3Dihub" TargetMode="External"/><Relationship Id="rId23" Type="http://schemas.openxmlformats.org/officeDocument/2006/relationships/hyperlink" Target="https://www.idhjournal.com.au/article/S2468-0451(18)30021-X/fulltext" TargetMode="External"/><Relationship Id="rId28" Type="http://schemas.openxmlformats.org/officeDocument/2006/relationships/image" Target="media/image1.tiff"/><Relationship Id="rId10" Type="http://schemas.openxmlformats.org/officeDocument/2006/relationships/hyperlink" Target="https://tropmedhealth.biomedcentral.com/articles/10.1186/s41182-023-00528-6" TargetMode="External"/><Relationship Id="rId19" Type="http://schemas.openxmlformats.org/officeDocument/2006/relationships/hyperlink" Target="https://www.scielo.br/j/bjb/a/vmvbFKXcP5zbfhrr6TkwjQz/" TargetMode="External"/><Relationship Id="rId31" Type="http://schemas.openxmlformats.org/officeDocument/2006/relationships/fontTable" Target="fontTable.xml"/><Relationship Id="rId4" Type="http://schemas.openxmlformats.org/officeDocument/2006/relationships/hyperlink" Target="https://www.emro.who.int/afg/information-resources/infectious-disease-outbreak-situation-reports.html" TargetMode="External"/><Relationship Id="rId9" Type="http://schemas.openxmlformats.org/officeDocument/2006/relationships/hyperlink" Target="https://www.ncbi.nlm.nih.gov/pmc/articles/PMC9594905/" TargetMode="External"/><Relationship Id="rId14" Type="http://schemas.openxmlformats.org/officeDocument/2006/relationships/hyperlink" Target="https://parasitesandvectors.biomedcentral.com/articles/10.1186/s13071-022-05409-1" TargetMode="External"/><Relationship Id="rId22" Type="http://schemas.openxmlformats.org/officeDocument/2006/relationships/hyperlink" Target="https://www.sciencedirect.com/science/article/pii/S1201971213003421" TargetMode="External"/><Relationship Id="rId27" Type="http://schemas.openxmlformats.org/officeDocument/2006/relationships/hyperlink" Target="https://doi.org/10.1080/01621459.1968.10480934" TargetMode="External"/><Relationship Id="rId3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2519</TotalTime>
  <Pages>6</Pages>
  <Words>873</Words>
  <Characters>9533</Characters>
  <Application>Microsoft Office Word</Application>
  <DocSecurity>0</DocSecurity>
  <Lines>161</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Nayeem Hasan</dc:creator>
  <cp:keywords/>
  <dc:description/>
  <cp:lastModifiedBy>Mohammad Nayeem Hasan</cp:lastModifiedBy>
  <cp:revision>5</cp:revision>
  <dcterms:created xsi:type="dcterms:W3CDTF">2024-04-08T20:28:00Z</dcterms:created>
  <dcterms:modified xsi:type="dcterms:W3CDTF">2024-04-14T19:23:00Z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7a8aa8fffb60fe3f684b40c3fc9a04fc6f59c9a0dc7d78ff399482db68466f27</vt:lpwstr>
  </property>
</Properties>
</file>