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C1B99" w14:textId="1F3447E9" w:rsidR="00D24E3D" w:rsidRDefault="00E83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way analysis of variance (ANOVA)</w:t>
      </w:r>
    </w:p>
    <w:p w14:paraId="50800AFA" w14:textId="20356437" w:rsidR="00E83338" w:rsidRDefault="00E83338" w:rsidP="00E83338">
      <w:pPr>
        <w:rPr>
          <w:sz w:val="24"/>
          <w:szCs w:val="24"/>
        </w:rPr>
      </w:pPr>
      <w:r w:rsidRPr="00E83338">
        <w:rPr>
          <w:sz w:val="24"/>
          <w:szCs w:val="24"/>
        </w:rPr>
        <w:t xml:space="preserve">For testing </w:t>
      </w:r>
      <w:r>
        <w:rPr>
          <w:sz w:val="24"/>
          <w:szCs w:val="24"/>
        </w:rPr>
        <w:t xml:space="preserve">homoscedasticity of the variance across various levels, Levene Statistic has been used. Levene test is used to assess whether the variance of a single metric variable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equal across any number of groups (Hair et al., 2019, p.98). Result indicated that non-rejection of null hypotheses at p&gt;0.05 level (see table 7). </w:t>
      </w:r>
      <w:r w:rsidRPr="00B607CA">
        <w:rPr>
          <w:b/>
          <w:bCs/>
          <w:sz w:val="24"/>
          <w:szCs w:val="24"/>
        </w:rPr>
        <w:t>Therefore, the variance of the variables is homogenous and assumption for ANOVA has been confirmed.</w:t>
      </w:r>
    </w:p>
    <w:p w14:paraId="60FCCB9E" w14:textId="77777777" w:rsidR="00E83338" w:rsidRPr="00E83338" w:rsidRDefault="00E83338" w:rsidP="00E83338">
      <w:pPr>
        <w:rPr>
          <w:sz w:val="24"/>
          <w:szCs w:val="24"/>
        </w:rPr>
      </w:pPr>
    </w:p>
    <w:tbl>
      <w:tblPr>
        <w:tblW w:w="83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2448"/>
        <w:gridCol w:w="1469"/>
        <w:gridCol w:w="1024"/>
        <w:gridCol w:w="1024"/>
        <w:gridCol w:w="1024"/>
      </w:tblGrid>
      <w:tr w:rsidR="00E83338" w:rsidRPr="00E83338" w14:paraId="25EC52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31F0B6" w14:textId="5FB8A2EC" w:rsidR="00E83338" w:rsidRPr="00E83338" w:rsidRDefault="00E83338" w:rsidP="00E8333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Table 7. </w:t>
            </w:r>
            <w:r w:rsidRPr="00E83338">
              <w:rPr>
                <w:b/>
                <w:bCs/>
                <w:sz w:val="24"/>
                <w:szCs w:val="24"/>
              </w:rPr>
              <w:t>Tests of Homogeneity of Variances</w:t>
            </w:r>
          </w:p>
        </w:tc>
      </w:tr>
      <w:tr w:rsidR="00E83338" w:rsidRPr="00E83338" w14:paraId="0B6C63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231768" w14:textId="77777777" w:rsidR="00E83338" w:rsidRPr="00E83338" w:rsidRDefault="00E83338" w:rsidP="00E83338">
            <w:pPr>
              <w:rPr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45DBA1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Levene Statistic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078A3B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df1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4EABA2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df2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1B5A84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Sig.</w:t>
            </w:r>
          </w:p>
        </w:tc>
      </w:tr>
      <w:tr w:rsidR="00E83338" w:rsidRPr="00E83338" w14:paraId="4B51CD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38C900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writing score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3E716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Based on Mean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44E18E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1.726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8DBEA7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D8041A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197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225634" w14:textId="77777777" w:rsidR="00E83338" w:rsidRPr="00E83338" w:rsidRDefault="00E83338" w:rsidP="00E83338">
            <w:pPr>
              <w:rPr>
                <w:sz w:val="24"/>
                <w:szCs w:val="24"/>
                <w:highlight w:val="yellow"/>
              </w:rPr>
            </w:pPr>
            <w:r w:rsidRPr="00E83338">
              <w:rPr>
                <w:sz w:val="24"/>
                <w:szCs w:val="24"/>
                <w:highlight w:val="yellow"/>
              </w:rPr>
              <w:t>.181</w:t>
            </w:r>
          </w:p>
        </w:tc>
      </w:tr>
      <w:tr w:rsidR="00E83338" w:rsidRPr="00E83338" w14:paraId="155D98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32571D" w14:textId="77777777" w:rsidR="00E83338" w:rsidRPr="00E83338" w:rsidRDefault="00E83338" w:rsidP="00E83338">
            <w:pPr>
              <w:rPr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44AC68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Based on Median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96E674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1.689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13AD5B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EE6542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197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AF6FB6" w14:textId="77777777" w:rsidR="00E83338" w:rsidRPr="00E83338" w:rsidRDefault="00E83338" w:rsidP="00E83338">
            <w:pPr>
              <w:rPr>
                <w:sz w:val="24"/>
                <w:szCs w:val="24"/>
                <w:highlight w:val="yellow"/>
              </w:rPr>
            </w:pPr>
            <w:r w:rsidRPr="00E83338">
              <w:rPr>
                <w:sz w:val="24"/>
                <w:szCs w:val="24"/>
                <w:highlight w:val="yellow"/>
              </w:rPr>
              <w:t>.187</w:t>
            </w:r>
          </w:p>
        </w:tc>
      </w:tr>
      <w:tr w:rsidR="00E83338" w:rsidRPr="00E83338" w14:paraId="420D13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9ED2CF" w14:textId="77777777" w:rsidR="00E83338" w:rsidRPr="00E83338" w:rsidRDefault="00E83338" w:rsidP="00E83338">
            <w:pPr>
              <w:rPr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0A2FDB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 xml:space="preserve">Based on Median and with adjusted </w:t>
            </w:r>
            <w:proofErr w:type="spellStart"/>
            <w:r w:rsidRPr="00E83338">
              <w:rPr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DACA89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1.689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98CBC6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CE5B40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196.003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8F6471" w14:textId="77777777" w:rsidR="00E83338" w:rsidRPr="00E83338" w:rsidRDefault="00E83338" w:rsidP="00E83338">
            <w:pPr>
              <w:rPr>
                <w:sz w:val="24"/>
                <w:szCs w:val="24"/>
                <w:highlight w:val="yellow"/>
              </w:rPr>
            </w:pPr>
            <w:r w:rsidRPr="00E83338">
              <w:rPr>
                <w:sz w:val="24"/>
                <w:szCs w:val="24"/>
                <w:highlight w:val="yellow"/>
              </w:rPr>
              <w:t>.187</w:t>
            </w:r>
          </w:p>
        </w:tc>
      </w:tr>
      <w:tr w:rsidR="00E83338" w:rsidRPr="00E83338" w14:paraId="01757F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BB7848" w14:textId="77777777" w:rsidR="00E83338" w:rsidRPr="00E83338" w:rsidRDefault="00E83338" w:rsidP="00E83338">
            <w:pPr>
              <w:rPr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02193A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Based on trimmed mean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8EB351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1.821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981FDD3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F34180" w14:textId="77777777" w:rsidR="00E83338" w:rsidRPr="00E83338" w:rsidRDefault="00E83338" w:rsidP="00E83338">
            <w:pPr>
              <w:rPr>
                <w:sz w:val="24"/>
                <w:szCs w:val="24"/>
              </w:rPr>
            </w:pPr>
            <w:r w:rsidRPr="00E83338">
              <w:rPr>
                <w:sz w:val="24"/>
                <w:szCs w:val="24"/>
              </w:rPr>
              <w:t>197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12487AB" w14:textId="77777777" w:rsidR="00E83338" w:rsidRPr="00E83338" w:rsidRDefault="00E83338" w:rsidP="00E83338">
            <w:pPr>
              <w:rPr>
                <w:sz w:val="24"/>
                <w:szCs w:val="24"/>
                <w:highlight w:val="yellow"/>
              </w:rPr>
            </w:pPr>
            <w:r w:rsidRPr="00E83338">
              <w:rPr>
                <w:sz w:val="24"/>
                <w:szCs w:val="24"/>
                <w:highlight w:val="yellow"/>
              </w:rPr>
              <w:t>.165</w:t>
            </w:r>
          </w:p>
        </w:tc>
      </w:tr>
    </w:tbl>
    <w:p w14:paraId="13A8CC7C" w14:textId="77777777" w:rsidR="00E83338" w:rsidRPr="00E83338" w:rsidRDefault="00E83338" w:rsidP="00E83338">
      <w:pPr>
        <w:rPr>
          <w:sz w:val="24"/>
          <w:szCs w:val="24"/>
        </w:rPr>
      </w:pPr>
    </w:p>
    <w:p w14:paraId="0DFCF89C" w14:textId="39C70F34" w:rsidR="00E83338" w:rsidRDefault="00B607CA">
      <w:pPr>
        <w:rPr>
          <w:sz w:val="24"/>
          <w:szCs w:val="24"/>
        </w:rPr>
      </w:pPr>
      <w:r>
        <w:rPr>
          <w:sz w:val="24"/>
          <w:szCs w:val="24"/>
        </w:rPr>
        <w:t xml:space="preserve">A one -way between-groups analysis of variance (ANOVA) was used to compare the mean writing score among the different </w:t>
      </w:r>
      <w:proofErr w:type="gramStart"/>
      <w:r>
        <w:rPr>
          <w:sz w:val="24"/>
          <w:szCs w:val="24"/>
        </w:rPr>
        <w:t>programs(</w:t>
      </w:r>
      <w:proofErr w:type="gramEnd"/>
      <w:r>
        <w:rPr>
          <w:sz w:val="24"/>
          <w:szCs w:val="24"/>
        </w:rPr>
        <w:t xml:space="preserve">general , vocational and academic). The difference was statistically significance at p&lt;0.05 in different programs: F= 21.275, p = 0.001. </w:t>
      </w: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the null hypothesis that there is no difference in programs</w:t>
      </w:r>
      <w:r w:rsidR="00AA1D94">
        <w:rPr>
          <w:sz w:val="24"/>
          <w:szCs w:val="24"/>
        </w:rPr>
        <w:t xml:space="preserve">, the population is rejected. It can be concluded that there is </w:t>
      </w:r>
      <w:proofErr w:type="spellStart"/>
      <w:r w:rsidR="00AA1D94">
        <w:rPr>
          <w:sz w:val="24"/>
          <w:szCs w:val="24"/>
        </w:rPr>
        <w:t>signifance</w:t>
      </w:r>
      <w:proofErr w:type="spellEnd"/>
      <w:r w:rsidR="00AA1D94">
        <w:rPr>
          <w:sz w:val="24"/>
          <w:szCs w:val="24"/>
        </w:rPr>
        <w:t xml:space="preserve"> difference in programs in the population. The result also indicates that mean groups for </w:t>
      </w:r>
      <w:proofErr w:type="gramStart"/>
      <w:r w:rsidR="00AA1D94">
        <w:rPr>
          <w:sz w:val="24"/>
          <w:szCs w:val="24"/>
        </w:rPr>
        <w:t>academic(</w:t>
      </w:r>
      <w:proofErr w:type="gramEnd"/>
      <w:r w:rsidR="00AA1D94">
        <w:rPr>
          <w:sz w:val="24"/>
          <w:szCs w:val="24"/>
        </w:rPr>
        <w:t>M=56.26, SD=7.94) was the highest among the other.</w:t>
      </w:r>
    </w:p>
    <w:p w14:paraId="798C71CE" w14:textId="77777777" w:rsidR="00AA1D94" w:rsidRPr="00AA1D94" w:rsidRDefault="00AA1D94" w:rsidP="00AA1D94">
      <w:pPr>
        <w:rPr>
          <w:sz w:val="24"/>
          <w:szCs w:val="24"/>
        </w:rPr>
      </w:pPr>
    </w:p>
    <w:tbl>
      <w:tblPr>
        <w:tblW w:w="7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468"/>
        <w:gridCol w:w="1025"/>
        <w:gridCol w:w="1408"/>
        <w:gridCol w:w="1025"/>
        <w:gridCol w:w="1025"/>
      </w:tblGrid>
      <w:tr w:rsidR="00AA1D94" w:rsidRPr="00AA1D94" w14:paraId="6A4E72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F6E8D2" w14:textId="3527AAB1" w:rsidR="00AA1D94" w:rsidRPr="00AA1D94" w:rsidRDefault="00AA1D94" w:rsidP="00AA1D9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Table 8. </w:t>
            </w:r>
            <w:r w:rsidRPr="00AA1D94">
              <w:rPr>
                <w:b/>
                <w:bCs/>
                <w:sz w:val="24"/>
                <w:szCs w:val="24"/>
              </w:rPr>
              <w:t>ANOVA</w:t>
            </w:r>
            <w:r>
              <w:rPr>
                <w:b/>
                <w:bCs/>
                <w:sz w:val="24"/>
                <w:szCs w:val="24"/>
              </w:rPr>
              <w:t xml:space="preserve"> RESULT</w:t>
            </w:r>
          </w:p>
        </w:tc>
      </w:tr>
      <w:tr w:rsidR="00AA1D94" w:rsidRPr="00AA1D94" w14:paraId="40D42F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99796D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 xml:space="preserve">writing score  </w:t>
            </w:r>
          </w:p>
        </w:tc>
      </w:tr>
      <w:tr w:rsidR="00AA1D94" w:rsidRPr="00AA1D94" w14:paraId="5B8E0F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1EDBFF" w14:textId="77777777" w:rsidR="00AA1D94" w:rsidRPr="00AA1D94" w:rsidRDefault="00AA1D94" w:rsidP="00AA1D94">
            <w:pPr>
              <w:rPr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EA9549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6DEE94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proofErr w:type="spellStart"/>
            <w:r w:rsidRPr="00AA1D94">
              <w:rPr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669488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5D0D7C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DB0CFC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Sig.</w:t>
            </w:r>
          </w:p>
        </w:tc>
      </w:tr>
      <w:tr w:rsidR="00AA1D94" w:rsidRPr="00AA1D94" w14:paraId="09CBF8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F7F65A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Between Groups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B2E23F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3175.698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9E2EA2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2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6FA29D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1587.849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BE4FDB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21.275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0A50D6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  <w:highlight w:val="yellow"/>
              </w:rPr>
              <w:t>.000</w:t>
            </w:r>
          </w:p>
        </w:tc>
      </w:tr>
      <w:tr w:rsidR="00AA1D94" w:rsidRPr="00AA1D94" w14:paraId="4EEAE0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FB1ABF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Within Groups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3E0EE4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14703.177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CE2443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197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51D351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74.635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C248E02" w14:textId="77777777" w:rsidR="00AA1D94" w:rsidRPr="00AA1D94" w:rsidRDefault="00AA1D94" w:rsidP="00AA1D9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168DCC9" w14:textId="77777777" w:rsidR="00AA1D94" w:rsidRPr="00AA1D94" w:rsidRDefault="00AA1D94" w:rsidP="00AA1D94">
            <w:pPr>
              <w:rPr>
                <w:sz w:val="24"/>
                <w:szCs w:val="24"/>
              </w:rPr>
            </w:pPr>
          </w:p>
        </w:tc>
      </w:tr>
      <w:tr w:rsidR="00AA1D94" w:rsidRPr="00AA1D94" w14:paraId="43BD6B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BF6494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0825384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17878.875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2CAA8F3" w14:textId="77777777" w:rsidR="00AA1D94" w:rsidRPr="00AA1D94" w:rsidRDefault="00AA1D94" w:rsidP="00AA1D94">
            <w:pPr>
              <w:rPr>
                <w:sz w:val="24"/>
                <w:szCs w:val="24"/>
              </w:rPr>
            </w:pPr>
            <w:r w:rsidRPr="00AA1D94">
              <w:rPr>
                <w:sz w:val="24"/>
                <w:szCs w:val="24"/>
              </w:rPr>
              <w:t>199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3C03C62" w14:textId="77777777" w:rsidR="00AA1D94" w:rsidRPr="00AA1D94" w:rsidRDefault="00AA1D94" w:rsidP="00AA1D9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0D9533C" w14:textId="77777777" w:rsidR="00AA1D94" w:rsidRPr="00AA1D94" w:rsidRDefault="00AA1D94" w:rsidP="00AA1D94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C5AD57F" w14:textId="77777777" w:rsidR="00AA1D94" w:rsidRPr="00AA1D94" w:rsidRDefault="00AA1D94" w:rsidP="00AA1D94">
            <w:pPr>
              <w:rPr>
                <w:sz w:val="24"/>
                <w:szCs w:val="24"/>
              </w:rPr>
            </w:pPr>
          </w:p>
        </w:tc>
      </w:tr>
    </w:tbl>
    <w:p w14:paraId="54E0BBF4" w14:textId="77777777" w:rsidR="00AA1D94" w:rsidRDefault="00AA1D94" w:rsidP="00AA1D94">
      <w:pPr>
        <w:rPr>
          <w:sz w:val="24"/>
          <w:szCs w:val="24"/>
        </w:rPr>
      </w:pPr>
    </w:p>
    <w:p w14:paraId="4D282AE7" w14:textId="69A43F75" w:rsidR="00AA1D94" w:rsidRPr="00AA1D94" w:rsidRDefault="00AA1D94" w:rsidP="00AA1D94">
      <w:pPr>
        <w:rPr>
          <w:sz w:val="24"/>
          <w:szCs w:val="24"/>
        </w:rPr>
      </w:pPr>
      <w:r w:rsidRPr="00AA1D94">
        <w:rPr>
          <w:sz w:val="24"/>
          <w:szCs w:val="24"/>
        </w:rPr>
        <w:lastRenderedPageBreak/>
        <w:drawing>
          <wp:inline distT="0" distB="0" distL="0" distR="0" wp14:anchorId="140634E6" wp14:editId="4A42397D">
            <wp:extent cx="5943600" cy="3497580"/>
            <wp:effectExtent l="0" t="0" r="0" b="7620"/>
            <wp:docPr id="76582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C779" w14:textId="77777777" w:rsidR="00AA1D94" w:rsidRPr="00AA1D94" w:rsidRDefault="00AA1D94" w:rsidP="00AA1D94">
      <w:pPr>
        <w:rPr>
          <w:sz w:val="24"/>
          <w:szCs w:val="24"/>
        </w:rPr>
      </w:pPr>
    </w:p>
    <w:p w14:paraId="1AAB217C" w14:textId="77777777" w:rsidR="00AA1D94" w:rsidRPr="00AA1D94" w:rsidRDefault="00AA1D94" w:rsidP="00AA1D94">
      <w:pPr>
        <w:rPr>
          <w:sz w:val="24"/>
          <w:szCs w:val="24"/>
        </w:rPr>
      </w:pPr>
    </w:p>
    <w:p w14:paraId="102B7DAD" w14:textId="77777777" w:rsidR="00F65221" w:rsidRDefault="00F65221" w:rsidP="00AA1D94">
      <w:pPr>
        <w:rPr>
          <w:sz w:val="24"/>
          <w:szCs w:val="24"/>
        </w:rPr>
      </w:pPr>
    </w:p>
    <w:p w14:paraId="46662EC5" w14:textId="77777777" w:rsidR="00F65221" w:rsidRDefault="00F65221" w:rsidP="00AA1D94">
      <w:pPr>
        <w:rPr>
          <w:sz w:val="24"/>
          <w:szCs w:val="24"/>
        </w:rPr>
      </w:pPr>
    </w:p>
    <w:p w14:paraId="4BD687EF" w14:textId="77777777" w:rsidR="00F65221" w:rsidRDefault="00F65221" w:rsidP="00AA1D94">
      <w:pPr>
        <w:rPr>
          <w:sz w:val="24"/>
          <w:szCs w:val="24"/>
        </w:rPr>
      </w:pPr>
    </w:p>
    <w:p w14:paraId="5E612771" w14:textId="77777777" w:rsidR="00F65221" w:rsidRDefault="00F65221" w:rsidP="00AA1D94">
      <w:pPr>
        <w:rPr>
          <w:sz w:val="24"/>
          <w:szCs w:val="24"/>
        </w:rPr>
      </w:pPr>
    </w:p>
    <w:p w14:paraId="4F4A404C" w14:textId="77777777" w:rsidR="00F65221" w:rsidRDefault="00F65221" w:rsidP="00AA1D94">
      <w:pPr>
        <w:rPr>
          <w:sz w:val="24"/>
          <w:szCs w:val="24"/>
        </w:rPr>
      </w:pPr>
    </w:p>
    <w:p w14:paraId="5FFC25A3" w14:textId="77777777" w:rsidR="00F65221" w:rsidRDefault="00F65221" w:rsidP="00AA1D94">
      <w:pPr>
        <w:rPr>
          <w:sz w:val="24"/>
          <w:szCs w:val="24"/>
        </w:rPr>
      </w:pPr>
    </w:p>
    <w:p w14:paraId="1F904135" w14:textId="77777777" w:rsidR="00F65221" w:rsidRDefault="00F65221" w:rsidP="00AA1D94">
      <w:pPr>
        <w:rPr>
          <w:sz w:val="24"/>
          <w:szCs w:val="24"/>
        </w:rPr>
      </w:pPr>
    </w:p>
    <w:p w14:paraId="4D45864E" w14:textId="77777777" w:rsidR="00F65221" w:rsidRDefault="00F65221" w:rsidP="00AA1D94">
      <w:pPr>
        <w:rPr>
          <w:sz w:val="24"/>
          <w:szCs w:val="24"/>
        </w:rPr>
      </w:pPr>
    </w:p>
    <w:p w14:paraId="140BC4D9" w14:textId="77777777" w:rsidR="00F65221" w:rsidRDefault="00F65221" w:rsidP="00AA1D94">
      <w:pPr>
        <w:rPr>
          <w:sz w:val="24"/>
          <w:szCs w:val="24"/>
        </w:rPr>
      </w:pPr>
    </w:p>
    <w:p w14:paraId="5879735F" w14:textId="77777777" w:rsidR="00F65221" w:rsidRDefault="00F65221" w:rsidP="00AA1D94">
      <w:pPr>
        <w:rPr>
          <w:sz w:val="24"/>
          <w:szCs w:val="24"/>
        </w:rPr>
      </w:pPr>
    </w:p>
    <w:p w14:paraId="6A0CB99F" w14:textId="77777777" w:rsidR="00F65221" w:rsidRDefault="00F65221" w:rsidP="00AA1D94">
      <w:pPr>
        <w:rPr>
          <w:sz w:val="24"/>
          <w:szCs w:val="24"/>
        </w:rPr>
      </w:pPr>
    </w:p>
    <w:p w14:paraId="1A54ECFF" w14:textId="77777777" w:rsidR="00F65221" w:rsidRDefault="00F65221" w:rsidP="00AA1D94">
      <w:pPr>
        <w:rPr>
          <w:sz w:val="24"/>
          <w:szCs w:val="24"/>
        </w:rPr>
      </w:pPr>
    </w:p>
    <w:p w14:paraId="013215CF" w14:textId="77777777" w:rsidR="00F65221" w:rsidRDefault="00F65221" w:rsidP="00AA1D94">
      <w:pPr>
        <w:rPr>
          <w:sz w:val="24"/>
          <w:szCs w:val="24"/>
        </w:rPr>
      </w:pPr>
    </w:p>
    <w:p w14:paraId="290D070F" w14:textId="4714BA0B" w:rsidR="00AA1D94" w:rsidRDefault="00F65221" w:rsidP="00AA1D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Post hoc test</w:t>
      </w:r>
    </w:p>
    <w:p w14:paraId="1B620198" w14:textId="16A8112B" w:rsidR="00F65221" w:rsidRPr="00AA1D94" w:rsidRDefault="00F65221" w:rsidP="00AA1D94">
      <w:pPr>
        <w:rPr>
          <w:sz w:val="24"/>
          <w:szCs w:val="24"/>
        </w:rPr>
      </w:pPr>
      <w:r>
        <w:rPr>
          <w:sz w:val="24"/>
          <w:szCs w:val="24"/>
        </w:rPr>
        <w:t>As the group difference was significant, the post hoc test was run using Tukey HSD. All group difference were significant at p&lt;0.05.</w:t>
      </w:r>
    </w:p>
    <w:p w14:paraId="0624B532" w14:textId="77777777" w:rsidR="00AA1D94" w:rsidRDefault="00AA1D94">
      <w:pPr>
        <w:rPr>
          <w:sz w:val="24"/>
          <w:szCs w:val="24"/>
        </w:rPr>
      </w:pPr>
    </w:p>
    <w:p w14:paraId="78253CB9" w14:textId="77777777" w:rsidR="00F65221" w:rsidRPr="00F65221" w:rsidRDefault="00F65221" w:rsidP="00F65221">
      <w:pPr>
        <w:rPr>
          <w:sz w:val="24"/>
          <w:szCs w:val="24"/>
        </w:rPr>
      </w:pPr>
    </w:p>
    <w:tbl>
      <w:tblPr>
        <w:tblW w:w="8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6"/>
        <w:gridCol w:w="1163"/>
        <w:gridCol w:w="1469"/>
        <w:gridCol w:w="1070"/>
        <w:gridCol w:w="1024"/>
        <w:gridCol w:w="1408"/>
        <w:gridCol w:w="1408"/>
      </w:tblGrid>
      <w:tr w:rsidR="00F65221" w:rsidRPr="00F65221" w14:paraId="1798C4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976F61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b/>
                <w:bCs/>
                <w:sz w:val="24"/>
                <w:szCs w:val="24"/>
              </w:rPr>
              <w:t>Multiple Comparisons</w:t>
            </w:r>
          </w:p>
        </w:tc>
      </w:tr>
      <w:tr w:rsidR="00F65221" w:rsidRPr="00F65221" w14:paraId="228A2C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C71554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 xml:space="preserve">Dependent Variable:   writing score  </w:t>
            </w:r>
          </w:p>
        </w:tc>
      </w:tr>
      <w:tr w:rsidR="00F65221" w:rsidRPr="00F65221" w14:paraId="222994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EA7224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 xml:space="preserve">Tukey HSD  </w:t>
            </w:r>
          </w:p>
        </w:tc>
      </w:tr>
      <w:tr w:rsidR="00F65221" w:rsidRPr="00F65221" w14:paraId="17F5C5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22F4FF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 xml:space="preserve">(I) </w:t>
            </w:r>
            <w:proofErr w:type="spellStart"/>
            <w:r w:rsidRPr="00F65221">
              <w:rPr>
                <w:sz w:val="24"/>
                <w:szCs w:val="24"/>
              </w:rPr>
              <w:t>prgtype</w:t>
            </w:r>
            <w:proofErr w:type="spellEnd"/>
          </w:p>
        </w:tc>
        <w:tc>
          <w:tcPr>
            <w:tcW w:w="11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1DAEC8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 xml:space="preserve">(J) </w:t>
            </w:r>
            <w:proofErr w:type="spellStart"/>
            <w:r w:rsidRPr="00F65221">
              <w:rPr>
                <w:sz w:val="24"/>
                <w:szCs w:val="24"/>
              </w:rPr>
              <w:t>prgtype</w:t>
            </w:r>
            <w:proofErr w:type="spellEnd"/>
          </w:p>
        </w:tc>
        <w:tc>
          <w:tcPr>
            <w:tcW w:w="146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C707D2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Mean Difference (I-J)</w:t>
            </w:r>
          </w:p>
        </w:tc>
        <w:tc>
          <w:tcPr>
            <w:tcW w:w="107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83E2F9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Std. Error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A74292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Sig.</w:t>
            </w:r>
          </w:p>
        </w:tc>
        <w:tc>
          <w:tcPr>
            <w:tcW w:w="281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8B1CC42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95% Confidence Interval</w:t>
            </w:r>
          </w:p>
        </w:tc>
      </w:tr>
      <w:tr w:rsidR="00F65221" w:rsidRPr="00F65221" w14:paraId="33F258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989C4B" w14:textId="77777777" w:rsidR="00F65221" w:rsidRPr="00F65221" w:rsidRDefault="00F65221" w:rsidP="00F65221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B0B526" w14:textId="77777777" w:rsidR="00F65221" w:rsidRPr="00F65221" w:rsidRDefault="00F65221" w:rsidP="00F65221">
            <w:pPr>
              <w:rPr>
                <w:sz w:val="24"/>
                <w:szCs w:val="24"/>
              </w:rPr>
            </w:pPr>
          </w:p>
        </w:tc>
        <w:tc>
          <w:tcPr>
            <w:tcW w:w="146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224CB8" w14:textId="77777777" w:rsidR="00F65221" w:rsidRPr="00F65221" w:rsidRDefault="00F65221" w:rsidP="00F65221">
            <w:pPr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E6077C" w14:textId="77777777" w:rsidR="00F65221" w:rsidRPr="00F65221" w:rsidRDefault="00F65221" w:rsidP="00F65221">
            <w:pPr>
              <w:rPr>
                <w:sz w:val="24"/>
                <w:szCs w:val="24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B9F551" w14:textId="77777777" w:rsidR="00F65221" w:rsidRPr="00F65221" w:rsidRDefault="00F65221" w:rsidP="00F65221">
            <w:pPr>
              <w:rPr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04F307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Lower Bound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EC1BC7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Upper Bound</w:t>
            </w:r>
          </w:p>
        </w:tc>
      </w:tr>
      <w:tr w:rsidR="00F65221" w:rsidRPr="00F65221" w14:paraId="1FBA3C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405483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general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F70EDE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proofErr w:type="spellStart"/>
            <w:r w:rsidRPr="00F65221">
              <w:rPr>
                <w:sz w:val="24"/>
                <w:szCs w:val="24"/>
              </w:rPr>
              <w:t>vocati</w:t>
            </w:r>
            <w:proofErr w:type="spellEnd"/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021610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4.57333</w:t>
            </w:r>
            <w:r w:rsidRPr="00F65221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156596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1.77518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E71C69" w14:textId="77777777" w:rsidR="00F65221" w:rsidRPr="00F65221" w:rsidRDefault="00F65221" w:rsidP="00F65221">
            <w:pPr>
              <w:rPr>
                <w:sz w:val="24"/>
                <w:szCs w:val="24"/>
                <w:highlight w:val="yellow"/>
              </w:rPr>
            </w:pPr>
            <w:r w:rsidRPr="00F65221">
              <w:rPr>
                <w:sz w:val="24"/>
                <w:szCs w:val="24"/>
                <w:highlight w:val="yellow"/>
              </w:rPr>
              <w:t>.029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39B7B8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.3811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49E3F0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8.7655</w:t>
            </w:r>
          </w:p>
        </w:tc>
      </w:tr>
      <w:tr w:rsidR="00F65221" w:rsidRPr="00F65221" w14:paraId="139B6D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B7F9BE" w14:textId="77777777" w:rsidR="00F65221" w:rsidRPr="00F65221" w:rsidRDefault="00F65221" w:rsidP="00F65221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F4CFE2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academic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CD7CD1F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-4.92381</w:t>
            </w:r>
            <w:r w:rsidRPr="00F65221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DE4E4B2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1.53928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126509E" w14:textId="77777777" w:rsidR="00F65221" w:rsidRPr="00F65221" w:rsidRDefault="00F65221" w:rsidP="00F65221">
            <w:pPr>
              <w:rPr>
                <w:sz w:val="24"/>
                <w:szCs w:val="24"/>
                <w:highlight w:val="yellow"/>
              </w:rPr>
            </w:pPr>
            <w:r w:rsidRPr="00F65221">
              <w:rPr>
                <w:sz w:val="24"/>
                <w:szCs w:val="24"/>
                <w:highlight w:val="yellow"/>
              </w:rPr>
              <w:t>.005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5EF699C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-8.5589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CB33F97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-1.2887</w:t>
            </w:r>
          </w:p>
        </w:tc>
      </w:tr>
      <w:tr w:rsidR="00F65221" w:rsidRPr="00F65221" w14:paraId="5E887D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BF0C4E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proofErr w:type="spellStart"/>
            <w:r w:rsidRPr="00F65221">
              <w:rPr>
                <w:sz w:val="24"/>
                <w:szCs w:val="24"/>
              </w:rPr>
              <w:t>vocati</w:t>
            </w:r>
            <w:proofErr w:type="spellEnd"/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47FAC7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general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6C9A74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-4.57333</w:t>
            </w:r>
            <w:r w:rsidRPr="00F65221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6E3F23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1.77518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790A3E" w14:textId="77777777" w:rsidR="00F65221" w:rsidRPr="00F65221" w:rsidRDefault="00F65221" w:rsidP="00F65221">
            <w:pPr>
              <w:rPr>
                <w:sz w:val="24"/>
                <w:szCs w:val="24"/>
                <w:highlight w:val="yellow"/>
              </w:rPr>
            </w:pPr>
            <w:r w:rsidRPr="00F65221">
              <w:rPr>
                <w:sz w:val="24"/>
                <w:szCs w:val="24"/>
                <w:highlight w:val="yellow"/>
              </w:rPr>
              <w:t>.029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8AAEE9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-8.7655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64F7F1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-.3811</w:t>
            </w:r>
          </w:p>
        </w:tc>
      </w:tr>
      <w:tr w:rsidR="00F65221" w:rsidRPr="00F65221" w14:paraId="2F491B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34B3F4" w14:textId="77777777" w:rsidR="00F65221" w:rsidRPr="00F65221" w:rsidRDefault="00F65221" w:rsidP="00F65221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E85921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academic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9B01764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-9.49714</w:t>
            </w:r>
            <w:r w:rsidRPr="00F65221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37E06FC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1.48443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4DEB91A" w14:textId="77777777" w:rsidR="00F65221" w:rsidRPr="00F65221" w:rsidRDefault="00F65221" w:rsidP="00F65221">
            <w:pPr>
              <w:rPr>
                <w:sz w:val="24"/>
                <w:szCs w:val="24"/>
                <w:highlight w:val="yellow"/>
              </w:rPr>
            </w:pPr>
            <w:r w:rsidRPr="00F65221">
              <w:rPr>
                <w:sz w:val="24"/>
                <w:szCs w:val="24"/>
                <w:highlight w:val="yellow"/>
              </w:rPr>
              <w:t>.000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F700630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-13.0027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7AA6749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-5.9916</w:t>
            </w:r>
          </w:p>
        </w:tc>
      </w:tr>
      <w:tr w:rsidR="00F65221" w:rsidRPr="00F65221" w14:paraId="5214C6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A2C95C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academic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139860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general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C97F6E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4.92381</w:t>
            </w:r>
            <w:r w:rsidRPr="00F65221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2A6FA9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1.53928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0A71ED" w14:textId="77777777" w:rsidR="00F65221" w:rsidRPr="00F65221" w:rsidRDefault="00F65221" w:rsidP="00F65221">
            <w:pPr>
              <w:rPr>
                <w:sz w:val="24"/>
                <w:szCs w:val="24"/>
                <w:highlight w:val="yellow"/>
              </w:rPr>
            </w:pPr>
            <w:r w:rsidRPr="00F65221">
              <w:rPr>
                <w:sz w:val="24"/>
                <w:szCs w:val="24"/>
                <w:highlight w:val="yellow"/>
              </w:rPr>
              <w:t>.005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C1482C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1.2887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FA86DE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8.5589</w:t>
            </w:r>
          </w:p>
        </w:tc>
      </w:tr>
      <w:tr w:rsidR="00F65221" w:rsidRPr="00F65221" w14:paraId="17CAEA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FE7435" w14:textId="77777777" w:rsidR="00F65221" w:rsidRPr="00F65221" w:rsidRDefault="00F65221" w:rsidP="00F65221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BCD16D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proofErr w:type="spellStart"/>
            <w:r w:rsidRPr="00F65221">
              <w:rPr>
                <w:sz w:val="24"/>
                <w:szCs w:val="24"/>
              </w:rPr>
              <w:t>vocati</w:t>
            </w:r>
            <w:proofErr w:type="spellEnd"/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BAF09A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9.49714</w:t>
            </w:r>
            <w:r w:rsidRPr="00F65221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AD4904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1.48443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D70F13" w14:textId="77777777" w:rsidR="00F65221" w:rsidRPr="00F65221" w:rsidRDefault="00F65221" w:rsidP="00F65221">
            <w:pPr>
              <w:rPr>
                <w:sz w:val="24"/>
                <w:szCs w:val="24"/>
                <w:highlight w:val="yellow"/>
              </w:rPr>
            </w:pPr>
            <w:r w:rsidRPr="00F65221">
              <w:rPr>
                <w:sz w:val="24"/>
                <w:szCs w:val="24"/>
                <w:highlight w:val="yellow"/>
              </w:rPr>
              <w:t>.000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69FF9A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5.9916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17F9D87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13.0027</w:t>
            </w:r>
          </w:p>
        </w:tc>
      </w:tr>
      <w:tr w:rsidR="00F65221" w:rsidRPr="00F65221" w14:paraId="792065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AF11A" w14:textId="77777777" w:rsidR="00F65221" w:rsidRPr="00F65221" w:rsidRDefault="00F65221" w:rsidP="00F65221">
            <w:pPr>
              <w:rPr>
                <w:sz w:val="24"/>
                <w:szCs w:val="24"/>
              </w:rPr>
            </w:pPr>
            <w:r w:rsidRPr="00F65221">
              <w:rPr>
                <w:sz w:val="24"/>
                <w:szCs w:val="24"/>
              </w:rPr>
              <w:t>*. The mean difference is significant at the 0.05 level.</w:t>
            </w:r>
          </w:p>
        </w:tc>
      </w:tr>
    </w:tbl>
    <w:p w14:paraId="6AE2A2A2" w14:textId="77777777" w:rsidR="00F65221" w:rsidRPr="00F65221" w:rsidRDefault="00F65221" w:rsidP="00F65221">
      <w:pPr>
        <w:rPr>
          <w:sz w:val="24"/>
          <w:szCs w:val="24"/>
        </w:rPr>
      </w:pPr>
    </w:p>
    <w:p w14:paraId="44DFC500" w14:textId="77777777" w:rsidR="00F65221" w:rsidRPr="00E83338" w:rsidRDefault="00F65221">
      <w:pPr>
        <w:rPr>
          <w:sz w:val="24"/>
          <w:szCs w:val="24"/>
        </w:rPr>
      </w:pPr>
    </w:p>
    <w:sectPr w:rsidR="00F65221" w:rsidRPr="00E8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38"/>
    <w:rsid w:val="00AA1D94"/>
    <w:rsid w:val="00B607CA"/>
    <w:rsid w:val="00C87B80"/>
    <w:rsid w:val="00D24E3D"/>
    <w:rsid w:val="00E83338"/>
    <w:rsid w:val="00F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CE5FC"/>
  <w15:chartTrackingRefBased/>
  <w15:docId w15:val="{1ECFB8C0-1C15-4190-9118-DA746F29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357</Words>
  <Characters>1841</Characters>
  <Application>Microsoft Office Word</Application>
  <DocSecurity>0</DocSecurity>
  <Lines>115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Talukder</dc:creator>
  <cp:keywords/>
  <dc:description/>
  <cp:lastModifiedBy>Nayeem Talukder</cp:lastModifiedBy>
  <cp:revision>1</cp:revision>
  <dcterms:created xsi:type="dcterms:W3CDTF">2024-10-23T04:34:00Z</dcterms:created>
  <dcterms:modified xsi:type="dcterms:W3CDTF">2024-10-23T06:11:00Z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48ca3e96-b4d8-4e0f-bd37-3a7205dd5deb</vt:lpwstr>
  </property>
</Properties>
</file>