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Light" w:hAnsi="Bahnschrift SemiLight" w:cs="Bahnschrift SemiLight"/>
          <w:sz w:val="32"/>
          <w:szCs w:val="32"/>
          <w:lang w:val="en-US"/>
        </w:rPr>
      </w:pPr>
      <w:bookmarkStart w:id="0" w:name="_GoBack"/>
      <w:r>
        <w:rPr>
          <w:rFonts w:hint="default" w:ascii="Bahnschrift SemiLight" w:hAnsi="Bahnschrift SemiLight" w:cs="Bahnschrift SemiLight"/>
          <w:sz w:val="32"/>
          <w:szCs w:val="32"/>
          <w:lang w:val="en-US"/>
        </w:rPr>
        <w:t>MODULE 2</w:t>
      </w:r>
    </w:p>
    <w:p>
      <w:pPr>
        <w:wordWrap w:val="0"/>
        <w:jc w:val="right"/>
        <w:rPr>
          <w:rFonts w:hint="default" w:ascii="Bahnschrift SemiLight" w:hAnsi="Bahnschrift SemiLight" w:cs="Bahnschrift SemiLight"/>
          <w:sz w:val="20"/>
          <w:szCs w:val="20"/>
          <w:lang w:val="en-US"/>
        </w:rPr>
      </w:pPr>
      <w:r>
        <w:rPr>
          <w:rFonts w:hint="default" w:ascii="Bahnschrift SemiLight" w:hAnsi="Bahnschrift SemiLight" w:cs="Bahnschrift SemiLight"/>
          <w:sz w:val="20"/>
          <w:szCs w:val="20"/>
          <w:lang w:val="en-US"/>
        </w:rPr>
        <w:t>Nayeer Naushad</w:t>
      </w:r>
    </w:p>
    <w:p>
      <w:pPr>
        <w:wordWrap/>
        <w:jc w:val="right"/>
        <w:rPr>
          <w:rFonts w:hint="default" w:ascii="Bahnschrift SemiLight" w:hAnsi="Bahnschrift SemiLight" w:cs="Bahnschrift SemiLight"/>
          <w:sz w:val="20"/>
          <w:szCs w:val="20"/>
          <w:lang w:val="en-US"/>
        </w:rPr>
      </w:pPr>
      <w:r>
        <w:rPr>
          <w:rFonts w:hint="default" w:ascii="Bahnschrift SemiLight" w:hAnsi="Bahnschrift SemiLight" w:cs="Bahnschrift SemiLight"/>
          <w:sz w:val="20"/>
          <w:szCs w:val="20"/>
          <w:lang w:val="en-US"/>
        </w:rPr>
        <w:t>21052338</w:t>
      </w:r>
    </w:p>
    <w:p>
      <w:pPr>
        <w:rPr>
          <w:rFonts w:hint="default" w:ascii="Bahnschrift SemiLight" w:hAnsi="Bahnschrift SemiLight" w:cs="Bahnschrift SemiLight"/>
        </w:rPr>
      </w:pP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cs="Bahnschrift SemiLight"/>
          <w:b/>
          <w:bCs/>
          <w:sz w:val="16"/>
          <w:szCs w:val="16"/>
          <w:lang w:val="en-US"/>
        </w:rPr>
        <w:t xml:space="preserve">Availability Zone: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One or more data centers that house many servers. Each Region has multiple, isolated locations known as Availability Zones. Each Availability Zone is isolated, but the Availability Zones in a Region are connected through low-latency links. An Availability Zone is represented by a region code followed by a letter identifier, for example, us-east-1a.</w:t>
      </w: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Edge Location: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site where data can be stored for lower latency. Often, edge locations will be close to high-population areas that will generate high traffic volumes.</w:t>
      </w: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Infrastructure as a service (IaaS):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model in which virtual machines and servers are used for customers to host a wide range of applications and IT services are provided.</w:t>
      </w: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Latency: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The delay before a transfer of data begins after the data has been requested.</w:t>
      </w: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Platform as a service (PaaS):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model that provides a virtual platform for customers to create custom software.</w:t>
      </w: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Software as a service (SaaS):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model that provides applications using the internet that are managed by a third party.</w:t>
      </w: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mber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6B1D04"/>
    <w:rsid w:val="15615F79"/>
    <w:rsid w:val="3D073959"/>
    <w:rsid w:val="4E6C0167"/>
    <w:rsid w:val="5BDA37D1"/>
    <w:rsid w:val="71E03B95"/>
    <w:rsid w:val="7C6B1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2024-02-18T04:50:00Z</dcterms:created>
  <dc:creator>KIIT</dc:creator>
  <cp:lastModifiedBy>2338_NAYEER NAUSHAD</cp:lastModifiedBy>
  <dcterms:modified xsi:type="dcterms:W3CDTF">2024-02-21T08:04:34Z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D9D6C41E6FDF41FE994145CB68697FAA</vt:lpwstr>
  </property>
</Properties>
</file>