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pacing w:val="0"/>
          <w:kern w:val="0"/>
          <w:sz w:val="24"/>
          <w:szCs w:val="24"/>
        </w:rPr>
        <w:id w:val="1280149582"/>
        <w:docPartObj>
          <w:docPartGallery w:val="Cover Pages"/>
          <w:docPartUnique/>
        </w:docPartObj>
      </w:sdtPr>
      <w:sdtContent>
        <w:p w14:paraId="5C2B3879" w14:textId="77777777" w:rsidR="009E028C" w:rsidRDefault="009E028C" w:rsidP="00446D68">
          <w:pPr>
            <w:pStyle w:val="Title"/>
            <w:rPr>
              <w:rFonts w:asciiTheme="minorHAnsi" w:eastAsiaTheme="minorHAnsi" w:hAnsiTheme="minorHAnsi" w:cstheme="minorBidi"/>
              <w:spacing w:val="0"/>
              <w:kern w:val="0"/>
              <w:sz w:val="24"/>
              <w:szCs w:val="24"/>
            </w:rPr>
          </w:pPr>
          <w:r w:rsidRPr="00446D68">
            <w:rPr>
              <w:noProof/>
              <w:lang w:val="en-CA" w:eastAsia="en-CA"/>
            </w:rPr>
            <w:drawing>
              <wp:anchor distT="0" distB="0" distL="114300" distR="114300" simplePos="0" relativeHeight="251658240" behindDoc="0" locked="0" layoutInCell="1" allowOverlap="1" wp14:anchorId="6C9D232E" wp14:editId="635B994A">
                <wp:simplePos x="0" y="0"/>
                <wp:positionH relativeFrom="column">
                  <wp:posOffset>-914400</wp:posOffset>
                </wp:positionH>
                <wp:positionV relativeFrom="paragraph">
                  <wp:posOffset>59055</wp:posOffset>
                </wp:positionV>
                <wp:extent cx="7799705" cy="3899535"/>
                <wp:effectExtent l="0" t="0" r="0" b="5715"/>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99705" cy="3899535"/>
                        </a:xfrm>
                        <a:prstGeom prst="rect">
                          <a:avLst/>
                        </a:prstGeom>
                      </pic:spPr>
                    </pic:pic>
                  </a:graphicData>
                </a:graphic>
                <wp14:sizeRelH relativeFrom="page">
                  <wp14:pctWidth>0</wp14:pctWidth>
                </wp14:sizeRelH>
                <wp14:sizeRelV relativeFrom="page">
                  <wp14:pctHeight>0</wp14:pctHeight>
                </wp14:sizeRelV>
              </wp:anchor>
            </w:drawing>
          </w:r>
        </w:p>
        <w:p w14:paraId="01226E40" w14:textId="77777777" w:rsidR="00446D68" w:rsidRDefault="00446D68" w:rsidP="00446D68">
          <w:pPr>
            <w:pStyle w:val="Title"/>
          </w:pPr>
          <w:r>
            <w:t>Project Charter:</w:t>
          </w:r>
        </w:p>
        <w:p w14:paraId="20EC3D22" w14:textId="77777777" w:rsidR="00446D68" w:rsidRDefault="00AA1DE1" w:rsidP="00446D68">
          <w:pPr>
            <w:pStyle w:val="Title"/>
          </w:pPr>
          <w:r>
            <w:t>LGH Acute Medical and Surgical Beds Optimization</w:t>
          </w:r>
        </w:p>
        <w:p w14:paraId="21F1F774" w14:textId="77777777" w:rsidR="00446D68" w:rsidRDefault="00AA1DE1" w:rsidP="00446D68">
          <w:r>
            <w:t>Using simulation to optimize patient flow from acute medical and surgical beds to subacute beds</w:t>
          </w:r>
        </w:p>
        <w:p w14:paraId="5AAEE1A9" w14:textId="77777777" w:rsidR="00446D68" w:rsidRDefault="00446D68" w:rsidP="00446D68"/>
        <w:p w14:paraId="021401A7" w14:textId="77777777" w:rsidR="00446D68" w:rsidRDefault="00446D68" w:rsidP="00446D68">
          <w:r>
            <w:t xml:space="preserve">Nayef Ahmad, </w:t>
          </w:r>
          <w:r w:rsidRPr="00217BB1">
            <w:t>Fattane</w:t>
          </w:r>
          <w:r w:rsidR="00B623F3">
            <w:t xml:space="preserve"> Nadimi</w:t>
          </w:r>
          <w:r>
            <w:t>, and Rebecca Yao</w:t>
          </w:r>
        </w:p>
        <w:p w14:paraId="54901904" w14:textId="77777777" w:rsidR="009E028C" w:rsidRPr="00446D68" w:rsidRDefault="009E028C" w:rsidP="00446D68"/>
        <w:p w14:paraId="371C94E2" w14:textId="77777777" w:rsidR="002261DC" w:rsidRPr="00446D68" w:rsidRDefault="00052766" w:rsidP="00446D68"/>
      </w:sdtContent>
    </w:sdt>
    <w:p w14:paraId="5E887831" w14:textId="77777777" w:rsidR="00446D68" w:rsidRDefault="00446D68">
      <w:pPr>
        <w:rPr>
          <w:rFonts w:asciiTheme="majorHAnsi" w:eastAsiaTheme="majorEastAsia" w:hAnsiTheme="majorHAnsi" w:cstheme="majorBidi"/>
          <w:color w:val="2F5496" w:themeColor="accent1" w:themeShade="BF"/>
          <w:sz w:val="32"/>
          <w:szCs w:val="32"/>
        </w:rPr>
      </w:pPr>
      <w:r>
        <w:br w:type="page"/>
      </w:r>
    </w:p>
    <w:p w14:paraId="3477E4B1" w14:textId="77777777" w:rsidR="0077682D" w:rsidRDefault="002261DC" w:rsidP="002261DC">
      <w:pPr>
        <w:pStyle w:val="Heading1"/>
      </w:pPr>
      <w:r>
        <w:lastRenderedPageBreak/>
        <w:t>Background</w:t>
      </w:r>
    </w:p>
    <w:p w14:paraId="768D1B8F" w14:textId="46BB9DC8" w:rsidR="006E4F15" w:rsidRDefault="008D0F7A" w:rsidP="00052766">
      <w:del w:id="0" w:author="Fattane Nadimi" w:date="2017-11-06T16:35:00Z">
        <w:r w:rsidDel="00052766">
          <w:delText>There are proposals</w:delText>
        </w:r>
      </w:del>
      <w:ins w:id="1" w:author="Fattane Nadimi" w:date="2017-11-06T16:35:00Z">
        <w:r w:rsidR="00052766">
          <w:t>There is a redevelopment project in progress at the</w:t>
        </w:r>
      </w:ins>
      <w:del w:id="2" w:author="Fattane Nadimi" w:date="2017-11-06T16:35:00Z">
        <w:r w:rsidDel="00052766">
          <w:delText xml:space="preserve"> for</w:delText>
        </w:r>
      </w:del>
      <w:r>
        <w:t xml:space="preserve"> Lions Gate Hospital (LGH) </w:t>
      </w:r>
      <w:r w:rsidR="00887A0F">
        <w:t>to build a new acute care b</w:t>
      </w:r>
      <w:r>
        <w:t>uilding to replace the decommissioned Act</w:t>
      </w:r>
      <w:r w:rsidR="007F2E66">
        <w:t xml:space="preserve">ivation Building. The new six-story building will add 200,000 square feet of space to the LGH campus to house </w:t>
      </w:r>
      <w:del w:id="3" w:author="Fattane Nadimi" w:date="2017-11-06T16:36:00Z">
        <w:r w:rsidR="007F2E66" w:rsidDel="00052766">
          <w:delText xml:space="preserve">100 </w:delText>
        </w:r>
      </w:del>
      <w:ins w:id="4" w:author="Fattane Nadimi" w:date="2017-11-06T16:36:00Z">
        <w:r w:rsidR="00052766">
          <w:t xml:space="preserve">108 </w:t>
        </w:r>
      </w:ins>
      <w:r w:rsidR="007F2E66">
        <w:t xml:space="preserve">inpatient beds. </w:t>
      </w:r>
      <w:r w:rsidR="001C6B5C">
        <w:t xml:space="preserve">The </w:t>
      </w:r>
      <w:del w:id="5" w:author="Fattane Nadimi" w:date="2017-11-06T16:36:00Z">
        <w:r w:rsidR="001C6B5C" w:rsidDel="00052766">
          <w:delText xml:space="preserve">100 </w:delText>
        </w:r>
      </w:del>
      <w:ins w:id="6" w:author="Fattane Nadimi" w:date="2017-11-06T16:36:00Z">
        <w:r w:rsidR="00052766">
          <w:t xml:space="preserve">108 </w:t>
        </w:r>
      </w:ins>
      <w:r w:rsidR="001C6B5C">
        <w:t>inpatient beds will come fro</w:t>
      </w:r>
      <w:r w:rsidR="00B321C8">
        <w:t xml:space="preserve">m the current Paul Myers Tower and will be placed into </w:t>
      </w:r>
      <w:r w:rsidR="009A1AC3">
        <w:t xml:space="preserve">mostly </w:t>
      </w:r>
      <w:r w:rsidR="00B321C8">
        <w:t>single occupancy rooms.</w:t>
      </w:r>
      <w:r w:rsidR="0060296E">
        <w:t xml:space="preserve"> </w:t>
      </w:r>
    </w:p>
    <w:p w14:paraId="1E67452C" w14:textId="77777777" w:rsidR="006E4F15" w:rsidRDefault="006E4F15" w:rsidP="00AB0DD6"/>
    <w:p w14:paraId="28BE7A62" w14:textId="421278D7" w:rsidR="00052766" w:rsidRDefault="006E4F15" w:rsidP="00AB0DD6">
      <w:pPr>
        <w:rPr>
          <w:ins w:id="7" w:author="Fattane Nadimi" w:date="2017-11-06T16:40:00Z"/>
        </w:rPr>
      </w:pPr>
      <w:r>
        <w:t xml:space="preserve">Once the new building is completed, the beds from </w:t>
      </w:r>
      <w:r w:rsidR="00AB0DD6">
        <w:t xml:space="preserve">4E – Acute Medicine, 6E – Surgical/SCOUT, 6W – Orthopedics, and 7E </w:t>
      </w:r>
      <w:r>
        <w:t xml:space="preserve">Neuroscience/NCCU will be transferred over. </w:t>
      </w:r>
      <w:r w:rsidR="00642F3E">
        <w:t xml:space="preserve">The fourth, fifth, and sixth floor will house two nursing units per floor and 18 inpatient beds per nursing unit. Two acute surgery units will completely occupy the fourth floor. The fifth floor will be occupied by a neurosciences unit and flex unit that </w:t>
      </w:r>
      <w:r w:rsidR="005E2414">
        <w:t>can be used by</w:t>
      </w:r>
      <w:r w:rsidR="00642F3E">
        <w:t xml:space="preserve"> medical, surgical, and neurosciences patients. </w:t>
      </w:r>
      <w:r w:rsidR="003A1213">
        <w:t xml:space="preserve">The sixth floor will house two acute medicine units. </w:t>
      </w:r>
      <w:commentRangeStart w:id="8"/>
      <w:ins w:id="9" w:author="Fattane Nadimi" w:date="2017-11-06T16:38:00Z">
        <w:r w:rsidR="00052766">
          <w:t xml:space="preserve">For more details </w:t>
        </w:r>
      </w:ins>
      <w:ins w:id="10" w:author="Fattane Nadimi" w:date="2017-11-06T16:39:00Z">
        <w:r w:rsidR="00052766">
          <w:t xml:space="preserve">see </w:t>
        </w:r>
      </w:ins>
      <w:ins w:id="11" w:author="Fattane Nadimi" w:date="2017-11-06T16:40:00Z">
        <w:r w:rsidR="00052766">
          <w:fldChar w:fldCharType="begin"/>
        </w:r>
        <w:r w:rsidR="00052766">
          <w:instrText xml:space="preserve"> REF _Ref497749767 \h </w:instrText>
        </w:r>
      </w:ins>
      <w:r w:rsidR="00052766">
        <w:fldChar w:fldCharType="separate"/>
      </w:r>
      <w:ins w:id="12" w:author="Fattane Nadimi" w:date="2017-11-06T16:40:00Z">
        <w:r w:rsidR="00052766">
          <w:t xml:space="preserve">Figure </w:t>
        </w:r>
        <w:r w:rsidR="00052766">
          <w:rPr>
            <w:noProof/>
          </w:rPr>
          <w:t>1</w:t>
        </w:r>
        <w:r w:rsidR="00052766">
          <w:fldChar w:fldCharType="end"/>
        </w:r>
        <w:r w:rsidR="00052766">
          <w:t>.</w:t>
        </w:r>
      </w:ins>
      <w:commentRangeEnd w:id="8"/>
      <w:ins w:id="13" w:author="Fattane Nadimi" w:date="2017-11-06T16:42:00Z">
        <w:r w:rsidR="00052766">
          <w:rPr>
            <w:rStyle w:val="CommentReference"/>
          </w:rPr>
          <w:commentReference w:id="8"/>
        </w:r>
      </w:ins>
    </w:p>
    <w:p w14:paraId="41D27655" w14:textId="77777777" w:rsidR="00052766" w:rsidRDefault="00052766" w:rsidP="00AB0DD6">
      <w:pPr>
        <w:rPr>
          <w:ins w:id="14" w:author="Fattane Nadimi" w:date="2017-11-06T16:39:00Z"/>
        </w:rPr>
      </w:pPr>
    </w:p>
    <w:p w14:paraId="0AB1FBFC" w14:textId="77777777" w:rsidR="00052766" w:rsidRDefault="00052766" w:rsidP="00052766">
      <w:pPr>
        <w:keepNext/>
        <w:rPr>
          <w:ins w:id="15" w:author="Fattane Nadimi" w:date="2017-11-06T16:39:00Z"/>
        </w:rPr>
        <w:pPrChange w:id="16" w:author="Fattane Nadimi" w:date="2017-11-06T16:39:00Z">
          <w:pPr/>
        </w:pPrChange>
      </w:pPr>
      <w:ins w:id="17" w:author="Fattane Nadimi" w:date="2017-11-06T16:39:00Z">
        <w:r w:rsidRPr="00052766">
          <w:rPr>
            <w:lang w:val="en-CA"/>
          </w:rPr>
          <w:drawing>
            <wp:inline distT="0" distB="0" distL="0" distR="0" wp14:anchorId="273286BE" wp14:editId="420DC5E4">
              <wp:extent cx="5943600" cy="2761615"/>
              <wp:effectExtent l="0" t="0" r="0" b="63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solidFill>
                        <a:schemeClr val="bg1"/>
                      </a:solidFill>
                      <a:ln>
                        <a:noFill/>
                      </a:ln>
                      <a:effectLst/>
                    </pic:spPr>
                  </pic:pic>
                </a:graphicData>
              </a:graphic>
            </wp:inline>
          </w:drawing>
        </w:r>
      </w:ins>
    </w:p>
    <w:p w14:paraId="691CB47B" w14:textId="6057040E" w:rsidR="00052766" w:rsidRDefault="00052766" w:rsidP="00014663">
      <w:pPr>
        <w:pStyle w:val="Caption"/>
        <w:jc w:val="center"/>
        <w:rPr>
          <w:ins w:id="18" w:author="Fattane Nadimi" w:date="2017-11-06T16:39:00Z"/>
        </w:rPr>
        <w:pPrChange w:id="19" w:author="Fattane Nadimi" w:date="2017-11-06T16:45:00Z">
          <w:pPr>
            <w:pStyle w:val="Caption"/>
          </w:pPr>
        </w:pPrChange>
      </w:pPr>
      <w:bookmarkStart w:id="20" w:name="_Ref497749767"/>
      <w:ins w:id="21" w:author="Fattane Nadimi" w:date="2017-11-06T16:39:00Z">
        <w:r>
          <w:t xml:space="preserve">Figure </w:t>
        </w:r>
        <w:r>
          <w:fldChar w:fldCharType="begin"/>
        </w:r>
        <w:r>
          <w:instrText xml:space="preserve"> SEQ Figure \* ARABIC </w:instrText>
        </w:r>
      </w:ins>
      <w:r>
        <w:fldChar w:fldCharType="separate"/>
      </w:r>
      <w:ins w:id="22" w:author="Fattane Nadimi" w:date="2017-11-06T16:39:00Z">
        <w:r>
          <w:rPr>
            <w:noProof/>
          </w:rPr>
          <w:t>1</w:t>
        </w:r>
        <w:r>
          <w:fldChar w:fldCharType="end"/>
        </w:r>
        <w:bookmarkEnd w:id="20"/>
        <w:r>
          <w:t>: Proposed future bed map</w:t>
        </w:r>
      </w:ins>
    </w:p>
    <w:p w14:paraId="7AD56526" w14:textId="778AF504" w:rsidR="00AB0DD6" w:rsidDel="00014663" w:rsidRDefault="003A1213" w:rsidP="00052766">
      <w:pPr>
        <w:rPr>
          <w:del w:id="23" w:author="Fattane Nadimi" w:date="2017-11-06T16:45:00Z"/>
        </w:rPr>
      </w:pPr>
      <w:r>
        <w:t xml:space="preserve"> </w:t>
      </w:r>
    </w:p>
    <w:p w14:paraId="67965D89" w14:textId="5183E1A5" w:rsidR="00887A0F" w:rsidDel="00014663" w:rsidRDefault="00887A0F" w:rsidP="00014663">
      <w:pPr>
        <w:rPr>
          <w:del w:id="24" w:author="Fattane Nadimi" w:date="2017-11-06T16:45:00Z"/>
        </w:rPr>
      </w:pPr>
    </w:p>
    <w:p w14:paraId="0E8F3EFE" w14:textId="77777777" w:rsidR="00D42BDF" w:rsidRDefault="003A1213" w:rsidP="00D42BDF">
      <w:r>
        <w:t xml:space="preserve">There are many benefits to the proposed layout of the new building. </w:t>
      </w:r>
      <w:r w:rsidRPr="003A1213">
        <w:t>The new model includes private rooms for increased patient comfort and infection control, as well as better utilization to reduce the number of off-service beds.  Alignment with community health services will improve patient transitions in and out of hospital, and telemedicine will further enhance our ability to support patients in the communities where they live.</w:t>
      </w:r>
    </w:p>
    <w:p w14:paraId="2870512B" w14:textId="77777777" w:rsidR="00446D68" w:rsidRDefault="00446D68" w:rsidP="00446D68">
      <w:pPr>
        <w:pStyle w:val="Heading1"/>
      </w:pPr>
      <w:r>
        <w:t>Problem Statement</w:t>
      </w:r>
      <w:r w:rsidR="00B829C2">
        <w:t xml:space="preserve"> </w:t>
      </w:r>
    </w:p>
    <w:p w14:paraId="378186DD" w14:textId="4E7DF023" w:rsidR="00AC2B60" w:rsidRDefault="004B09DF" w:rsidP="004B09DF">
      <w:r>
        <w:t xml:space="preserve">Currently there is mismatch between the number of funded high-acuity medical and surgical beds </w:t>
      </w:r>
      <w:r w:rsidR="003E31D4">
        <w:t>in 4E, 6E, 6W, and 7E</w:t>
      </w:r>
      <w:r w:rsidR="00AC2B60">
        <w:t xml:space="preserve"> and demand for those beds. This problem can be validated by looking at the number of patients staying at each of those units compared against the number </w:t>
      </w:r>
      <w:r w:rsidR="00AC2B60">
        <w:lastRenderedPageBreak/>
        <w:t xml:space="preserve">of funded beds. As well, looking at the time it takes for patients to be admitted to a bed from the time of bed request in the Emergency Department. </w:t>
      </w:r>
    </w:p>
    <w:p w14:paraId="7C126CD8" w14:textId="77777777" w:rsidR="00AC2B60" w:rsidRDefault="00AC2B60" w:rsidP="004B09DF"/>
    <w:p w14:paraId="28997911" w14:textId="556D0982" w:rsidR="00AC2B60" w:rsidRDefault="00AC2B60" w:rsidP="00AC2B60">
      <w:pPr>
        <w:pStyle w:val="Heading3"/>
      </w:pPr>
      <w:r>
        <w:t xml:space="preserve">Number of funded beds versus number of patients at midnight </w:t>
      </w:r>
    </w:p>
    <w:p w14:paraId="67EC27CC" w14:textId="793363C0" w:rsidR="004B09DF" w:rsidRDefault="00AD6FD0" w:rsidP="004B09DF">
      <w:r>
        <w:t>The table below</w:t>
      </w:r>
      <w:r w:rsidR="00D14325">
        <w:t xml:space="preserve"> captures census data between Marc</w:t>
      </w:r>
      <w:r w:rsidR="003E31D4">
        <w:t>h 1, 2017 a</w:t>
      </w:r>
      <w:r w:rsidR="00AC2B60">
        <w:t>nd October 31, 2017</w:t>
      </w:r>
      <w:r w:rsidR="003E31D4">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95"/>
        <w:gridCol w:w="2268"/>
        <w:gridCol w:w="2160"/>
        <w:gridCol w:w="2157"/>
      </w:tblGrid>
      <w:tr w:rsidR="004B09DF" w:rsidRPr="00581773" w14:paraId="78FB3969" w14:textId="77777777" w:rsidTr="004B09DF">
        <w:tc>
          <w:tcPr>
            <w:tcW w:w="2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p w14:paraId="69BFB06C" w14:textId="77777777" w:rsidR="004B09DF" w:rsidRPr="005C4F70" w:rsidRDefault="004B09DF" w:rsidP="004B09DF">
            <w:pPr>
              <w:rPr>
                <w:rFonts w:ascii="Calibri" w:eastAsia="Times New Roman" w:hAnsi="Calibri" w:cs="Calibri"/>
                <w:b/>
                <w:szCs w:val="22"/>
                <w:lang w:val="en-CA" w:eastAsia="en-CA"/>
              </w:rPr>
            </w:pPr>
            <w:r w:rsidRPr="005C4F70">
              <w:rPr>
                <w:rFonts w:ascii="Calibri" w:eastAsia="Times New Roman" w:hAnsi="Calibri" w:cs="Calibri"/>
                <w:b/>
                <w:szCs w:val="22"/>
                <w:lang w:val="en-CA" w:eastAsia="en-CA"/>
              </w:rPr>
              <w:t>Nursing Unit </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p w14:paraId="79E00DFA" w14:textId="77777777" w:rsidR="004B09DF" w:rsidRPr="005C4F70" w:rsidRDefault="004B09DF" w:rsidP="004B09DF">
            <w:pPr>
              <w:rPr>
                <w:rFonts w:ascii="Calibri" w:eastAsia="Times New Roman" w:hAnsi="Calibri" w:cs="Calibri"/>
                <w:b/>
                <w:color w:val="000000"/>
                <w:szCs w:val="22"/>
                <w:lang w:val="en-CA" w:eastAsia="en-CA"/>
              </w:rPr>
            </w:pPr>
            <w:r w:rsidRPr="005C4F70">
              <w:rPr>
                <w:rFonts w:ascii="Calibri" w:eastAsia="Times New Roman" w:hAnsi="Calibri" w:cs="Calibri"/>
                <w:b/>
                <w:color w:val="000000"/>
                <w:szCs w:val="22"/>
                <w:lang w:val="en-CA" w:eastAsia="en-CA"/>
              </w:rPr>
              <w:t># of Funded Beds</w:t>
            </w:r>
          </w:p>
        </w:tc>
        <w:tc>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p w14:paraId="23851B7F" w14:textId="77777777" w:rsidR="004B09DF" w:rsidRPr="005C4F70" w:rsidRDefault="004B09DF" w:rsidP="004B09DF">
            <w:pPr>
              <w:rPr>
                <w:rFonts w:ascii="Calibri" w:eastAsia="Times New Roman" w:hAnsi="Calibri" w:cs="Calibri"/>
                <w:b/>
                <w:color w:val="000000"/>
                <w:szCs w:val="22"/>
                <w:lang w:val="en-CA" w:eastAsia="en-CA"/>
              </w:rPr>
            </w:pPr>
            <w:r w:rsidRPr="005C4F70">
              <w:rPr>
                <w:rFonts w:ascii="Calibri" w:eastAsia="Times New Roman" w:hAnsi="Calibri" w:cs="Calibri"/>
                <w:b/>
                <w:color w:val="000000"/>
                <w:szCs w:val="22"/>
                <w:lang w:val="en-CA" w:eastAsia="en-CA"/>
              </w:rPr>
              <w:t>Average # of Patients at 00:00</w:t>
            </w:r>
          </w:p>
        </w:tc>
        <w:tc>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p w14:paraId="447C8B5D" w14:textId="77777777" w:rsidR="004B09DF" w:rsidRPr="005C4F70" w:rsidRDefault="004B09DF" w:rsidP="004B09DF">
            <w:pPr>
              <w:rPr>
                <w:rFonts w:ascii="Calibri" w:eastAsia="Times New Roman" w:hAnsi="Calibri" w:cs="Calibri"/>
                <w:b/>
                <w:color w:val="000000"/>
                <w:szCs w:val="22"/>
                <w:lang w:val="en-CA" w:eastAsia="en-CA"/>
              </w:rPr>
            </w:pPr>
            <w:r w:rsidRPr="005C4F70">
              <w:rPr>
                <w:rFonts w:ascii="Calibri" w:eastAsia="Times New Roman" w:hAnsi="Calibri" w:cs="Calibri"/>
                <w:b/>
                <w:color w:val="000000"/>
                <w:szCs w:val="22"/>
                <w:lang w:val="en-CA" w:eastAsia="en-CA"/>
              </w:rPr>
              <w:t>Maximum # of Patients at 00:00</w:t>
            </w:r>
          </w:p>
        </w:tc>
      </w:tr>
      <w:tr w:rsidR="004B09DF" w:rsidRPr="00581773" w14:paraId="7E48F352" w14:textId="77777777" w:rsidTr="004B09DF">
        <w:tc>
          <w:tcPr>
            <w:tcW w:w="2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66E0C" w14:textId="77777777" w:rsidR="004B09DF" w:rsidRPr="005C4F70" w:rsidRDefault="004B09DF" w:rsidP="004B09DF">
            <w:pP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4E</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8BAC5"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32</w:t>
            </w:r>
          </w:p>
        </w:tc>
        <w:tc>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1ED6F"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33.2</w:t>
            </w:r>
          </w:p>
        </w:tc>
        <w:tc>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6E9B50"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35</w:t>
            </w:r>
          </w:p>
        </w:tc>
      </w:tr>
      <w:tr w:rsidR="004B09DF" w:rsidRPr="00581773" w14:paraId="06959638" w14:textId="77777777" w:rsidTr="004B09DF">
        <w:tc>
          <w:tcPr>
            <w:tcW w:w="2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B97E2" w14:textId="77777777" w:rsidR="004B09DF" w:rsidRPr="005C4F70" w:rsidRDefault="004B09DF" w:rsidP="004B09DF">
            <w:pP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7E</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EA620"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20</w:t>
            </w:r>
          </w:p>
        </w:tc>
        <w:tc>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7D81D"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21.9</w:t>
            </w:r>
          </w:p>
        </w:tc>
        <w:tc>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ABD1A"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24</w:t>
            </w:r>
          </w:p>
        </w:tc>
      </w:tr>
      <w:tr w:rsidR="004B09DF" w:rsidRPr="00581773" w14:paraId="75BF523B" w14:textId="77777777" w:rsidTr="004B09DF">
        <w:tc>
          <w:tcPr>
            <w:tcW w:w="2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B09AEA" w14:textId="77777777" w:rsidR="004B09DF" w:rsidRPr="005C4F70" w:rsidRDefault="004B09DF" w:rsidP="004B09DF">
            <w:pP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6E</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33E22B"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24</w:t>
            </w:r>
          </w:p>
        </w:tc>
        <w:tc>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785952"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25.5</w:t>
            </w:r>
          </w:p>
        </w:tc>
        <w:tc>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07867E"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29</w:t>
            </w:r>
          </w:p>
        </w:tc>
      </w:tr>
      <w:tr w:rsidR="004B09DF" w:rsidRPr="00581773" w14:paraId="5204FAFE" w14:textId="77777777" w:rsidTr="004B09DF">
        <w:tc>
          <w:tcPr>
            <w:tcW w:w="2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2A60F" w14:textId="77777777" w:rsidR="004B09DF" w:rsidRPr="005C4F70" w:rsidRDefault="004B09DF" w:rsidP="004B09DF">
            <w:pP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6W</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696B56"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26</w:t>
            </w:r>
          </w:p>
        </w:tc>
        <w:tc>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478C93"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27.1</w:t>
            </w:r>
          </w:p>
        </w:tc>
        <w:tc>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89E13" w14:textId="77777777" w:rsidR="004B09DF" w:rsidRPr="005C4F70" w:rsidRDefault="004B09DF" w:rsidP="00234234">
            <w:pPr>
              <w:jc w:val="center"/>
              <w:rPr>
                <w:rFonts w:ascii="Calibri" w:eastAsia="Times New Roman" w:hAnsi="Calibri" w:cs="Calibri"/>
                <w:color w:val="000000"/>
                <w:szCs w:val="22"/>
                <w:lang w:val="en-CA" w:eastAsia="en-CA"/>
              </w:rPr>
            </w:pPr>
            <w:r w:rsidRPr="005C4F70">
              <w:rPr>
                <w:rFonts w:ascii="Calibri" w:eastAsia="Times New Roman" w:hAnsi="Calibri" w:cs="Calibri"/>
                <w:color w:val="000000"/>
                <w:szCs w:val="22"/>
                <w:lang w:val="en-CA" w:eastAsia="en-CA"/>
              </w:rPr>
              <w:t>30</w:t>
            </w:r>
          </w:p>
        </w:tc>
      </w:tr>
    </w:tbl>
    <w:p w14:paraId="27A90976" w14:textId="4386B65C" w:rsidR="00D14325" w:rsidRDefault="00234234" w:rsidP="00446D68">
      <w:r>
        <w:t>The census data is showing that on average, there are one to two patients more than the number of funded beds for each of the nursing unit.</w:t>
      </w:r>
      <w:r>
        <w:rPr>
          <w:rStyle w:val="CommentReference"/>
        </w:rPr>
        <w:commentReference w:id="25"/>
      </w:r>
    </w:p>
    <w:p w14:paraId="29F985F2" w14:textId="77777777" w:rsidR="00234234" w:rsidRDefault="00234234" w:rsidP="00446D68"/>
    <w:p w14:paraId="5D89FACA" w14:textId="11670B9A" w:rsidR="0046123A" w:rsidRPr="00D14325" w:rsidRDefault="0046123A" w:rsidP="0046123A">
      <w:pPr>
        <w:pStyle w:val="Heading3"/>
      </w:pPr>
      <w:r>
        <w:t xml:space="preserve">Wait time for bed in emergency </w:t>
      </w:r>
    </w:p>
    <w:p w14:paraId="35F4D57B" w14:textId="214D1FB6" w:rsidR="00581773" w:rsidRDefault="0046123A" w:rsidP="00446D68">
      <w:r>
        <w:t xml:space="preserve">The table below shows descriptive statistics on the time </w:t>
      </w:r>
      <w:r w:rsidR="00DC63E8">
        <w:t xml:space="preserve">(in minutes) </w:t>
      </w:r>
      <w:r>
        <w:t>it takes patients t</w:t>
      </w:r>
      <w:r w:rsidR="00234234">
        <w:t xml:space="preserve">o be transferred to a bed in the nursing unit from the time of bed request in the Emergency Department. </w:t>
      </w:r>
    </w:p>
    <w:tbl>
      <w:tblPr>
        <w:tblStyle w:val="TableGrid"/>
        <w:tblW w:w="0" w:type="auto"/>
        <w:tblLook w:val="04A0" w:firstRow="1" w:lastRow="0" w:firstColumn="1" w:lastColumn="0" w:noHBand="0" w:noVBand="1"/>
      </w:tblPr>
      <w:tblGrid>
        <w:gridCol w:w="3936"/>
        <w:gridCol w:w="1417"/>
        <w:gridCol w:w="1418"/>
        <w:gridCol w:w="1417"/>
        <w:gridCol w:w="1388"/>
      </w:tblGrid>
      <w:tr w:rsidR="00234234" w14:paraId="4AED292C" w14:textId="77777777" w:rsidTr="00234234">
        <w:tc>
          <w:tcPr>
            <w:tcW w:w="3936" w:type="dxa"/>
          </w:tcPr>
          <w:p w14:paraId="62690A4E" w14:textId="77777777" w:rsidR="00234234" w:rsidRDefault="00234234" w:rsidP="00446D68"/>
        </w:tc>
        <w:tc>
          <w:tcPr>
            <w:tcW w:w="1417" w:type="dxa"/>
          </w:tcPr>
          <w:p w14:paraId="72BD2C52" w14:textId="592DEA7F" w:rsidR="00234234" w:rsidRPr="00234234" w:rsidRDefault="00234234" w:rsidP="00234234">
            <w:pPr>
              <w:jc w:val="center"/>
              <w:rPr>
                <w:b/>
              </w:rPr>
            </w:pPr>
            <w:commentRangeStart w:id="26"/>
            <w:r>
              <w:rPr>
                <w:b/>
              </w:rPr>
              <w:t>4E</w:t>
            </w:r>
          </w:p>
        </w:tc>
        <w:tc>
          <w:tcPr>
            <w:tcW w:w="1418" w:type="dxa"/>
          </w:tcPr>
          <w:p w14:paraId="5E5A4BC2" w14:textId="5189F163" w:rsidR="00234234" w:rsidRPr="00234234" w:rsidRDefault="00234234" w:rsidP="00234234">
            <w:pPr>
              <w:jc w:val="center"/>
              <w:rPr>
                <w:b/>
              </w:rPr>
            </w:pPr>
            <w:r>
              <w:rPr>
                <w:b/>
              </w:rPr>
              <w:t>6E</w:t>
            </w:r>
          </w:p>
        </w:tc>
        <w:tc>
          <w:tcPr>
            <w:tcW w:w="1417" w:type="dxa"/>
          </w:tcPr>
          <w:p w14:paraId="491948FD" w14:textId="33FE4858" w:rsidR="00234234" w:rsidRPr="00234234" w:rsidRDefault="00234234" w:rsidP="00234234">
            <w:pPr>
              <w:jc w:val="center"/>
              <w:rPr>
                <w:b/>
              </w:rPr>
            </w:pPr>
            <w:r>
              <w:rPr>
                <w:b/>
              </w:rPr>
              <w:t>6W</w:t>
            </w:r>
          </w:p>
        </w:tc>
        <w:tc>
          <w:tcPr>
            <w:tcW w:w="1388" w:type="dxa"/>
          </w:tcPr>
          <w:p w14:paraId="6A11E0E2" w14:textId="3D2A2898" w:rsidR="00234234" w:rsidRPr="00234234" w:rsidRDefault="00234234" w:rsidP="00234234">
            <w:pPr>
              <w:jc w:val="center"/>
              <w:rPr>
                <w:b/>
              </w:rPr>
            </w:pPr>
            <w:r>
              <w:rPr>
                <w:b/>
              </w:rPr>
              <w:t>7E</w:t>
            </w:r>
            <w:commentRangeEnd w:id="26"/>
            <w:r w:rsidR="00014663">
              <w:rPr>
                <w:rStyle w:val="CommentReference"/>
              </w:rPr>
              <w:commentReference w:id="26"/>
            </w:r>
          </w:p>
        </w:tc>
      </w:tr>
      <w:tr w:rsidR="00DC63E8" w14:paraId="3147D24F" w14:textId="77777777" w:rsidTr="00DC63E8">
        <w:tc>
          <w:tcPr>
            <w:tcW w:w="3936" w:type="dxa"/>
          </w:tcPr>
          <w:p w14:paraId="07516C7B" w14:textId="1EFCC277" w:rsidR="00DC63E8" w:rsidRDefault="00DC63E8" w:rsidP="00DC63E8">
            <w:r>
              <w:t>Count of patients</w:t>
            </w:r>
          </w:p>
        </w:tc>
        <w:tc>
          <w:tcPr>
            <w:tcW w:w="1417" w:type="dxa"/>
          </w:tcPr>
          <w:p w14:paraId="59BB68F3" w14:textId="1AB9B25A" w:rsidR="00DC63E8" w:rsidRPr="00DC63E8" w:rsidRDefault="00DC63E8" w:rsidP="00DC63E8">
            <w:pPr>
              <w:jc w:val="center"/>
            </w:pPr>
            <w:r w:rsidRPr="00DC63E8">
              <w:rPr>
                <w:rFonts w:ascii="Calibri" w:hAnsi="Calibri" w:cs="Calibri"/>
                <w:color w:val="000000"/>
                <w:szCs w:val="22"/>
              </w:rPr>
              <w:t>1231</w:t>
            </w:r>
          </w:p>
        </w:tc>
        <w:tc>
          <w:tcPr>
            <w:tcW w:w="1418" w:type="dxa"/>
          </w:tcPr>
          <w:p w14:paraId="05B609F3" w14:textId="60FBF990" w:rsidR="00DC63E8" w:rsidRPr="00DC63E8" w:rsidRDefault="00DC63E8" w:rsidP="00DC63E8">
            <w:pPr>
              <w:jc w:val="center"/>
            </w:pPr>
            <w:r w:rsidRPr="00DC63E8">
              <w:rPr>
                <w:rFonts w:ascii="Calibri" w:hAnsi="Calibri" w:cs="Calibri"/>
                <w:color w:val="000000"/>
                <w:szCs w:val="22"/>
              </w:rPr>
              <w:t>789</w:t>
            </w:r>
          </w:p>
        </w:tc>
        <w:tc>
          <w:tcPr>
            <w:tcW w:w="1417" w:type="dxa"/>
          </w:tcPr>
          <w:p w14:paraId="33A85052" w14:textId="3DA20578" w:rsidR="00DC63E8" w:rsidRPr="00DC63E8" w:rsidRDefault="00DC63E8" w:rsidP="00DC63E8">
            <w:pPr>
              <w:jc w:val="center"/>
            </w:pPr>
            <w:r w:rsidRPr="00DC63E8">
              <w:rPr>
                <w:rFonts w:ascii="Calibri" w:hAnsi="Calibri" w:cs="Calibri"/>
                <w:color w:val="000000"/>
                <w:szCs w:val="22"/>
              </w:rPr>
              <w:t>549</w:t>
            </w:r>
          </w:p>
        </w:tc>
        <w:tc>
          <w:tcPr>
            <w:tcW w:w="1388" w:type="dxa"/>
          </w:tcPr>
          <w:p w14:paraId="5B1E3799" w14:textId="0BB8A59D" w:rsidR="00DC63E8" w:rsidRPr="00DC63E8" w:rsidRDefault="00DC63E8" w:rsidP="00DC63E8">
            <w:pPr>
              <w:jc w:val="center"/>
            </w:pPr>
            <w:r w:rsidRPr="00DC63E8">
              <w:rPr>
                <w:rFonts w:ascii="Calibri" w:hAnsi="Calibri" w:cs="Calibri"/>
                <w:color w:val="000000"/>
                <w:szCs w:val="22"/>
              </w:rPr>
              <w:t>547</w:t>
            </w:r>
          </w:p>
        </w:tc>
      </w:tr>
      <w:tr w:rsidR="00DC63E8" w14:paraId="4917E58A" w14:textId="77777777" w:rsidTr="00DC63E8">
        <w:tc>
          <w:tcPr>
            <w:tcW w:w="3936" w:type="dxa"/>
          </w:tcPr>
          <w:p w14:paraId="2B5BDF7E" w14:textId="241DAE90" w:rsidR="00DC63E8" w:rsidRDefault="00DC63E8" w:rsidP="00DC63E8">
            <w:r>
              <w:t xml:space="preserve">Average </w:t>
            </w:r>
          </w:p>
        </w:tc>
        <w:tc>
          <w:tcPr>
            <w:tcW w:w="1417" w:type="dxa"/>
          </w:tcPr>
          <w:p w14:paraId="7E99A07D" w14:textId="45B6236B" w:rsidR="00DC63E8" w:rsidRPr="00DC63E8" w:rsidRDefault="00DC63E8" w:rsidP="00DC63E8">
            <w:pPr>
              <w:jc w:val="center"/>
            </w:pPr>
            <w:r w:rsidRPr="00DC63E8">
              <w:rPr>
                <w:rFonts w:ascii="Calibri" w:hAnsi="Calibri" w:cs="Calibri"/>
                <w:color w:val="000000"/>
                <w:szCs w:val="22"/>
              </w:rPr>
              <w:t>438</w:t>
            </w:r>
          </w:p>
        </w:tc>
        <w:tc>
          <w:tcPr>
            <w:tcW w:w="1418" w:type="dxa"/>
          </w:tcPr>
          <w:p w14:paraId="66AED2B2" w14:textId="7779A03A" w:rsidR="00DC63E8" w:rsidRPr="00DC63E8" w:rsidRDefault="00DC63E8" w:rsidP="00DC63E8">
            <w:pPr>
              <w:jc w:val="center"/>
            </w:pPr>
            <w:r w:rsidRPr="00DC63E8">
              <w:rPr>
                <w:rFonts w:ascii="Calibri" w:hAnsi="Calibri" w:cs="Calibri"/>
                <w:color w:val="000000"/>
                <w:szCs w:val="22"/>
              </w:rPr>
              <w:t>291</w:t>
            </w:r>
          </w:p>
        </w:tc>
        <w:tc>
          <w:tcPr>
            <w:tcW w:w="1417" w:type="dxa"/>
          </w:tcPr>
          <w:p w14:paraId="5BD5D718" w14:textId="1004C18A" w:rsidR="00DC63E8" w:rsidRPr="00DC63E8" w:rsidRDefault="00DC63E8" w:rsidP="00DC63E8">
            <w:pPr>
              <w:jc w:val="center"/>
            </w:pPr>
            <w:r w:rsidRPr="00DC63E8">
              <w:rPr>
                <w:rFonts w:ascii="Calibri" w:hAnsi="Calibri" w:cs="Calibri"/>
                <w:color w:val="000000"/>
                <w:szCs w:val="22"/>
              </w:rPr>
              <w:t>256</w:t>
            </w:r>
          </w:p>
        </w:tc>
        <w:tc>
          <w:tcPr>
            <w:tcW w:w="1388" w:type="dxa"/>
          </w:tcPr>
          <w:p w14:paraId="35A9AB28" w14:textId="21819756" w:rsidR="00DC63E8" w:rsidRPr="00DC63E8" w:rsidRDefault="00DC63E8" w:rsidP="00DC63E8">
            <w:pPr>
              <w:jc w:val="center"/>
            </w:pPr>
            <w:r w:rsidRPr="00DC63E8">
              <w:rPr>
                <w:rFonts w:ascii="Calibri" w:hAnsi="Calibri" w:cs="Calibri"/>
                <w:color w:val="000000"/>
                <w:szCs w:val="22"/>
              </w:rPr>
              <w:t>300</w:t>
            </w:r>
          </w:p>
        </w:tc>
      </w:tr>
      <w:tr w:rsidR="00DC63E8" w14:paraId="1337BBC4" w14:textId="77777777" w:rsidTr="00DC63E8">
        <w:tc>
          <w:tcPr>
            <w:tcW w:w="3936" w:type="dxa"/>
          </w:tcPr>
          <w:p w14:paraId="34CDA7F7" w14:textId="26C6595E" w:rsidR="00DC63E8" w:rsidRDefault="00DC63E8" w:rsidP="00DC63E8">
            <w:r>
              <w:t xml:space="preserve">Standard deviation </w:t>
            </w:r>
          </w:p>
        </w:tc>
        <w:tc>
          <w:tcPr>
            <w:tcW w:w="1417" w:type="dxa"/>
          </w:tcPr>
          <w:p w14:paraId="50B1777C" w14:textId="03978DAC" w:rsidR="00DC63E8" w:rsidRPr="00DC63E8" w:rsidRDefault="00DC63E8" w:rsidP="00DC63E8">
            <w:pPr>
              <w:jc w:val="center"/>
            </w:pPr>
            <w:r w:rsidRPr="00DC63E8">
              <w:rPr>
                <w:rFonts w:ascii="Calibri" w:hAnsi="Calibri" w:cs="Calibri"/>
                <w:color w:val="000000"/>
                <w:szCs w:val="22"/>
              </w:rPr>
              <w:t>720</w:t>
            </w:r>
          </w:p>
        </w:tc>
        <w:tc>
          <w:tcPr>
            <w:tcW w:w="1418" w:type="dxa"/>
          </w:tcPr>
          <w:p w14:paraId="4341B833" w14:textId="6822A146" w:rsidR="00DC63E8" w:rsidRPr="00DC63E8" w:rsidRDefault="00DC63E8" w:rsidP="00DC63E8">
            <w:pPr>
              <w:jc w:val="center"/>
            </w:pPr>
            <w:r w:rsidRPr="00DC63E8">
              <w:rPr>
                <w:rFonts w:ascii="Calibri" w:hAnsi="Calibri" w:cs="Calibri"/>
                <w:color w:val="000000"/>
                <w:szCs w:val="22"/>
              </w:rPr>
              <w:t>436</w:t>
            </w:r>
          </w:p>
        </w:tc>
        <w:tc>
          <w:tcPr>
            <w:tcW w:w="1417" w:type="dxa"/>
          </w:tcPr>
          <w:p w14:paraId="4B44426F" w14:textId="1391F790" w:rsidR="00DC63E8" w:rsidRPr="00DC63E8" w:rsidRDefault="00DC63E8" w:rsidP="00DC63E8">
            <w:pPr>
              <w:jc w:val="center"/>
            </w:pPr>
            <w:r w:rsidRPr="00DC63E8">
              <w:rPr>
                <w:rFonts w:ascii="Calibri" w:hAnsi="Calibri" w:cs="Calibri"/>
                <w:color w:val="000000"/>
                <w:szCs w:val="22"/>
              </w:rPr>
              <w:t>354</w:t>
            </w:r>
          </w:p>
        </w:tc>
        <w:tc>
          <w:tcPr>
            <w:tcW w:w="1388" w:type="dxa"/>
          </w:tcPr>
          <w:p w14:paraId="14B58839" w14:textId="61D30FD3" w:rsidR="00DC63E8" w:rsidRPr="00DC63E8" w:rsidRDefault="00DC63E8" w:rsidP="00DC63E8">
            <w:pPr>
              <w:jc w:val="center"/>
            </w:pPr>
            <w:r w:rsidRPr="00DC63E8">
              <w:rPr>
                <w:rFonts w:ascii="Calibri" w:hAnsi="Calibri" w:cs="Calibri"/>
                <w:color w:val="000000"/>
                <w:szCs w:val="22"/>
              </w:rPr>
              <w:t>402</w:t>
            </w:r>
          </w:p>
        </w:tc>
      </w:tr>
      <w:tr w:rsidR="00DC63E8" w14:paraId="050B9F79" w14:textId="77777777" w:rsidTr="00DC63E8">
        <w:tc>
          <w:tcPr>
            <w:tcW w:w="3936" w:type="dxa"/>
          </w:tcPr>
          <w:p w14:paraId="5C2B0580" w14:textId="7B23786E" w:rsidR="00DC63E8" w:rsidRDefault="00DC63E8" w:rsidP="00DC63E8">
            <w:r>
              <w:t xml:space="preserve">Median </w:t>
            </w:r>
          </w:p>
        </w:tc>
        <w:tc>
          <w:tcPr>
            <w:tcW w:w="1417" w:type="dxa"/>
          </w:tcPr>
          <w:p w14:paraId="797EDB49" w14:textId="7912FA8C" w:rsidR="00DC63E8" w:rsidRPr="00DC63E8" w:rsidRDefault="00DC63E8" w:rsidP="00DC63E8">
            <w:pPr>
              <w:jc w:val="center"/>
            </w:pPr>
            <w:r w:rsidRPr="00DC63E8">
              <w:rPr>
                <w:rFonts w:ascii="Calibri" w:hAnsi="Calibri" w:cs="Calibri"/>
                <w:color w:val="000000"/>
                <w:szCs w:val="22"/>
              </w:rPr>
              <w:t>236</w:t>
            </w:r>
          </w:p>
        </w:tc>
        <w:tc>
          <w:tcPr>
            <w:tcW w:w="1418" w:type="dxa"/>
          </w:tcPr>
          <w:p w14:paraId="12AF6CEB" w14:textId="6822D873" w:rsidR="00DC63E8" w:rsidRPr="00DC63E8" w:rsidRDefault="00DC63E8" w:rsidP="00DC63E8">
            <w:pPr>
              <w:jc w:val="center"/>
            </w:pPr>
            <w:r w:rsidRPr="00DC63E8">
              <w:rPr>
                <w:rFonts w:ascii="Calibri" w:hAnsi="Calibri" w:cs="Calibri"/>
                <w:color w:val="000000"/>
                <w:szCs w:val="22"/>
              </w:rPr>
              <w:t>190</w:t>
            </w:r>
          </w:p>
        </w:tc>
        <w:tc>
          <w:tcPr>
            <w:tcW w:w="1417" w:type="dxa"/>
          </w:tcPr>
          <w:p w14:paraId="6EF22E56" w14:textId="1BD69CE7" w:rsidR="00DC63E8" w:rsidRPr="00DC63E8" w:rsidRDefault="00DC63E8" w:rsidP="00DC63E8">
            <w:pPr>
              <w:jc w:val="center"/>
            </w:pPr>
            <w:r w:rsidRPr="00DC63E8">
              <w:rPr>
                <w:rFonts w:ascii="Calibri" w:hAnsi="Calibri" w:cs="Calibri"/>
                <w:color w:val="000000"/>
                <w:szCs w:val="22"/>
              </w:rPr>
              <w:t>180</w:t>
            </w:r>
          </w:p>
        </w:tc>
        <w:tc>
          <w:tcPr>
            <w:tcW w:w="1388" w:type="dxa"/>
          </w:tcPr>
          <w:p w14:paraId="5BE89792" w14:textId="134E1DB1" w:rsidR="00DC63E8" w:rsidRPr="00DC63E8" w:rsidRDefault="00DC63E8" w:rsidP="00DC63E8">
            <w:pPr>
              <w:jc w:val="center"/>
            </w:pPr>
            <w:r w:rsidRPr="00DC63E8">
              <w:rPr>
                <w:rFonts w:ascii="Calibri" w:hAnsi="Calibri" w:cs="Calibri"/>
                <w:color w:val="000000"/>
                <w:szCs w:val="22"/>
              </w:rPr>
              <w:t>194</w:t>
            </w:r>
          </w:p>
        </w:tc>
      </w:tr>
      <w:tr w:rsidR="00DC63E8" w14:paraId="48008F23" w14:textId="77777777" w:rsidTr="00DC63E8">
        <w:tc>
          <w:tcPr>
            <w:tcW w:w="3936" w:type="dxa"/>
          </w:tcPr>
          <w:p w14:paraId="29F199DC" w14:textId="3B2E9416" w:rsidR="00DC63E8" w:rsidRDefault="008D5C95" w:rsidP="00DC63E8">
            <w:r>
              <w:t xml:space="preserve">90th </w:t>
            </w:r>
            <w:r w:rsidR="00DC63E8">
              <w:t xml:space="preserve"> percentile </w:t>
            </w:r>
          </w:p>
        </w:tc>
        <w:tc>
          <w:tcPr>
            <w:tcW w:w="1417" w:type="dxa"/>
          </w:tcPr>
          <w:p w14:paraId="34A8498A" w14:textId="36D5C5A0" w:rsidR="00DC63E8" w:rsidRPr="00DC63E8" w:rsidRDefault="00DC63E8" w:rsidP="00DC63E8">
            <w:pPr>
              <w:jc w:val="center"/>
            </w:pPr>
            <w:r w:rsidRPr="00DC63E8">
              <w:rPr>
                <w:rFonts w:ascii="Calibri" w:hAnsi="Calibri" w:cs="Calibri"/>
                <w:color w:val="000000"/>
                <w:szCs w:val="22"/>
              </w:rPr>
              <w:t>1020</w:t>
            </w:r>
          </w:p>
        </w:tc>
        <w:tc>
          <w:tcPr>
            <w:tcW w:w="1418" w:type="dxa"/>
          </w:tcPr>
          <w:p w14:paraId="371A0AF3" w14:textId="420B590D" w:rsidR="00DC63E8" w:rsidRPr="00DC63E8" w:rsidRDefault="00DC63E8" w:rsidP="00DC63E8">
            <w:pPr>
              <w:jc w:val="center"/>
            </w:pPr>
            <w:r w:rsidRPr="00DC63E8">
              <w:rPr>
                <w:rFonts w:ascii="Calibri" w:hAnsi="Calibri" w:cs="Calibri"/>
                <w:color w:val="000000"/>
                <w:szCs w:val="22"/>
              </w:rPr>
              <w:t>482</w:t>
            </w:r>
          </w:p>
        </w:tc>
        <w:tc>
          <w:tcPr>
            <w:tcW w:w="1417" w:type="dxa"/>
          </w:tcPr>
          <w:p w14:paraId="7D22E19E" w14:textId="48641DF7" w:rsidR="00DC63E8" w:rsidRPr="00DC63E8" w:rsidRDefault="00DC63E8" w:rsidP="00DC63E8">
            <w:pPr>
              <w:jc w:val="center"/>
            </w:pPr>
            <w:r w:rsidRPr="00DC63E8">
              <w:rPr>
                <w:rFonts w:ascii="Calibri" w:hAnsi="Calibri" w:cs="Calibri"/>
                <w:color w:val="000000"/>
                <w:szCs w:val="22"/>
              </w:rPr>
              <w:t>417</w:t>
            </w:r>
          </w:p>
        </w:tc>
        <w:tc>
          <w:tcPr>
            <w:tcW w:w="1388" w:type="dxa"/>
          </w:tcPr>
          <w:p w14:paraId="3E366655" w14:textId="43DE6931" w:rsidR="00DC63E8" w:rsidRPr="00DC63E8" w:rsidRDefault="00DC63E8" w:rsidP="00DC63E8">
            <w:pPr>
              <w:jc w:val="center"/>
            </w:pPr>
            <w:r w:rsidRPr="00DC63E8">
              <w:rPr>
                <w:rFonts w:ascii="Calibri" w:hAnsi="Calibri" w:cs="Calibri"/>
                <w:color w:val="000000"/>
                <w:szCs w:val="22"/>
              </w:rPr>
              <w:t>469</w:t>
            </w:r>
          </w:p>
        </w:tc>
      </w:tr>
      <w:tr w:rsidR="00DC63E8" w14:paraId="75FB5199" w14:textId="77777777" w:rsidTr="00DC63E8">
        <w:tc>
          <w:tcPr>
            <w:tcW w:w="3936" w:type="dxa"/>
          </w:tcPr>
          <w:p w14:paraId="58801DC3" w14:textId="1B542297" w:rsidR="00DC63E8" w:rsidRDefault="00DC63E8" w:rsidP="00DC63E8">
            <w:r>
              <w:t xml:space="preserve">Minimum </w:t>
            </w:r>
          </w:p>
        </w:tc>
        <w:tc>
          <w:tcPr>
            <w:tcW w:w="1417" w:type="dxa"/>
          </w:tcPr>
          <w:p w14:paraId="460298D5" w14:textId="46765C2F" w:rsidR="00DC63E8" w:rsidRPr="00DC63E8" w:rsidRDefault="00DC63E8" w:rsidP="00DC63E8">
            <w:pPr>
              <w:jc w:val="center"/>
            </w:pPr>
            <w:r w:rsidRPr="00DC63E8">
              <w:rPr>
                <w:rFonts w:ascii="Calibri" w:hAnsi="Calibri" w:cs="Calibri"/>
                <w:color w:val="000000"/>
                <w:szCs w:val="22"/>
              </w:rPr>
              <w:t>4</w:t>
            </w:r>
          </w:p>
        </w:tc>
        <w:tc>
          <w:tcPr>
            <w:tcW w:w="1418" w:type="dxa"/>
          </w:tcPr>
          <w:p w14:paraId="6CADF8CB" w14:textId="45BB59AE" w:rsidR="00DC63E8" w:rsidRPr="00DC63E8" w:rsidRDefault="00DC63E8" w:rsidP="00DC63E8">
            <w:pPr>
              <w:jc w:val="center"/>
            </w:pPr>
            <w:r w:rsidRPr="00DC63E8">
              <w:rPr>
                <w:rFonts w:ascii="Calibri" w:hAnsi="Calibri" w:cs="Calibri"/>
                <w:color w:val="000000"/>
                <w:szCs w:val="22"/>
              </w:rPr>
              <w:t>0</w:t>
            </w:r>
          </w:p>
        </w:tc>
        <w:tc>
          <w:tcPr>
            <w:tcW w:w="1417" w:type="dxa"/>
          </w:tcPr>
          <w:p w14:paraId="692E86A5" w14:textId="3F6C438D" w:rsidR="00DC63E8" w:rsidRPr="00DC63E8" w:rsidRDefault="00DC63E8" w:rsidP="00DC63E8">
            <w:pPr>
              <w:jc w:val="center"/>
            </w:pPr>
            <w:r w:rsidRPr="00DC63E8">
              <w:rPr>
                <w:rFonts w:ascii="Calibri" w:hAnsi="Calibri" w:cs="Calibri"/>
                <w:color w:val="000000"/>
                <w:szCs w:val="22"/>
              </w:rPr>
              <w:t>0</w:t>
            </w:r>
          </w:p>
        </w:tc>
        <w:tc>
          <w:tcPr>
            <w:tcW w:w="1388" w:type="dxa"/>
          </w:tcPr>
          <w:p w14:paraId="38F04E5E" w14:textId="37683BCF" w:rsidR="00DC63E8" w:rsidRPr="00DC63E8" w:rsidRDefault="00DC63E8" w:rsidP="00DC63E8">
            <w:pPr>
              <w:jc w:val="center"/>
            </w:pPr>
            <w:r w:rsidRPr="00DC63E8">
              <w:rPr>
                <w:rFonts w:ascii="Calibri" w:hAnsi="Calibri" w:cs="Calibri"/>
                <w:color w:val="000000"/>
                <w:szCs w:val="22"/>
              </w:rPr>
              <w:t>12</w:t>
            </w:r>
          </w:p>
        </w:tc>
      </w:tr>
      <w:tr w:rsidR="00DC63E8" w14:paraId="5EDF7D35" w14:textId="77777777" w:rsidTr="00DC63E8">
        <w:tc>
          <w:tcPr>
            <w:tcW w:w="3936" w:type="dxa"/>
          </w:tcPr>
          <w:p w14:paraId="45765889" w14:textId="65F6174E" w:rsidR="00DC63E8" w:rsidRDefault="00DC63E8" w:rsidP="00DC63E8">
            <w:r>
              <w:t xml:space="preserve">Maximum </w:t>
            </w:r>
          </w:p>
        </w:tc>
        <w:tc>
          <w:tcPr>
            <w:tcW w:w="1417" w:type="dxa"/>
          </w:tcPr>
          <w:p w14:paraId="682F66A5" w14:textId="34CB47E5" w:rsidR="00DC63E8" w:rsidRPr="00DC63E8" w:rsidRDefault="00DC63E8" w:rsidP="00DC63E8">
            <w:pPr>
              <w:jc w:val="center"/>
            </w:pPr>
            <w:r w:rsidRPr="00DC63E8">
              <w:rPr>
                <w:rFonts w:ascii="Calibri" w:hAnsi="Calibri" w:cs="Calibri"/>
                <w:color w:val="000000"/>
                <w:szCs w:val="22"/>
              </w:rPr>
              <w:t>13959</w:t>
            </w:r>
          </w:p>
        </w:tc>
        <w:tc>
          <w:tcPr>
            <w:tcW w:w="1418" w:type="dxa"/>
          </w:tcPr>
          <w:p w14:paraId="7D81B0D6" w14:textId="7591F1E8" w:rsidR="00DC63E8" w:rsidRPr="00DC63E8" w:rsidRDefault="00DC63E8" w:rsidP="00DC63E8">
            <w:pPr>
              <w:jc w:val="center"/>
            </w:pPr>
            <w:r w:rsidRPr="00DC63E8">
              <w:rPr>
                <w:rFonts w:ascii="Calibri" w:hAnsi="Calibri" w:cs="Calibri"/>
                <w:color w:val="000000"/>
                <w:szCs w:val="22"/>
              </w:rPr>
              <w:t>4239</w:t>
            </w:r>
          </w:p>
        </w:tc>
        <w:tc>
          <w:tcPr>
            <w:tcW w:w="1417" w:type="dxa"/>
          </w:tcPr>
          <w:p w14:paraId="736A0D55" w14:textId="7AFA49B0" w:rsidR="00DC63E8" w:rsidRPr="00DC63E8" w:rsidRDefault="00DC63E8" w:rsidP="00DC63E8">
            <w:pPr>
              <w:jc w:val="center"/>
            </w:pPr>
            <w:r w:rsidRPr="00DC63E8">
              <w:rPr>
                <w:rFonts w:ascii="Calibri" w:hAnsi="Calibri" w:cs="Calibri"/>
                <w:color w:val="000000"/>
                <w:szCs w:val="22"/>
              </w:rPr>
              <w:t>4522</w:t>
            </w:r>
          </w:p>
        </w:tc>
        <w:tc>
          <w:tcPr>
            <w:tcW w:w="1388" w:type="dxa"/>
          </w:tcPr>
          <w:p w14:paraId="468E5F01" w14:textId="6EE9E13E" w:rsidR="00DC63E8" w:rsidRPr="00DC63E8" w:rsidRDefault="00DC63E8" w:rsidP="00DC63E8">
            <w:pPr>
              <w:jc w:val="center"/>
            </w:pPr>
            <w:r w:rsidRPr="00DC63E8">
              <w:rPr>
                <w:rFonts w:ascii="Calibri" w:hAnsi="Calibri" w:cs="Calibri"/>
                <w:color w:val="000000"/>
                <w:szCs w:val="22"/>
              </w:rPr>
              <w:t>3766</w:t>
            </w:r>
          </w:p>
        </w:tc>
      </w:tr>
    </w:tbl>
    <w:p w14:paraId="0CAEAC86" w14:textId="2BFCC444" w:rsidR="00581773" w:rsidRDefault="008D5C95" w:rsidP="00446D68">
      <w:commentRangeStart w:id="27"/>
      <w:r>
        <w:t>At the 90</w:t>
      </w:r>
      <w:r w:rsidRPr="008D5C95">
        <w:rPr>
          <w:vertAlign w:val="superscript"/>
        </w:rPr>
        <w:t>th</w:t>
      </w:r>
      <w:r>
        <w:t xml:space="preserve"> percentile, the wait time is 17.0 hours for patients admitted into 4E, 8.0 hours for 6E, 5.2 hours for 6W, and 7.8 hours for 7E. </w:t>
      </w:r>
      <w:commentRangeEnd w:id="27"/>
      <w:r>
        <w:rPr>
          <w:rStyle w:val="CommentReference"/>
        </w:rPr>
        <w:commentReference w:id="27"/>
      </w:r>
      <w:r>
        <w:t xml:space="preserve"> </w:t>
      </w:r>
    </w:p>
    <w:p w14:paraId="241D462E" w14:textId="77777777" w:rsidR="00581773" w:rsidRDefault="00581773" w:rsidP="00446D68"/>
    <w:p w14:paraId="4A475B2A" w14:textId="484573B0" w:rsidR="00AC2B60" w:rsidRDefault="00562A85" w:rsidP="00AC2B60">
      <w:pPr>
        <w:pStyle w:val="Heading1"/>
      </w:pPr>
      <w:r>
        <w:t xml:space="preserve">Project Goals </w:t>
      </w:r>
    </w:p>
    <w:p w14:paraId="0FBC81E9" w14:textId="4DD07A12" w:rsidR="002A16B3" w:rsidRPr="00AC2B60" w:rsidRDefault="008D5C95" w:rsidP="008D5C95">
      <w:r>
        <w:t xml:space="preserve">The goal of this project is to adjust patient flow </w:t>
      </w:r>
      <w:r w:rsidR="00562A85">
        <w:t xml:space="preserve">so that </w:t>
      </w:r>
      <w:proofErr w:type="gramStart"/>
      <w:r w:rsidR="00562A85">
        <w:t>an equilibrium</w:t>
      </w:r>
      <w:proofErr w:type="gramEnd"/>
      <w:r w:rsidR="00562A85">
        <w:t xml:space="preserve"> can be reached between the number of high-acuity medical and surgical patients flowing into the 4E, 6E, 6W, and 7E and the number of funded beds at 4E, 6E, 6W, and 7E.</w:t>
      </w:r>
    </w:p>
    <w:p w14:paraId="0F65C355" w14:textId="77777777" w:rsidR="00211379" w:rsidRDefault="00211379" w:rsidP="00446D68"/>
    <w:p w14:paraId="2B74020D" w14:textId="53D0D725" w:rsidR="00562A85" w:rsidRDefault="00562A85" w:rsidP="00562A85">
      <w:pPr>
        <w:pStyle w:val="Heading3"/>
      </w:pPr>
      <w:r>
        <w:t>Approach</w:t>
      </w:r>
    </w:p>
    <w:p w14:paraId="77640997" w14:textId="6BC0E9BE" w:rsidR="00562A85" w:rsidRDefault="00562A85" w:rsidP="00562A85">
      <w:r>
        <w:t xml:space="preserve">We will be using simulation to evaluate different lengths of stay for patients at 4E, 6E, 6W, and 7E before being transferred to a lower acuity nursing unit. Moving patients out of 4E, 6E, 6W, and 7E as soon as their acuity has lowered creates capacity for incoming high-acuity patients. </w:t>
      </w:r>
      <w:r>
        <w:lastRenderedPageBreak/>
        <w:t>As well, health care resources will be more effectively utilized—</w:t>
      </w:r>
      <w:r w:rsidR="004D5325">
        <w:t>that is, not having low acuity patients in a high acuity nursing unit.</w:t>
      </w:r>
    </w:p>
    <w:p w14:paraId="48B250BF" w14:textId="77777777" w:rsidR="002A16B3" w:rsidRDefault="002A16B3" w:rsidP="00562A85"/>
    <w:p w14:paraId="7BD0785D" w14:textId="6CBC9A05" w:rsidR="002A16B3" w:rsidRPr="002A16B3" w:rsidRDefault="002A16B3" w:rsidP="008A3BC4">
      <w:pPr>
        <w:rPr>
          <w:rFonts w:ascii="Calibri" w:hAnsi="Calibri" w:cs="Calibri"/>
          <w:color w:val="000000"/>
          <w:szCs w:val="22"/>
        </w:rPr>
      </w:pPr>
      <w:r w:rsidRPr="002A16B3">
        <w:rPr>
          <w:rFonts w:ascii="Calibri" w:hAnsi="Calibri" w:cs="Calibri"/>
          <w:color w:val="000000"/>
          <w:szCs w:val="22"/>
        </w:rPr>
        <w:t>In</w:t>
      </w:r>
      <w:r>
        <w:rPr>
          <w:rFonts w:ascii="Calibri" w:hAnsi="Calibri" w:cs="Calibri"/>
          <w:color w:val="000000"/>
          <w:szCs w:val="22"/>
        </w:rPr>
        <w:t xml:space="preserve"> reality, </w:t>
      </w:r>
      <w:r w:rsidRPr="002A16B3">
        <w:rPr>
          <w:rFonts w:ascii="Calibri" w:hAnsi="Calibri" w:cs="Calibri"/>
          <w:color w:val="000000"/>
          <w:szCs w:val="22"/>
        </w:rPr>
        <w:t>patients cannot be c</w:t>
      </w:r>
      <w:r>
        <w:rPr>
          <w:rFonts w:ascii="Calibri" w:hAnsi="Calibri" w:cs="Calibri"/>
          <w:color w:val="000000"/>
          <w:szCs w:val="22"/>
        </w:rPr>
        <w:t>onsidered as independent units—</w:t>
      </w:r>
      <w:r w:rsidRPr="002A16B3">
        <w:rPr>
          <w:rFonts w:ascii="Calibri" w:hAnsi="Calibri" w:cs="Calibri"/>
          <w:color w:val="000000"/>
          <w:szCs w:val="22"/>
        </w:rPr>
        <w:t>a particular patient's experience depends on how many other patients are in the system, level of resources they are using, etc. To capture this, we need a</w:t>
      </w:r>
      <w:ins w:id="28" w:author="Fattane Nadimi" w:date="2017-11-06T16:57:00Z">
        <w:r w:rsidR="008A3BC4">
          <w:rPr>
            <w:rFonts w:ascii="Calibri" w:hAnsi="Calibri" w:cs="Calibri"/>
            <w:color w:val="000000"/>
            <w:szCs w:val="22"/>
          </w:rPr>
          <w:t xml:space="preserve"> discrete-event simulation</w:t>
        </w:r>
      </w:ins>
      <w:del w:id="29" w:author="Fattane Nadimi" w:date="2017-11-06T16:58:00Z">
        <w:r w:rsidRPr="002A16B3" w:rsidDel="008A3BC4">
          <w:rPr>
            <w:rFonts w:ascii="Calibri" w:hAnsi="Calibri" w:cs="Calibri"/>
            <w:color w:val="000000"/>
            <w:szCs w:val="22"/>
          </w:rPr>
          <w:delText>s</w:delText>
        </w:r>
      </w:del>
      <w:r w:rsidRPr="002A16B3">
        <w:rPr>
          <w:rFonts w:ascii="Calibri" w:hAnsi="Calibri" w:cs="Calibri"/>
          <w:color w:val="000000"/>
          <w:szCs w:val="22"/>
        </w:rPr>
        <w:t xml:space="preserve"> </w:t>
      </w:r>
      <w:ins w:id="30" w:author="Fattane Nadimi" w:date="2017-11-06T16:58:00Z">
        <w:r w:rsidR="008A3BC4">
          <w:rPr>
            <w:rFonts w:ascii="Calibri" w:hAnsi="Calibri" w:cs="Calibri"/>
            <w:color w:val="000000"/>
            <w:szCs w:val="22"/>
          </w:rPr>
          <w:t>(</w:t>
        </w:r>
      </w:ins>
      <w:r w:rsidRPr="002A16B3">
        <w:rPr>
          <w:rFonts w:ascii="Calibri" w:hAnsi="Calibri" w:cs="Calibri"/>
          <w:color w:val="000000"/>
          <w:szCs w:val="22"/>
        </w:rPr>
        <w:t>DES</w:t>
      </w:r>
      <w:ins w:id="31" w:author="Fattane Nadimi" w:date="2017-11-06T16:58:00Z">
        <w:r w:rsidR="008A3BC4">
          <w:rPr>
            <w:rFonts w:ascii="Calibri" w:hAnsi="Calibri" w:cs="Calibri"/>
            <w:color w:val="000000"/>
            <w:szCs w:val="22"/>
          </w:rPr>
          <w:t>)</w:t>
        </w:r>
      </w:ins>
      <w:r w:rsidRPr="002A16B3">
        <w:rPr>
          <w:rFonts w:ascii="Calibri" w:hAnsi="Calibri" w:cs="Calibri"/>
          <w:color w:val="000000"/>
          <w:szCs w:val="22"/>
        </w:rPr>
        <w:t xml:space="preserve"> model. Estimates from simpler approaches may be inaccurate: they ignore both inherent randomness and the interdependencies between all patients in the system.</w:t>
      </w:r>
    </w:p>
    <w:p w14:paraId="4E0345DB" w14:textId="77777777" w:rsidR="00CA58C5" w:rsidRDefault="00CA58C5" w:rsidP="00CA58C5">
      <w:pPr>
        <w:pStyle w:val="Heading1"/>
      </w:pPr>
      <w:r>
        <w:t>Project Scope</w:t>
      </w:r>
    </w:p>
    <w:p w14:paraId="66589991" w14:textId="16FBA4DA" w:rsidR="00515C3C" w:rsidRDefault="00515C3C" w:rsidP="00ED37C5">
      <w:r>
        <w:t xml:space="preserve">On the demand side of the problem, we will be focusing on patient flow metrics: </w:t>
      </w:r>
      <w:r w:rsidR="00ED37C5">
        <w:t xml:space="preserve">wait times, service times, number of patients waiting, </w:t>
      </w:r>
      <w:r w:rsidR="00A971C6">
        <w:t xml:space="preserve">and </w:t>
      </w:r>
      <w:r w:rsidR="00ED37C5">
        <w:t xml:space="preserve">total number of </w:t>
      </w:r>
      <w:r w:rsidR="00A971C6">
        <w:t xml:space="preserve">patients treated. </w:t>
      </w:r>
    </w:p>
    <w:p w14:paraId="4EF00AA6" w14:textId="77777777" w:rsidR="00A971C6" w:rsidRDefault="00A971C6" w:rsidP="00ED37C5"/>
    <w:p w14:paraId="69D558C5" w14:textId="311D30BB" w:rsidR="00A971C6" w:rsidRDefault="00A971C6" w:rsidP="00ED37C5">
      <w:r>
        <w:t xml:space="preserve">On the supply side, </w:t>
      </w:r>
      <w:r w:rsidR="00D94A88">
        <w:t xml:space="preserve">the variables of interest are the number of funded beds and cut-off times at the respective nursing units. </w:t>
      </w:r>
    </w:p>
    <w:p w14:paraId="422CAEA2" w14:textId="77777777" w:rsidR="00ED37C5" w:rsidRPr="00515C3C" w:rsidRDefault="00ED37C5" w:rsidP="00ED37C5"/>
    <w:p w14:paraId="687A7C82" w14:textId="3468E181" w:rsidR="00CA58C5" w:rsidRDefault="004118F6" w:rsidP="004118F6">
      <w:pPr>
        <w:pStyle w:val="Heading3"/>
      </w:pPr>
      <w:r>
        <w:t>In-scope</w:t>
      </w:r>
    </w:p>
    <w:p w14:paraId="369FEF26" w14:textId="663A0D4A" w:rsidR="004118F6" w:rsidRDefault="004118F6" w:rsidP="004118F6">
      <w:pPr>
        <w:numPr>
          <w:ilvl w:val="0"/>
          <w:numId w:val="1"/>
        </w:numPr>
        <w:ind w:left="540"/>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 xml:space="preserve">Identify a small number of alternative LOS </w:t>
      </w:r>
      <w:commentRangeStart w:id="32"/>
      <w:r w:rsidRPr="00604F59">
        <w:rPr>
          <w:rFonts w:ascii="Calibri" w:eastAsia="Times New Roman" w:hAnsi="Calibri" w:cs="Calibri"/>
          <w:color w:val="000000"/>
          <w:lang w:eastAsia="en-CA"/>
        </w:rPr>
        <w:t xml:space="preserve">cutoff </w:t>
      </w:r>
      <w:commentRangeEnd w:id="32"/>
      <w:r w:rsidRPr="00515C3C">
        <w:rPr>
          <w:rStyle w:val="CommentReference"/>
          <w:sz w:val="24"/>
          <w:szCs w:val="24"/>
        </w:rPr>
        <w:commentReference w:id="32"/>
      </w:r>
      <w:r w:rsidRPr="00604F59">
        <w:rPr>
          <w:rFonts w:ascii="Calibri" w:eastAsia="Times New Roman" w:hAnsi="Calibri" w:cs="Calibri"/>
          <w:color w:val="000000"/>
          <w:lang w:eastAsia="en-CA"/>
        </w:rPr>
        <w:t>periods f</w:t>
      </w:r>
      <w:r w:rsidR="00FD316D">
        <w:rPr>
          <w:rFonts w:ascii="Calibri" w:eastAsia="Times New Roman" w:hAnsi="Calibri" w:cs="Calibri"/>
          <w:color w:val="000000"/>
          <w:lang w:eastAsia="en-CA"/>
        </w:rPr>
        <w:t>or 4E, 6E, 6W, 7E in the new building</w:t>
      </w:r>
      <w:r w:rsidRPr="00604F59">
        <w:rPr>
          <w:rFonts w:ascii="Calibri" w:eastAsia="Times New Roman" w:hAnsi="Calibri" w:cs="Calibri"/>
          <w:color w:val="000000"/>
          <w:lang w:eastAsia="en-CA"/>
        </w:rPr>
        <w:t xml:space="preserve"> along with associated patient flow metrics for each. </w:t>
      </w:r>
    </w:p>
    <w:p w14:paraId="5C1CCC1D" w14:textId="2A06741B" w:rsidR="00FD316D" w:rsidRDefault="00FD316D" w:rsidP="004118F6">
      <w:pPr>
        <w:numPr>
          <w:ilvl w:val="0"/>
          <w:numId w:val="1"/>
        </w:numPr>
        <w:ind w:left="540"/>
        <w:textAlignment w:val="center"/>
        <w:rPr>
          <w:rFonts w:ascii="Calibri" w:eastAsia="Times New Roman" w:hAnsi="Calibri" w:cs="Calibri"/>
          <w:color w:val="000000"/>
          <w:lang w:eastAsia="en-CA"/>
        </w:rPr>
      </w:pPr>
      <w:r>
        <w:rPr>
          <w:rFonts w:ascii="Calibri" w:eastAsia="Times New Roman" w:hAnsi="Calibri" w:cs="Calibri"/>
          <w:color w:val="000000"/>
          <w:lang w:eastAsia="en-CA"/>
        </w:rPr>
        <w:t>2 sources of in-flow: ED admits and direct admits (and IPS for 6E/W)</w:t>
      </w:r>
    </w:p>
    <w:p w14:paraId="00A3E14A" w14:textId="7D64FD95" w:rsidR="00FD316D" w:rsidRPr="00604F59" w:rsidRDefault="00A70240" w:rsidP="004118F6">
      <w:pPr>
        <w:numPr>
          <w:ilvl w:val="0"/>
          <w:numId w:val="1"/>
        </w:numPr>
        <w:ind w:left="540"/>
        <w:textAlignment w:val="center"/>
        <w:rPr>
          <w:rFonts w:ascii="Calibri" w:eastAsia="Times New Roman" w:hAnsi="Calibri" w:cs="Calibri"/>
          <w:color w:val="000000"/>
          <w:lang w:eastAsia="en-CA"/>
        </w:rPr>
      </w:pPr>
      <w:r>
        <w:rPr>
          <w:rFonts w:ascii="Calibri" w:eastAsia="Times New Roman" w:hAnsi="Calibri" w:cs="Calibri"/>
          <w:color w:val="000000"/>
          <w:lang w:eastAsia="en-CA"/>
        </w:rPr>
        <w:t xml:space="preserve">2 possible out-flows: transfer to other units (i.e., not </w:t>
      </w:r>
      <w:r w:rsidRPr="00604F59">
        <w:rPr>
          <w:rFonts w:ascii="Calibri" w:eastAsia="Times New Roman" w:hAnsi="Calibri" w:cs="Calibri"/>
          <w:color w:val="000000"/>
          <w:lang w:eastAsia="en-CA"/>
        </w:rPr>
        <w:t>f</w:t>
      </w:r>
      <w:r>
        <w:rPr>
          <w:rFonts w:ascii="Calibri" w:eastAsia="Times New Roman" w:hAnsi="Calibri" w:cs="Calibri"/>
          <w:color w:val="000000"/>
          <w:lang w:eastAsia="en-CA"/>
        </w:rPr>
        <w:t>or 4E, 6E, 6W, 7E) or discharge from hospital</w:t>
      </w:r>
    </w:p>
    <w:p w14:paraId="30A6641D" w14:textId="68C2569F" w:rsidR="004118F6" w:rsidRPr="00604F59" w:rsidRDefault="004118F6" w:rsidP="004118F6">
      <w:pPr>
        <w:numPr>
          <w:ilvl w:val="0"/>
          <w:numId w:val="1"/>
        </w:numPr>
        <w:ind w:left="540"/>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Description of mode</w:t>
      </w:r>
      <w:r w:rsidR="00FD316D">
        <w:rPr>
          <w:rFonts w:ascii="Calibri" w:eastAsia="Times New Roman" w:hAnsi="Calibri" w:cs="Calibri"/>
          <w:color w:val="000000"/>
          <w:lang w:eastAsia="en-CA"/>
        </w:rPr>
        <w:t>l assumptions, and limitations</w:t>
      </w:r>
    </w:p>
    <w:p w14:paraId="7A5B882B" w14:textId="77777777" w:rsidR="004118F6" w:rsidRPr="00604F59" w:rsidRDefault="004118F6" w:rsidP="004118F6">
      <w:pPr>
        <w:numPr>
          <w:ilvl w:val="0"/>
          <w:numId w:val="1"/>
        </w:numPr>
        <w:ind w:left="540"/>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Summary of input data for the model</w:t>
      </w:r>
    </w:p>
    <w:p w14:paraId="2483DF72" w14:textId="77777777" w:rsidR="004118F6" w:rsidRPr="00515C3C" w:rsidRDefault="004118F6" w:rsidP="004118F6">
      <w:pPr>
        <w:numPr>
          <w:ilvl w:val="0"/>
          <w:numId w:val="1"/>
        </w:numPr>
        <w:ind w:left="540"/>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 xml:space="preserve">DES model used for this evaluation. </w:t>
      </w:r>
    </w:p>
    <w:p w14:paraId="3F91ADD9" w14:textId="77777777" w:rsidR="004118F6" w:rsidRDefault="004118F6" w:rsidP="004118F6">
      <w:pPr>
        <w:ind w:left="180"/>
        <w:textAlignment w:val="center"/>
        <w:rPr>
          <w:rFonts w:ascii="Calibri" w:eastAsia="Times New Roman" w:hAnsi="Calibri" w:cs="Calibri"/>
          <w:color w:val="000000"/>
          <w:sz w:val="22"/>
          <w:szCs w:val="22"/>
          <w:lang w:eastAsia="en-CA"/>
        </w:rPr>
      </w:pPr>
    </w:p>
    <w:p w14:paraId="52C72FA7" w14:textId="3E7C00FF" w:rsidR="004118F6" w:rsidRPr="00604F59" w:rsidRDefault="004118F6" w:rsidP="004118F6">
      <w:pPr>
        <w:pStyle w:val="Heading3"/>
        <w:rPr>
          <w:rFonts w:eastAsia="Times New Roman"/>
          <w:lang w:eastAsia="en-CA"/>
        </w:rPr>
      </w:pPr>
      <w:r>
        <w:rPr>
          <w:rFonts w:eastAsia="Times New Roman"/>
          <w:lang w:eastAsia="en-CA"/>
        </w:rPr>
        <w:t>Out-of-Scope</w:t>
      </w:r>
    </w:p>
    <w:p w14:paraId="721FDBC6" w14:textId="02A4F1A4" w:rsidR="004118F6" w:rsidRDefault="004118F6" w:rsidP="004118F6">
      <w:pPr>
        <w:numPr>
          <w:ilvl w:val="0"/>
          <w:numId w:val="1"/>
        </w:numPr>
        <w:ind w:left="540"/>
        <w:textAlignment w:val="center"/>
        <w:rPr>
          <w:rFonts w:ascii="Calibri" w:eastAsia="Times New Roman" w:hAnsi="Calibri" w:cs="Calibri"/>
          <w:color w:val="000000"/>
          <w:szCs w:val="22"/>
          <w:lang w:eastAsia="en-CA"/>
        </w:rPr>
      </w:pPr>
      <w:r w:rsidRPr="00515C3C">
        <w:rPr>
          <w:rFonts w:ascii="Calibri" w:eastAsia="Times New Roman" w:hAnsi="Calibri" w:cs="Calibri"/>
          <w:color w:val="000000"/>
          <w:szCs w:val="22"/>
          <w:lang w:eastAsia="en-CA"/>
        </w:rPr>
        <w:t>Modelling</w:t>
      </w:r>
      <w:r w:rsidRPr="00604F59">
        <w:rPr>
          <w:rFonts w:ascii="Calibri" w:eastAsia="Times New Roman" w:hAnsi="Calibri" w:cs="Calibri"/>
          <w:color w:val="000000"/>
          <w:szCs w:val="22"/>
          <w:lang w:eastAsia="en-CA"/>
        </w:rPr>
        <w:t xml:space="preserve"> within-ED time</w:t>
      </w:r>
    </w:p>
    <w:p w14:paraId="55B8B3B4" w14:textId="1C85F304" w:rsidR="00FD316D" w:rsidRDefault="00FD316D" w:rsidP="004118F6">
      <w:pPr>
        <w:numPr>
          <w:ilvl w:val="0"/>
          <w:numId w:val="1"/>
        </w:numPr>
        <w:ind w:left="540"/>
        <w:textAlignment w:val="center"/>
        <w:rPr>
          <w:rFonts w:ascii="Calibri" w:eastAsia="Times New Roman" w:hAnsi="Calibri" w:cs="Calibri"/>
          <w:color w:val="000000"/>
          <w:szCs w:val="22"/>
          <w:lang w:eastAsia="en-CA"/>
        </w:rPr>
      </w:pPr>
      <w:commentRangeStart w:id="33"/>
      <w:r>
        <w:rPr>
          <w:rFonts w:ascii="Calibri" w:eastAsia="Times New Roman" w:hAnsi="Calibri" w:cs="Calibri"/>
          <w:color w:val="000000"/>
          <w:szCs w:val="22"/>
          <w:lang w:eastAsia="en-CA"/>
        </w:rPr>
        <w:t>Transfers within 4E, 6E, 6W, and 7E</w:t>
      </w:r>
    </w:p>
    <w:p w14:paraId="29D2F176" w14:textId="02D3B59D"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 xml:space="preserve">Transfers from other nursing units into 4E, 6E, 6W, and 7E </w:t>
      </w:r>
      <w:commentRangeEnd w:id="33"/>
      <w:r w:rsidR="008A3BC4">
        <w:rPr>
          <w:rStyle w:val="CommentReference"/>
        </w:rPr>
        <w:commentReference w:id="33"/>
      </w:r>
    </w:p>
    <w:p w14:paraId="3CD7C285" w14:textId="337D0160" w:rsidR="00ED37C5" w:rsidRPr="00604F59" w:rsidRDefault="00ED37C5"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Including clinical variables into model—includes not limited to: severity of cases (RIW), diagnoses, procedures, CMGs</w:t>
      </w:r>
    </w:p>
    <w:p w14:paraId="5C7FF863" w14:textId="77777777" w:rsidR="004118F6" w:rsidRPr="004118F6" w:rsidRDefault="004118F6" w:rsidP="004118F6"/>
    <w:p w14:paraId="3E077466" w14:textId="77777777" w:rsidR="00CA58C5" w:rsidRDefault="00CA58C5" w:rsidP="00CA58C5">
      <w:pPr>
        <w:pStyle w:val="Heading1"/>
      </w:pPr>
      <w:r>
        <w:t>Project Milestones</w:t>
      </w:r>
    </w:p>
    <w:p w14:paraId="3F09397B" w14:textId="77777777" w:rsidR="00693FBF" w:rsidRPr="00693FBF" w:rsidRDefault="00693FBF" w:rsidP="00693FBF">
      <w:r>
        <w:t xml:space="preserve">There are five milestones for this project: </w:t>
      </w:r>
    </w:p>
    <w:tbl>
      <w:tblPr>
        <w:tblStyle w:val="TableGrid"/>
        <w:tblW w:w="0" w:type="auto"/>
        <w:tblLook w:val="04A0" w:firstRow="1" w:lastRow="0" w:firstColumn="1" w:lastColumn="0" w:noHBand="0" w:noVBand="1"/>
      </w:tblPr>
      <w:tblGrid>
        <w:gridCol w:w="338"/>
        <w:gridCol w:w="6281"/>
        <w:gridCol w:w="2731"/>
      </w:tblGrid>
      <w:tr w:rsidR="00253FB6" w14:paraId="7716BBAD" w14:textId="77777777" w:rsidTr="00253FB6">
        <w:tc>
          <w:tcPr>
            <w:tcW w:w="338" w:type="dxa"/>
          </w:tcPr>
          <w:p w14:paraId="5FEF0803" w14:textId="77777777" w:rsidR="00253FB6" w:rsidRPr="009C5307" w:rsidRDefault="00253FB6" w:rsidP="00446D68">
            <w:pPr>
              <w:rPr>
                <w:b/>
              </w:rPr>
            </w:pPr>
          </w:p>
        </w:tc>
        <w:tc>
          <w:tcPr>
            <w:tcW w:w="6281" w:type="dxa"/>
          </w:tcPr>
          <w:p w14:paraId="70133D3E" w14:textId="77777777" w:rsidR="00253FB6" w:rsidRPr="009C5307" w:rsidRDefault="00253FB6" w:rsidP="00446D68">
            <w:pPr>
              <w:rPr>
                <w:b/>
              </w:rPr>
            </w:pPr>
            <w:r w:rsidRPr="009C5307">
              <w:rPr>
                <w:b/>
              </w:rPr>
              <w:t>Milestone</w:t>
            </w:r>
          </w:p>
        </w:tc>
        <w:tc>
          <w:tcPr>
            <w:tcW w:w="2731" w:type="dxa"/>
          </w:tcPr>
          <w:p w14:paraId="2D2171C7" w14:textId="77777777" w:rsidR="00253FB6" w:rsidRPr="009C5307" w:rsidRDefault="00253FB6" w:rsidP="00693FBF">
            <w:pPr>
              <w:jc w:val="center"/>
              <w:rPr>
                <w:b/>
              </w:rPr>
            </w:pPr>
            <w:r w:rsidRPr="009C5307">
              <w:rPr>
                <w:b/>
              </w:rPr>
              <w:t xml:space="preserve">Target </w:t>
            </w:r>
            <w:r w:rsidR="00693FBF">
              <w:rPr>
                <w:b/>
              </w:rPr>
              <w:t>Finish</w:t>
            </w:r>
            <w:r>
              <w:rPr>
                <w:b/>
              </w:rPr>
              <w:t xml:space="preserve"> </w:t>
            </w:r>
            <w:r w:rsidRPr="009C5307">
              <w:rPr>
                <w:b/>
              </w:rPr>
              <w:t>Date</w:t>
            </w:r>
          </w:p>
        </w:tc>
      </w:tr>
      <w:tr w:rsidR="00253FB6" w14:paraId="44FABC00" w14:textId="77777777" w:rsidTr="00253FB6">
        <w:tc>
          <w:tcPr>
            <w:tcW w:w="338" w:type="dxa"/>
          </w:tcPr>
          <w:p w14:paraId="3E2ADAA0" w14:textId="77777777" w:rsidR="00253FB6" w:rsidRDefault="00253FB6" w:rsidP="00446D68">
            <w:r>
              <w:t>1</w:t>
            </w:r>
          </w:p>
        </w:tc>
        <w:tc>
          <w:tcPr>
            <w:tcW w:w="6281" w:type="dxa"/>
          </w:tcPr>
          <w:p w14:paraId="0D1212DB" w14:textId="77777777" w:rsidR="00253FB6" w:rsidRDefault="00253FB6" w:rsidP="009C5307">
            <w:r>
              <w:t xml:space="preserve">Provisional estimate for length of stay cutoff at 4E </w:t>
            </w:r>
          </w:p>
        </w:tc>
        <w:tc>
          <w:tcPr>
            <w:tcW w:w="2731" w:type="dxa"/>
          </w:tcPr>
          <w:p w14:paraId="096A1029" w14:textId="77777777" w:rsidR="00253FB6" w:rsidRDefault="00253FB6" w:rsidP="002D2E11">
            <w:pPr>
              <w:jc w:val="center"/>
            </w:pPr>
            <w:r>
              <w:t>November 10, 2017</w:t>
            </w:r>
          </w:p>
        </w:tc>
      </w:tr>
      <w:tr w:rsidR="00253FB6" w14:paraId="36B267EF" w14:textId="77777777" w:rsidTr="00253FB6">
        <w:tc>
          <w:tcPr>
            <w:tcW w:w="338" w:type="dxa"/>
          </w:tcPr>
          <w:p w14:paraId="620B344C" w14:textId="77777777" w:rsidR="00253FB6" w:rsidRDefault="00253FB6" w:rsidP="00446D68">
            <w:r>
              <w:t>2</w:t>
            </w:r>
          </w:p>
        </w:tc>
        <w:tc>
          <w:tcPr>
            <w:tcW w:w="6281" w:type="dxa"/>
          </w:tcPr>
          <w:p w14:paraId="62E241D1" w14:textId="77777777" w:rsidR="00253FB6" w:rsidRDefault="00253FB6" w:rsidP="009C5307">
            <w:r>
              <w:t>Processing and validation of input data</w:t>
            </w:r>
          </w:p>
        </w:tc>
        <w:tc>
          <w:tcPr>
            <w:tcW w:w="2731" w:type="dxa"/>
          </w:tcPr>
          <w:p w14:paraId="1D03D295" w14:textId="77777777" w:rsidR="00253FB6" w:rsidRDefault="00253FB6" w:rsidP="002D2E11">
            <w:pPr>
              <w:jc w:val="center"/>
            </w:pPr>
            <w:r>
              <w:t>November 17, 2017</w:t>
            </w:r>
          </w:p>
        </w:tc>
      </w:tr>
      <w:tr w:rsidR="00253FB6" w14:paraId="46DBDF12" w14:textId="77777777" w:rsidTr="00253FB6">
        <w:tc>
          <w:tcPr>
            <w:tcW w:w="338" w:type="dxa"/>
          </w:tcPr>
          <w:p w14:paraId="754A1270" w14:textId="77777777" w:rsidR="00253FB6" w:rsidRDefault="00253FB6" w:rsidP="00446D68">
            <w:r>
              <w:t>3</w:t>
            </w:r>
          </w:p>
        </w:tc>
        <w:tc>
          <w:tcPr>
            <w:tcW w:w="6281" w:type="dxa"/>
          </w:tcPr>
          <w:p w14:paraId="35B251FE" w14:textId="77777777" w:rsidR="00253FB6" w:rsidRDefault="00253FB6" w:rsidP="009C5307">
            <w:r>
              <w:t>Initial model with all flow assumptions</w:t>
            </w:r>
          </w:p>
        </w:tc>
        <w:tc>
          <w:tcPr>
            <w:tcW w:w="2731" w:type="dxa"/>
          </w:tcPr>
          <w:p w14:paraId="15004821" w14:textId="77777777" w:rsidR="00253FB6" w:rsidRDefault="00253FB6" w:rsidP="002D2E11">
            <w:pPr>
              <w:jc w:val="center"/>
            </w:pPr>
            <w:r>
              <w:t>December 1, 2017</w:t>
            </w:r>
          </w:p>
        </w:tc>
      </w:tr>
      <w:tr w:rsidR="00253FB6" w14:paraId="1177A191" w14:textId="77777777" w:rsidTr="002D2E11">
        <w:trPr>
          <w:trHeight w:val="269"/>
        </w:trPr>
        <w:tc>
          <w:tcPr>
            <w:tcW w:w="338" w:type="dxa"/>
          </w:tcPr>
          <w:p w14:paraId="7C09A182" w14:textId="77777777" w:rsidR="00253FB6" w:rsidRDefault="00253FB6" w:rsidP="00446D68">
            <w:r>
              <w:t>4</w:t>
            </w:r>
          </w:p>
        </w:tc>
        <w:tc>
          <w:tcPr>
            <w:tcW w:w="6281" w:type="dxa"/>
          </w:tcPr>
          <w:p w14:paraId="1885EE9E" w14:textId="77777777" w:rsidR="00253FB6" w:rsidRDefault="00253FB6" w:rsidP="00446D68">
            <w:r>
              <w:t>Model validation, scenario testing</w:t>
            </w:r>
          </w:p>
        </w:tc>
        <w:tc>
          <w:tcPr>
            <w:tcW w:w="2731" w:type="dxa"/>
          </w:tcPr>
          <w:p w14:paraId="651FD693" w14:textId="77777777" w:rsidR="00253FB6" w:rsidRDefault="00253FB6" w:rsidP="002D2E11">
            <w:pPr>
              <w:jc w:val="center"/>
            </w:pPr>
            <w:r>
              <w:t>December 15, 2017</w:t>
            </w:r>
          </w:p>
        </w:tc>
      </w:tr>
      <w:tr w:rsidR="00253FB6" w14:paraId="284956C1" w14:textId="77777777" w:rsidTr="00253FB6">
        <w:trPr>
          <w:trHeight w:val="269"/>
        </w:trPr>
        <w:tc>
          <w:tcPr>
            <w:tcW w:w="338" w:type="dxa"/>
          </w:tcPr>
          <w:p w14:paraId="357DFB30" w14:textId="77777777" w:rsidR="00253FB6" w:rsidRDefault="00253FB6" w:rsidP="00446D68">
            <w:r>
              <w:lastRenderedPageBreak/>
              <w:t>5</w:t>
            </w:r>
          </w:p>
        </w:tc>
        <w:tc>
          <w:tcPr>
            <w:tcW w:w="6281" w:type="dxa"/>
          </w:tcPr>
          <w:p w14:paraId="3D1A2D2A" w14:textId="77777777" w:rsidR="00253FB6" w:rsidRDefault="00253FB6" w:rsidP="00446D68">
            <w:r>
              <w:t>Final project delivery</w:t>
            </w:r>
          </w:p>
        </w:tc>
        <w:tc>
          <w:tcPr>
            <w:tcW w:w="2731" w:type="dxa"/>
          </w:tcPr>
          <w:p w14:paraId="30437E19" w14:textId="77777777" w:rsidR="00253FB6" w:rsidRDefault="00253FB6" w:rsidP="002D2E11">
            <w:pPr>
              <w:jc w:val="center"/>
            </w:pPr>
            <w:r>
              <w:t>December 22, 2017</w:t>
            </w:r>
          </w:p>
        </w:tc>
      </w:tr>
    </w:tbl>
    <w:p w14:paraId="2F0B20F4" w14:textId="77777777" w:rsidR="004118F6" w:rsidRDefault="004118F6" w:rsidP="004118F6"/>
    <w:p w14:paraId="56CA501B" w14:textId="77777777" w:rsidR="00CA58C5" w:rsidRDefault="00CA58C5" w:rsidP="00CA58C5">
      <w:pPr>
        <w:pStyle w:val="Heading1"/>
      </w:pPr>
      <w:r>
        <w:t>Risks</w:t>
      </w:r>
    </w:p>
    <w:p w14:paraId="2A700E27" w14:textId="77777777" w:rsidR="00FA0C9B" w:rsidRPr="00EC4E3E" w:rsidRDefault="00EC4E3E" w:rsidP="00EC4E3E">
      <w:r>
        <w:t>Below identifies project risks, likelihood and impact of happening, and trigger point to mitigation strategy.</w:t>
      </w:r>
    </w:p>
    <w:tbl>
      <w:tblPr>
        <w:tblStyle w:val="TableGrid"/>
        <w:tblW w:w="0" w:type="auto"/>
        <w:tblLook w:val="04A0" w:firstRow="1" w:lastRow="0" w:firstColumn="1" w:lastColumn="0" w:noHBand="0" w:noVBand="1"/>
      </w:tblPr>
      <w:tblGrid>
        <w:gridCol w:w="3085"/>
        <w:gridCol w:w="1276"/>
        <w:gridCol w:w="1249"/>
        <w:gridCol w:w="1870"/>
        <w:gridCol w:w="1870"/>
      </w:tblGrid>
      <w:tr w:rsidR="009C5307" w14:paraId="671857F6" w14:textId="77777777" w:rsidTr="00733D5C">
        <w:tc>
          <w:tcPr>
            <w:tcW w:w="3085" w:type="dxa"/>
          </w:tcPr>
          <w:p w14:paraId="27DBA8B0" w14:textId="77777777" w:rsidR="009C5307" w:rsidRPr="009C5307" w:rsidRDefault="009C5307" w:rsidP="00CA58C5">
            <w:pPr>
              <w:rPr>
                <w:b/>
              </w:rPr>
            </w:pPr>
            <w:r>
              <w:rPr>
                <w:b/>
              </w:rPr>
              <w:t>Risk Description</w:t>
            </w:r>
          </w:p>
        </w:tc>
        <w:tc>
          <w:tcPr>
            <w:tcW w:w="1276" w:type="dxa"/>
          </w:tcPr>
          <w:p w14:paraId="30E33C75" w14:textId="77777777" w:rsidR="009C5307" w:rsidRPr="009C5307" w:rsidRDefault="009C5307" w:rsidP="00733D5C">
            <w:pPr>
              <w:jc w:val="center"/>
              <w:rPr>
                <w:b/>
              </w:rPr>
            </w:pPr>
            <w:r>
              <w:rPr>
                <w:b/>
              </w:rPr>
              <w:t>Likelihood</w:t>
            </w:r>
          </w:p>
        </w:tc>
        <w:tc>
          <w:tcPr>
            <w:tcW w:w="1249" w:type="dxa"/>
          </w:tcPr>
          <w:p w14:paraId="18932A26" w14:textId="77777777" w:rsidR="009C5307" w:rsidRPr="009C5307" w:rsidRDefault="009C5307" w:rsidP="00733D5C">
            <w:pPr>
              <w:jc w:val="center"/>
              <w:rPr>
                <w:b/>
              </w:rPr>
            </w:pPr>
            <w:r>
              <w:rPr>
                <w:b/>
              </w:rPr>
              <w:t>Impact</w:t>
            </w:r>
          </w:p>
        </w:tc>
        <w:tc>
          <w:tcPr>
            <w:tcW w:w="1870" w:type="dxa"/>
          </w:tcPr>
          <w:p w14:paraId="60C4BEE2" w14:textId="77777777" w:rsidR="009C5307" w:rsidRPr="009C5307" w:rsidRDefault="009C5307" w:rsidP="00CA58C5">
            <w:pPr>
              <w:rPr>
                <w:b/>
              </w:rPr>
            </w:pPr>
            <w:r>
              <w:rPr>
                <w:b/>
              </w:rPr>
              <w:t>Trigger Point</w:t>
            </w:r>
          </w:p>
        </w:tc>
        <w:tc>
          <w:tcPr>
            <w:tcW w:w="1870" w:type="dxa"/>
          </w:tcPr>
          <w:p w14:paraId="76DBBE16" w14:textId="77777777" w:rsidR="009C5307" w:rsidRPr="009C5307" w:rsidRDefault="009C5307" w:rsidP="00CA58C5">
            <w:pPr>
              <w:rPr>
                <w:b/>
              </w:rPr>
            </w:pPr>
            <w:r>
              <w:rPr>
                <w:b/>
              </w:rPr>
              <w:t>Mitigation</w:t>
            </w:r>
          </w:p>
        </w:tc>
      </w:tr>
      <w:tr w:rsidR="009C5307" w14:paraId="11337B06" w14:textId="77777777" w:rsidTr="00733D5C">
        <w:tc>
          <w:tcPr>
            <w:tcW w:w="3085" w:type="dxa"/>
          </w:tcPr>
          <w:p w14:paraId="2BF36FE1" w14:textId="77777777" w:rsidR="009C5307" w:rsidRDefault="00733D5C" w:rsidP="00CA58C5">
            <w:r>
              <w:t>Timeline – not meeting the project deadline</w:t>
            </w:r>
          </w:p>
        </w:tc>
        <w:tc>
          <w:tcPr>
            <w:tcW w:w="1276" w:type="dxa"/>
          </w:tcPr>
          <w:p w14:paraId="3517D9B7" w14:textId="77777777" w:rsidR="009C5307" w:rsidRDefault="000A11B8" w:rsidP="00733D5C">
            <w:pPr>
              <w:jc w:val="center"/>
            </w:pPr>
            <w:r>
              <w:t>Possible</w:t>
            </w:r>
          </w:p>
        </w:tc>
        <w:tc>
          <w:tcPr>
            <w:tcW w:w="1249" w:type="dxa"/>
          </w:tcPr>
          <w:p w14:paraId="6F080630" w14:textId="77777777" w:rsidR="009C5307" w:rsidRDefault="00FA0C9B" w:rsidP="00733D5C">
            <w:pPr>
              <w:jc w:val="center"/>
            </w:pPr>
            <w:r>
              <w:t>Medium</w:t>
            </w:r>
          </w:p>
        </w:tc>
        <w:tc>
          <w:tcPr>
            <w:tcW w:w="1870" w:type="dxa"/>
          </w:tcPr>
          <w:p w14:paraId="21E24EEF" w14:textId="77777777" w:rsidR="009C5307" w:rsidRDefault="00EC4E3E" w:rsidP="00EC4E3E">
            <w:r>
              <w:t>When a milestone deadline has been missed</w:t>
            </w:r>
          </w:p>
        </w:tc>
        <w:tc>
          <w:tcPr>
            <w:tcW w:w="1870" w:type="dxa"/>
          </w:tcPr>
          <w:p w14:paraId="01FAE518" w14:textId="707C6AC5" w:rsidR="009C5307" w:rsidRDefault="00EC4E3E" w:rsidP="00EC4E3E">
            <w:r>
              <w:t xml:space="preserve">Reprioritize </w:t>
            </w:r>
            <w:r w:rsidR="00D17493">
              <w:t>and/</w:t>
            </w:r>
            <w:r>
              <w:t xml:space="preserve">or offload workload </w:t>
            </w:r>
          </w:p>
        </w:tc>
      </w:tr>
      <w:tr w:rsidR="009C5307" w14:paraId="1761B423" w14:textId="77777777" w:rsidTr="00733D5C">
        <w:tc>
          <w:tcPr>
            <w:tcW w:w="3085" w:type="dxa"/>
          </w:tcPr>
          <w:p w14:paraId="7F035C96" w14:textId="77777777" w:rsidR="009C5307" w:rsidRDefault="00733D5C" w:rsidP="00733D5C">
            <w:r>
              <w:t>Data accuracy – ED and ADTC data are subject to change with verification processes happening</w:t>
            </w:r>
          </w:p>
        </w:tc>
        <w:tc>
          <w:tcPr>
            <w:tcW w:w="1276" w:type="dxa"/>
          </w:tcPr>
          <w:p w14:paraId="3F03DB4E" w14:textId="77777777" w:rsidR="009C5307" w:rsidRDefault="000A11B8" w:rsidP="00733D5C">
            <w:pPr>
              <w:jc w:val="center"/>
            </w:pPr>
            <w:r>
              <w:t>Probable</w:t>
            </w:r>
          </w:p>
        </w:tc>
        <w:tc>
          <w:tcPr>
            <w:tcW w:w="1249" w:type="dxa"/>
          </w:tcPr>
          <w:p w14:paraId="12012012" w14:textId="77777777" w:rsidR="009C5307" w:rsidRDefault="00FA0C9B" w:rsidP="00733D5C">
            <w:pPr>
              <w:jc w:val="center"/>
            </w:pPr>
            <w:r>
              <w:t>Medium</w:t>
            </w:r>
          </w:p>
        </w:tc>
        <w:tc>
          <w:tcPr>
            <w:tcW w:w="1870" w:type="dxa"/>
          </w:tcPr>
          <w:p w14:paraId="5038191F" w14:textId="77777777" w:rsidR="009C5307" w:rsidRDefault="00EC4E3E" w:rsidP="00EC4E3E">
            <w:r>
              <w:t>N/A – known issue with current business processes</w:t>
            </w:r>
          </w:p>
        </w:tc>
        <w:tc>
          <w:tcPr>
            <w:tcW w:w="1870" w:type="dxa"/>
          </w:tcPr>
          <w:p w14:paraId="13289826" w14:textId="77777777" w:rsidR="009C5307" w:rsidRDefault="00EC4E3E" w:rsidP="00EC4E3E">
            <w:r>
              <w:t>Using data that is at least one period old</w:t>
            </w:r>
          </w:p>
        </w:tc>
      </w:tr>
      <w:tr w:rsidR="007153B9" w14:paraId="7E46D375" w14:textId="77777777" w:rsidTr="00733D5C">
        <w:tc>
          <w:tcPr>
            <w:tcW w:w="3085" w:type="dxa"/>
          </w:tcPr>
          <w:p w14:paraId="1A485D63" w14:textId="77777777" w:rsidR="007153B9" w:rsidRDefault="007153B9" w:rsidP="007153B9">
            <w:r>
              <w:t>Human resources – competing priorities and any absences will remove project members from working on the project</w:t>
            </w:r>
          </w:p>
        </w:tc>
        <w:tc>
          <w:tcPr>
            <w:tcW w:w="1276" w:type="dxa"/>
          </w:tcPr>
          <w:p w14:paraId="65335B0E" w14:textId="77777777" w:rsidR="007153B9" w:rsidRDefault="007153B9" w:rsidP="007153B9">
            <w:pPr>
              <w:jc w:val="center"/>
            </w:pPr>
            <w:r>
              <w:t>Possible</w:t>
            </w:r>
          </w:p>
        </w:tc>
        <w:tc>
          <w:tcPr>
            <w:tcW w:w="1249" w:type="dxa"/>
          </w:tcPr>
          <w:p w14:paraId="7E391BD9" w14:textId="77777777" w:rsidR="007153B9" w:rsidRDefault="007153B9" w:rsidP="007153B9">
            <w:pPr>
              <w:jc w:val="center"/>
            </w:pPr>
            <w:r>
              <w:t>High</w:t>
            </w:r>
          </w:p>
        </w:tc>
        <w:tc>
          <w:tcPr>
            <w:tcW w:w="1870" w:type="dxa"/>
          </w:tcPr>
          <w:p w14:paraId="6FEE4605" w14:textId="7E5A5AA6" w:rsidR="007153B9" w:rsidRDefault="007153B9" w:rsidP="007153B9">
            <w:r>
              <w:t>When a milestone deadline has been missed</w:t>
            </w:r>
          </w:p>
        </w:tc>
        <w:tc>
          <w:tcPr>
            <w:tcW w:w="1870" w:type="dxa"/>
          </w:tcPr>
          <w:p w14:paraId="23012721" w14:textId="704103DA" w:rsidR="007153B9" w:rsidRDefault="00D17493" w:rsidP="007153B9">
            <w:r>
              <w:t xml:space="preserve">Reprioritize, offload workload, and/or </w:t>
            </w:r>
            <w:r w:rsidR="007153B9">
              <w:t>pull additional resources</w:t>
            </w:r>
          </w:p>
        </w:tc>
      </w:tr>
      <w:tr w:rsidR="007153B9" w14:paraId="77BD18FC" w14:textId="77777777" w:rsidTr="00733D5C">
        <w:tc>
          <w:tcPr>
            <w:tcW w:w="3085" w:type="dxa"/>
          </w:tcPr>
          <w:p w14:paraId="7E2B31BA" w14:textId="77777777" w:rsidR="007153B9" w:rsidRDefault="007153B9" w:rsidP="007153B9">
            <w:r>
              <w:t xml:space="preserve">Scope change </w:t>
            </w:r>
          </w:p>
        </w:tc>
        <w:tc>
          <w:tcPr>
            <w:tcW w:w="1276" w:type="dxa"/>
          </w:tcPr>
          <w:p w14:paraId="5A1FA115" w14:textId="77777777" w:rsidR="007153B9" w:rsidRDefault="007153B9" w:rsidP="007153B9">
            <w:pPr>
              <w:jc w:val="center"/>
            </w:pPr>
            <w:r>
              <w:t>Possible</w:t>
            </w:r>
          </w:p>
        </w:tc>
        <w:tc>
          <w:tcPr>
            <w:tcW w:w="1249" w:type="dxa"/>
          </w:tcPr>
          <w:p w14:paraId="0A738DDB" w14:textId="77777777" w:rsidR="007153B9" w:rsidRDefault="007153B9" w:rsidP="007153B9">
            <w:pPr>
              <w:jc w:val="center"/>
            </w:pPr>
            <w:r>
              <w:t>High</w:t>
            </w:r>
          </w:p>
        </w:tc>
        <w:tc>
          <w:tcPr>
            <w:tcW w:w="1870" w:type="dxa"/>
          </w:tcPr>
          <w:p w14:paraId="0E15BB44" w14:textId="77777777" w:rsidR="007153B9" w:rsidRDefault="007153B9" w:rsidP="007153B9">
            <w:r>
              <w:t>When deliverables do not align with the established scope in this document</w:t>
            </w:r>
          </w:p>
        </w:tc>
        <w:tc>
          <w:tcPr>
            <w:tcW w:w="1870" w:type="dxa"/>
          </w:tcPr>
          <w:p w14:paraId="72BDD5B9" w14:textId="77777777" w:rsidR="007153B9" w:rsidRDefault="007153B9" w:rsidP="007153B9">
            <w:r>
              <w:t>Review the ask and recommend to add as after the completion of this project as needed</w:t>
            </w:r>
          </w:p>
        </w:tc>
      </w:tr>
    </w:tbl>
    <w:p w14:paraId="2C746246" w14:textId="77777777" w:rsidR="00FA0C9B" w:rsidRDefault="00FA0C9B" w:rsidP="00FA0C9B">
      <w:pPr>
        <w:pStyle w:val="Heading2"/>
        <w:rPr>
          <w:rFonts w:asciiTheme="minorHAnsi" w:eastAsiaTheme="minorHAnsi" w:hAnsiTheme="minorHAnsi" w:cstheme="minorBidi"/>
          <w:color w:val="auto"/>
          <w:sz w:val="24"/>
          <w:szCs w:val="24"/>
        </w:rPr>
      </w:pPr>
    </w:p>
    <w:p w14:paraId="07EAF279" w14:textId="77777777" w:rsidR="00FA0C9B" w:rsidRPr="00FA0C9B" w:rsidRDefault="00FA0C9B" w:rsidP="000A11B8">
      <w:pPr>
        <w:pStyle w:val="Heading3"/>
      </w:pPr>
      <w:r>
        <w:t>Likelihood definition</w:t>
      </w:r>
    </w:p>
    <w:tbl>
      <w:tblPr>
        <w:tblStyle w:val="TableGrid"/>
        <w:tblW w:w="0" w:type="auto"/>
        <w:tblLook w:val="04A0" w:firstRow="1" w:lastRow="0" w:firstColumn="1" w:lastColumn="0" w:noHBand="0" w:noVBand="1"/>
      </w:tblPr>
      <w:tblGrid>
        <w:gridCol w:w="1384"/>
        <w:gridCol w:w="8192"/>
      </w:tblGrid>
      <w:tr w:rsidR="00FA0C9B" w14:paraId="56E5DD31" w14:textId="77777777" w:rsidTr="00FA0C9B">
        <w:tc>
          <w:tcPr>
            <w:tcW w:w="1384" w:type="dxa"/>
          </w:tcPr>
          <w:p w14:paraId="5B64B3AB" w14:textId="77777777" w:rsidR="00FA0C9B" w:rsidRPr="00E31B50" w:rsidRDefault="00E31B50" w:rsidP="00CA58C5">
            <w:pPr>
              <w:rPr>
                <w:b/>
              </w:rPr>
            </w:pPr>
            <w:r w:rsidRPr="00E31B50">
              <w:rPr>
                <w:b/>
              </w:rPr>
              <w:t>Category</w:t>
            </w:r>
          </w:p>
        </w:tc>
        <w:tc>
          <w:tcPr>
            <w:tcW w:w="8192" w:type="dxa"/>
          </w:tcPr>
          <w:p w14:paraId="414D8B4D" w14:textId="77777777" w:rsidR="00FA0C9B" w:rsidRPr="00E31B50" w:rsidRDefault="00FA0C9B" w:rsidP="00CA58C5">
            <w:pPr>
              <w:rPr>
                <w:b/>
              </w:rPr>
            </w:pPr>
            <w:r w:rsidRPr="00E31B50">
              <w:rPr>
                <w:b/>
              </w:rPr>
              <w:t>Description</w:t>
            </w:r>
          </w:p>
        </w:tc>
      </w:tr>
      <w:tr w:rsidR="00FA0C9B" w14:paraId="5BF1AA74" w14:textId="77777777" w:rsidTr="00FA0C9B">
        <w:tc>
          <w:tcPr>
            <w:tcW w:w="1384" w:type="dxa"/>
          </w:tcPr>
          <w:p w14:paraId="4B6380EF" w14:textId="77777777" w:rsidR="00FA0C9B" w:rsidRDefault="000A11B8" w:rsidP="00CA58C5">
            <w:r>
              <w:t>Probable</w:t>
            </w:r>
          </w:p>
        </w:tc>
        <w:tc>
          <w:tcPr>
            <w:tcW w:w="8192" w:type="dxa"/>
          </w:tcPr>
          <w:p w14:paraId="43562C63" w14:textId="77777777" w:rsidR="00FA0C9B" w:rsidRDefault="000A11B8" w:rsidP="000A11B8">
            <w:r>
              <w:t xml:space="preserve">Strong chance of occurring (i.e., </w:t>
            </w:r>
            <w:r>
              <w:rPr>
                <w:rFonts w:cstheme="minorHAnsi"/>
              </w:rPr>
              <w:t>≥</w:t>
            </w:r>
            <w:r>
              <w:t>90%)</w:t>
            </w:r>
          </w:p>
        </w:tc>
      </w:tr>
      <w:tr w:rsidR="00FA0C9B" w14:paraId="778AE2F9" w14:textId="77777777" w:rsidTr="00FA0C9B">
        <w:tc>
          <w:tcPr>
            <w:tcW w:w="1384" w:type="dxa"/>
          </w:tcPr>
          <w:p w14:paraId="612511D5" w14:textId="77777777" w:rsidR="00FA0C9B" w:rsidRDefault="000A11B8" w:rsidP="00CA58C5">
            <w:r>
              <w:t>Possible</w:t>
            </w:r>
          </w:p>
        </w:tc>
        <w:tc>
          <w:tcPr>
            <w:tcW w:w="8192" w:type="dxa"/>
          </w:tcPr>
          <w:p w14:paraId="662A1595" w14:textId="77777777" w:rsidR="00FA0C9B" w:rsidRDefault="000A11B8" w:rsidP="000A11B8">
            <w:r>
              <w:t xml:space="preserve">Reasonable chance of occurring (i.e., </w:t>
            </w:r>
            <w:r>
              <w:rPr>
                <w:rFonts w:cstheme="minorHAnsi"/>
              </w:rPr>
              <w:t>≥</w:t>
            </w:r>
            <w:r>
              <w:t>50% and &lt;90%)</w:t>
            </w:r>
          </w:p>
        </w:tc>
      </w:tr>
      <w:tr w:rsidR="00FA0C9B" w14:paraId="44978C74" w14:textId="77777777" w:rsidTr="00FA0C9B">
        <w:tc>
          <w:tcPr>
            <w:tcW w:w="1384" w:type="dxa"/>
          </w:tcPr>
          <w:p w14:paraId="26324F3D" w14:textId="77777777" w:rsidR="00FA0C9B" w:rsidRDefault="000A11B8" w:rsidP="00CA58C5">
            <w:r>
              <w:t>Unlikely</w:t>
            </w:r>
          </w:p>
        </w:tc>
        <w:tc>
          <w:tcPr>
            <w:tcW w:w="8192" w:type="dxa"/>
          </w:tcPr>
          <w:p w14:paraId="73169679" w14:textId="77777777" w:rsidR="00FA0C9B" w:rsidRDefault="000A11B8" w:rsidP="000A11B8">
            <w:r>
              <w:t xml:space="preserve">Unlikely chance of occurring chance of occurring (i.e., </w:t>
            </w:r>
            <w:r w:rsidR="00A25895">
              <w:rPr>
                <w:rFonts w:cstheme="minorHAnsi"/>
              </w:rPr>
              <w:t>≥</w:t>
            </w:r>
            <w:r w:rsidR="00A25895">
              <w:t>10% and &lt;50%</w:t>
            </w:r>
            <w:r>
              <w:t>)</w:t>
            </w:r>
          </w:p>
        </w:tc>
      </w:tr>
      <w:tr w:rsidR="000A11B8" w14:paraId="2CA7FF13" w14:textId="77777777" w:rsidTr="00FA0C9B">
        <w:tc>
          <w:tcPr>
            <w:tcW w:w="1384" w:type="dxa"/>
          </w:tcPr>
          <w:p w14:paraId="04F41895" w14:textId="77777777" w:rsidR="000A11B8" w:rsidRDefault="000A11B8" w:rsidP="00CA58C5">
            <w:r>
              <w:t>Rare</w:t>
            </w:r>
          </w:p>
        </w:tc>
        <w:tc>
          <w:tcPr>
            <w:tcW w:w="8192" w:type="dxa"/>
          </w:tcPr>
          <w:p w14:paraId="235FC8D3" w14:textId="77777777" w:rsidR="000A11B8" w:rsidRDefault="000A11B8" w:rsidP="00A25895">
            <w:r>
              <w:t>Will occur in rare circumstances (</w:t>
            </w:r>
            <w:r w:rsidR="00A25895">
              <w:t>i.e., &lt;10%</w:t>
            </w:r>
            <w:r>
              <w:t xml:space="preserve">) </w:t>
            </w:r>
          </w:p>
        </w:tc>
      </w:tr>
    </w:tbl>
    <w:p w14:paraId="43F14D20" w14:textId="77777777" w:rsidR="00FA0C9B" w:rsidRDefault="00FA0C9B" w:rsidP="00CA58C5"/>
    <w:p w14:paraId="1B289A92" w14:textId="77777777" w:rsidR="00FA0C9B" w:rsidRDefault="00FA0C9B" w:rsidP="000A11B8">
      <w:pPr>
        <w:pStyle w:val="Heading3"/>
      </w:pPr>
      <w:r>
        <w:t>Impact definition</w:t>
      </w:r>
    </w:p>
    <w:tbl>
      <w:tblPr>
        <w:tblStyle w:val="TableGrid"/>
        <w:tblW w:w="0" w:type="auto"/>
        <w:tblLook w:val="04A0" w:firstRow="1" w:lastRow="0" w:firstColumn="1" w:lastColumn="0" w:noHBand="0" w:noVBand="1"/>
      </w:tblPr>
      <w:tblGrid>
        <w:gridCol w:w="1384"/>
        <w:gridCol w:w="8192"/>
      </w:tblGrid>
      <w:tr w:rsidR="00FA0C9B" w14:paraId="1E5A0175" w14:textId="77777777" w:rsidTr="00FA0C9B">
        <w:tc>
          <w:tcPr>
            <w:tcW w:w="1384" w:type="dxa"/>
          </w:tcPr>
          <w:p w14:paraId="7FBE93A0" w14:textId="77777777" w:rsidR="00FA0C9B" w:rsidRPr="00E31B50" w:rsidRDefault="00580258" w:rsidP="00CA58C5">
            <w:pPr>
              <w:rPr>
                <w:b/>
              </w:rPr>
            </w:pPr>
            <w:r>
              <w:rPr>
                <w:b/>
              </w:rPr>
              <w:t>Degree</w:t>
            </w:r>
          </w:p>
        </w:tc>
        <w:tc>
          <w:tcPr>
            <w:tcW w:w="8192" w:type="dxa"/>
          </w:tcPr>
          <w:p w14:paraId="4D3250FE" w14:textId="77777777" w:rsidR="00FA0C9B" w:rsidRPr="00E31B50" w:rsidRDefault="00E31B50" w:rsidP="00CA58C5">
            <w:pPr>
              <w:rPr>
                <w:b/>
              </w:rPr>
            </w:pPr>
            <w:r>
              <w:rPr>
                <w:b/>
              </w:rPr>
              <w:t>Description</w:t>
            </w:r>
          </w:p>
        </w:tc>
      </w:tr>
      <w:tr w:rsidR="00FA0C9B" w14:paraId="7E737A1C" w14:textId="77777777" w:rsidTr="00FA0C9B">
        <w:tc>
          <w:tcPr>
            <w:tcW w:w="1384" w:type="dxa"/>
          </w:tcPr>
          <w:p w14:paraId="7DF6AF88" w14:textId="77777777" w:rsidR="00FA0C9B" w:rsidRDefault="00FA0C9B" w:rsidP="00CA58C5">
            <w:r>
              <w:t>High</w:t>
            </w:r>
          </w:p>
        </w:tc>
        <w:tc>
          <w:tcPr>
            <w:tcW w:w="8192" w:type="dxa"/>
          </w:tcPr>
          <w:p w14:paraId="7BB8DFED" w14:textId="77777777" w:rsidR="00FA0C9B" w:rsidRPr="006865FB" w:rsidRDefault="00580258" w:rsidP="004B09DF">
            <w:pPr>
              <w:rPr>
                <w:highlight w:val="yellow"/>
              </w:rPr>
            </w:pPr>
            <w:r w:rsidRPr="006865FB">
              <w:rPr>
                <w:highlight w:val="yellow"/>
              </w:rPr>
              <w:t xml:space="preserve">Impacts </w:t>
            </w:r>
            <w:r w:rsidR="004B09DF">
              <w:rPr>
                <w:highlight w:val="yellow"/>
              </w:rPr>
              <w:t>the timeliness and/or quality of</w:t>
            </w:r>
            <w:r w:rsidR="006865FB" w:rsidRPr="006865FB">
              <w:rPr>
                <w:highlight w:val="yellow"/>
              </w:rPr>
              <w:t xml:space="preserve"> </w:t>
            </w:r>
            <w:r w:rsidR="004B09DF">
              <w:rPr>
                <w:highlight w:val="yellow"/>
              </w:rPr>
              <w:t xml:space="preserve">decision making for patient flow reasons </w:t>
            </w:r>
            <w:r w:rsidRPr="006865FB">
              <w:rPr>
                <w:highlight w:val="yellow"/>
              </w:rPr>
              <w:t xml:space="preserve"> </w:t>
            </w:r>
          </w:p>
        </w:tc>
      </w:tr>
      <w:tr w:rsidR="00FA0C9B" w14:paraId="5A6C2E2D" w14:textId="77777777" w:rsidTr="00FA0C9B">
        <w:tc>
          <w:tcPr>
            <w:tcW w:w="1384" w:type="dxa"/>
          </w:tcPr>
          <w:p w14:paraId="2F207D7B" w14:textId="77777777" w:rsidR="00FA0C9B" w:rsidRDefault="00FA0C9B" w:rsidP="00CA58C5">
            <w:r>
              <w:t>Medium</w:t>
            </w:r>
          </w:p>
        </w:tc>
        <w:tc>
          <w:tcPr>
            <w:tcW w:w="8192" w:type="dxa"/>
          </w:tcPr>
          <w:p w14:paraId="0C7AB486" w14:textId="77777777" w:rsidR="00FA0C9B" w:rsidRPr="006865FB" w:rsidRDefault="004B09DF" w:rsidP="00CA58C5">
            <w:pPr>
              <w:rPr>
                <w:highlight w:val="yellow"/>
              </w:rPr>
            </w:pPr>
            <w:r>
              <w:rPr>
                <w:highlight w:val="yellow"/>
              </w:rPr>
              <w:t>???</w:t>
            </w:r>
          </w:p>
        </w:tc>
      </w:tr>
      <w:tr w:rsidR="00FA0C9B" w14:paraId="3ACDCDDC" w14:textId="77777777" w:rsidTr="00FA0C9B">
        <w:tc>
          <w:tcPr>
            <w:tcW w:w="1384" w:type="dxa"/>
          </w:tcPr>
          <w:p w14:paraId="033468B7" w14:textId="77777777" w:rsidR="00FA0C9B" w:rsidRDefault="00FA0C9B" w:rsidP="00CA58C5">
            <w:r>
              <w:t>Low</w:t>
            </w:r>
          </w:p>
        </w:tc>
        <w:tc>
          <w:tcPr>
            <w:tcW w:w="8192" w:type="dxa"/>
          </w:tcPr>
          <w:p w14:paraId="0CA1EB55" w14:textId="77777777" w:rsidR="00FA0C9B" w:rsidRPr="006865FB" w:rsidRDefault="00FA0C9B" w:rsidP="00CA58C5">
            <w:pPr>
              <w:rPr>
                <w:highlight w:val="yellow"/>
              </w:rPr>
            </w:pPr>
            <w:r w:rsidRPr="006865FB">
              <w:rPr>
                <w:highlight w:val="yellow"/>
              </w:rPr>
              <w:t xml:space="preserve">Doesn’t affect </w:t>
            </w:r>
            <w:r w:rsidR="00580258" w:rsidRPr="006865FB">
              <w:rPr>
                <w:highlight w:val="yellow"/>
              </w:rPr>
              <w:t>patient flow outcomes</w:t>
            </w:r>
          </w:p>
        </w:tc>
      </w:tr>
    </w:tbl>
    <w:p w14:paraId="045F4151" w14:textId="77777777" w:rsidR="00FA0C9B" w:rsidRDefault="00FA0C9B" w:rsidP="00CA58C5"/>
    <w:p w14:paraId="555960CB" w14:textId="77777777" w:rsidR="00CA58C5" w:rsidRDefault="00CA58C5" w:rsidP="00CA58C5">
      <w:pPr>
        <w:pStyle w:val="Heading1"/>
      </w:pPr>
      <w:r>
        <w:lastRenderedPageBreak/>
        <w:t>Stakeholders</w:t>
      </w:r>
    </w:p>
    <w:p w14:paraId="1280E883" w14:textId="769F3EED" w:rsidR="00DB7254" w:rsidRPr="00DB7254" w:rsidRDefault="00DB7254" w:rsidP="00DB7254">
      <w:r>
        <w:t xml:space="preserve">Below are stakeholders that will be making use of </w:t>
      </w:r>
      <w:r w:rsidR="00853867">
        <w:t>the</w:t>
      </w:r>
      <w:r>
        <w:t xml:space="preserve"> project outcomes. </w:t>
      </w:r>
    </w:p>
    <w:tbl>
      <w:tblPr>
        <w:tblStyle w:val="TableGrid"/>
        <w:tblW w:w="0" w:type="auto"/>
        <w:tblLook w:val="04A0" w:firstRow="1" w:lastRow="0" w:firstColumn="1" w:lastColumn="0" w:noHBand="0" w:noVBand="1"/>
      </w:tblPr>
      <w:tblGrid>
        <w:gridCol w:w="2235"/>
        <w:gridCol w:w="7115"/>
      </w:tblGrid>
      <w:tr w:rsidR="004A0503" w14:paraId="75DA1367" w14:textId="77777777" w:rsidTr="002D6F24">
        <w:tc>
          <w:tcPr>
            <w:tcW w:w="2235" w:type="dxa"/>
          </w:tcPr>
          <w:p w14:paraId="60E33791" w14:textId="77777777" w:rsidR="004A0503" w:rsidRPr="004A0503" w:rsidRDefault="00FA0C9B" w:rsidP="00446D68">
            <w:pPr>
              <w:rPr>
                <w:b/>
              </w:rPr>
            </w:pPr>
            <w:r>
              <w:rPr>
                <w:b/>
              </w:rPr>
              <w:t>Name</w:t>
            </w:r>
          </w:p>
        </w:tc>
        <w:tc>
          <w:tcPr>
            <w:tcW w:w="7115" w:type="dxa"/>
          </w:tcPr>
          <w:p w14:paraId="07D79E21" w14:textId="77777777" w:rsidR="004A0503" w:rsidRPr="004A0503" w:rsidRDefault="004A0503" w:rsidP="00446D68">
            <w:pPr>
              <w:rPr>
                <w:b/>
              </w:rPr>
            </w:pPr>
            <w:r w:rsidRPr="004A0503">
              <w:rPr>
                <w:b/>
              </w:rPr>
              <w:t>Stake in Project</w:t>
            </w:r>
          </w:p>
        </w:tc>
      </w:tr>
      <w:tr w:rsidR="004A0503" w14:paraId="6112A26A" w14:textId="77777777" w:rsidTr="002D6F24">
        <w:tc>
          <w:tcPr>
            <w:tcW w:w="2235" w:type="dxa"/>
          </w:tcPr>
          <w:p w14:paraId="4A275832" w14:textId="77777777" w:rsidR="004A0503" w:rsidRDefault="002D6F24" w:rsidP="002D6F24">
            <w:r>
              <w:t>Karin Olson</w:t>
            </w:r>
          </w:p>
        </w:tc>
        <w:tc>
          <w:tcPr>
            <w:tcW w:w="7115" w:type="dxa"/>
          </w:tcPr>
          <w:p w14:paraId="626F40B7" w14:textId="77777777" w:rsidR="004A0503" w:rsidRDefault="002D6F24" w:rsidP="00446D68">
            <w:proofErr w:type="spellStart"/>
            <w:r>
              <w:t>Oversees</w:t>
            </w:r>
            <w:proofErr w:type="spellEnd"/>
            <w:r>
              <w:t xml:space="preserve"> operations for Coastal Community of Care</w:t>
            </w:r>
          </w:p>
        </w:tc>
      </w:tr>
      <w:tr w:rsidR="004A0503" w14:paraId="16D9673E" w14:textId="77777777" w:rsidTr="002D6F24">
        <w:tc>
          <w:tcPr>
            <w:tcW w:w="2235" w:type="dxa"/>
          </w:tcPr>
          <w:p w14:paraId="22EDB8F7" w14:textId="77777777" w:rsidR="004A0503" w:rsidRDefault="002D6F24" w:rsidP="002D6F24">
            <w:proofErr w:type="spellStart"/>
            <w:r>
              <w:t>Salima</w:t>
            </w:r>
            <w:proofErr w:type="spellEnd"/>
            <w:r>
              <w:t xml:space="preserve"> </w:t>
            </w:r>
            <w:proofErr w:type="spellStart"/>
            <w:r>
              <w:t>Harji</w:t>
            </w:r>
            <w:proofErr w:type="spellEnd"/>
          </w:p>
        </w:tc>
        <w:tc>
          <w:tcPr>
            <w:tcW w:w="7115" w:type="dxa"/>
          </w:tcPr>
          <w:p w14:paraId="14DDAA42" w14:textId="77777777" w:rsidR="004A0503" w:rsidRDefault="002D6F24" w:rsidP="00446D68">
            <w:r>
              <w:t>Does clinical facilities planning</w:t>
            </w:r>
          </w:p>
        </w:tc>
      </w:tr>
      <w:tr w:rsidR="004A0503" w14:paraId="1FC4402D" w14:textId="77777777" w:rsidTr="002D6F24">
        <w:tc>
          <w:tcPr>
            <w:tcW w:w="2235" w:type="dxa"/>
          </w:tcPr>
          <w:p w14:paraId="2D5A7105" w14:textId="77777777" w:rsidR="004A0503" w:rsidRDefault="002D6F24" w:rsidP="002D6F24">
            <w:r>
              <w:t xml:space="preserve">Shannon </w:t>
            </w:r>
            <w:proofErr w:type="spellStart"/>
            <w:r>
              <w:t>Chutskoff</w:t>
            </w:r>
            <w:proofErr w:type="spellEnd"/>
          </w:p>
        </w:tc>
        <w:tc>
          <w:tcPr>
            <w:tcW w:w="7115" w:type="dxa"/>
          </w:tcPr>
          <w:p w14:paraId="01AE88D7" w14:textId="77777777" w:rsidR="004A0503" w:rsidRDefault="002D6F24" w:rsidP="00446D68">
            <w:r>
              <w:t>Oversees acute services</w:t>
            </w:r>
          </w:p>
        </w:tc>
      </w:tr>
    </w:tbl>
    <w:p w14:paraId="5A5F3BAB" w14:textId="77777777" w:rsidR="00DB7254" w:rsidRPr="00446D68" w:rsidRDefault="00DB7254" w:rsidP="00446D68"/>
    <w:sectPr w:rsidR="00DB7254" w:rsidRPr="00446D68" w:rsidSect="009E028C">
      <w:headerReference w:type="default" r:id="rId12"/>
      <w:footerReference w:type="default" r:id="rId13"/>
      <w:headerReference w:type="first" r:id="rId14"/>
      <w:pgSz w:w="12240" w:h="15840"/>
      <w:pgMar w:top="1985" w:right="1440" w:bottom="1440" w:left="144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attane Nadimi" w:date="2017-11-06T17:07:00Z" w:initials="FN">
    <w:p w14:paraId="59B2A167" w14:textId="34E6C954" w:rsidR="008A3BC4" w:rsidRDefault="008A3BC4">
      <w:pPr>
        <w:pStyle w:val="CommentText"/>
      </w:pPr>
      <w:r>
        <w:rPr>
          <w:rStyle w:val="CommentReference"/>
        </w:rPr>
        <w:annotationRef/>
      </w:r>
      <w:r>
        <w:t>I though may be having the bed map in the charter could be helpful. Please reject the change if you think it is not needed.</w:t>
      </w:r>
    </w:p>
  </w:comment>
  <w:comment w:id="25" w:author="Yao, Rebecca [CORP]" w:date="2017-11-06T17:07:00Z" w:initials="YR[">
    <w:p w14:paraId="220EB9C5" w14:textId="77777777" w:rsidR="008A3BC4" w:rsidRDefault="008A3BC4" w:rsidP="00234234">
      <w:pPr>
        <w:pStyle w:val="CommentText"/>
      </w:pPr>
      <w:r>
        <w:rPr>
          <w:rStyle w:val="CommentReference"/>
        </w:rPr>
        <w:annotationRef/>
      </w:r>
      <w:r>
        <w:t>What are the implications of using unfunded beds?</w:t>
      </w:r>
    </w:p>
  </w:comment>
  <w:comment w:id="26" w:author="Fattane Nadimi" w:date="2017-11-06T17:07:00Z" w:initials="FN">
    <w:p w14:paraId="24E76581" w14:textId="54747894" w:rsidR="008A3BC4" w:rsidRDefault="008A3BC4">
      <w:pPr>
        <w:pStyle w:val="CommentText"/>
      </w:pPr>
      <w:r>
        <w:rPr>
          <w:rStyle w:val="CommentReference"/>
        </w:rPr>
        <w:annotationRef/>
      </w:r>
      <w:r>
        <w:t>A minor point, but I think using hours instead of minutes could improve readability.</w:t>
      </w:r>
    </w:p>
  </w:comment>
  <w:comment w:id="27" w:author="Yao, Rebecca [CORP]" w:date="2017-11-06T17:07:00Z" w:initials="YR[">
    <w:p w14:paraId="1B023E03" w14:textId="2544A38F" w:rsidR="008A3BC4" w:rsidRDefault="008A3BC4">
      <w:pPr>
        <w:pStyle w:val="CommentText"/>
      </w:pPr>
      <w:r>
        <w:rPr>
          <w:rStyle w:val="CommentReference"/>
        </w:rPr>
        <w:annotationRef/>
      </w:r>
      <w:r>
        <w:t>Mention implications for ED P4P?</w:t>
      </w:r>
    </w:p>
  </w:comment>
  <w:comment w:id="32" w:author="Yao, Rebecca [CORP]" w:date="2017-11-06T17:07:00Z" w:initials="YR[">
    <w:p w14:paraId="4B3F2015" w14:textId="77777777" w:rsidR="008A3BC4" w:rsidRDefault="008A3BC4" w:rsidP="004118F6">
      <w:pPr>
        <w:pStyle w:val="CommentText"/>
      </w:pPr>
      <w:r>
        <w:rPr>
          <w:rStyle w:val="CommentReference"/>
        </w:rPr>
        <w:annotationRef/>
      </w:r>
      <w:r>
        <w:t>Should speak to this in the opposite (i.e., recommended LOS) so that it doesn’t create angry nurses</w:t>
      </w:r>
    </w:p>
  </w:comment>
  <w:comment w:id="33" w:author="Fattane Nadimi" w:date="2017-11-06T17:07:00Z" w:initials="FN">
    <w:p w14:paraId="531222D7" w14:textId="198D6B32" w:rsidR="008A3BC4" w:rsidRDefault="008A3BC4">
      <w:pPr>
        <w:pStyle w:val="CommentText"/>
      </w:pPr>
      <w:r>
        <w:rPr>
          <w:rStyle w:val="CommentReference"/>
        </w:rPr>
        <w:annotationRef/>
      </w:r>
      <w:r>
        <w:t xml:space="preserve">We probably should mention that the percentages are very small and not considering them will not have an impact on the results of the </w:t>
      </w:r>
      <w:r>
        <w:t>model</w:t>
      </w:r>
      <w:bookmarkStart w:id="34" w:name="_GoBack"/>
      <w:bookmarkEnd w:id="3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EB9C5" w15:done="0"/>
  <w15:commentEx w15:paraId="1B023E03" w15:done="0"/>
  <w15:commentEx w15:paraId="4B3F20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61973" w14:textId="77777777" w:rsidR="008A3BC4" w:rsidRDefault="008A3BC4" w:rsidP="002261DC">
      <w:r>
        <w:separator/>
      </w:r>
    </w:p>
  </w:endnote>
  <w:endnote w:type="continuationSeparator" w:id="0">
    <w:p w14:paraId="1F29F5D6" w14:textId="77777777" w:rsidR="008A3BC4" w:rsidRDefault="008A3BC4" w:rsidP="002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43166"/>
      <w:docPartObj>
        <w:docPartGallery w:val="Page Numbers (Bottom of Page)"/>
        <w:docPartUnique/>
      </w:docPartObj>
    </w:sdtPr>
    <w:sdtEndPr>
      <w:rPr>
        <w:noProof/>
      </w:rPr>
    </w:sdtEndPr>
    <w:sdtContent>
      <w:p w14:paraId="5AB7CF73" w14:textId="77777777" w:rsidR="008A3BC4" w:rsidRDefault="008A3BC4">
        <w:pPr>
          <w:pStyle w:val="Footer"/>
          <w:jc w:val="right"/>
        </w:pPr>
        <w:r>
          <w:rPr>
            <w:noProof/>
            <w:lang w:val="en-CA" w:eastAsia="en-CA"/>
          </w:rPr>
          <w:drawing>
            <wp:anchor distT="0" distB="0" distL="114300" distR="114300" simplePos="0" relativeHeight="251660288" behindDoc="1" locked="0" layoutInCell="1" allowOverlap="1" wp14:anchorId="76E26144" wp14:editId="65BA783E">
              <wp:simplePos x="0" y="0"/>
              <wp:positionH relativeFrom="column">
                <wp:posOffset>-914069</wp:posOffset>
              </wp:positionH>
              <wp:positionV relativeFrom="paragraph">
                <wp:posOffset>-567690</wp:posOffset>
              </wp:positionV>
              <wp:extent cx="7779385" cy="14084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14084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47E01">
          <w:rPr>
            <w:noProof/>
          </w:rPr>
          <w:t>6</w:t>
        </w:r>
        <w:r>
          <w:rPr>
            <w:noProof/>
          </w:rPr>
          <w:fldChar w:fldCharType="end"/>
        </w:r>
      </w:p>
    </w:sdtContent>
  </w:sdt>
  <w:p w14:paraId="589E52A8" w14:textId="77777777" w:rsidR="008A3BC4" w:rsidRDefault="008A3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9CE3" w14:textId="77777777" w:rsidR="008A3BC4" w:rsidRDefault="008A3BC4" w:rsidP="002261DC">
      <w:r>
        <w:separator/>
      </w:r>
    </w:p>
  </w:footnote>
  <w:footnote w:type="continuationSeparator" w:id="0">
    <w:p w14:paraId="0ADE27A2" w14:textId="77777777" w:rsidR="008A3BC4" w:rsidRDefault="008A3BC4" w:rsidP="00226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AADF5" w14:textId="77777777" w:rsidR="008A3BC4" w:rsidRDefault="008A3BC4" w:rsidP="00D1360D">
    <w:pPr>
      <w:pStyle w:val="Header"/>
      <w:ind w:firstLine="2160"/>
    </w:pPr>
    <w:r>
      <w:rPr>
        <w:noProof/>
        <w:lang w:val="en-CA" w:eastAsia="en-CA"/>
      </w:rPr>
      <w:drawing>
        <wp:anchor distT="0" distB="0" distL="114300" distR="114300" simplePos="0" relativeHeight="251659264" behindDoc="1" locked="0" layoutInCell="1" allowOverlap="1" wp14:anchorId="04243CBF" wp14:editId="7D3B145E">
          <wp:simplePos x="0" y="0"/>
          <wp:positionH relativeFrom="column">
            <wp:posOffset>-921385</wp:posOffset>
          </wp:positionH>
          <wp:positionV relativeFrom="paragraph">
            <wp:posOffset>-449911</wp:posOffset>
          </wp:positionV>
          <wp:extent cx="7812000" cy="753790"/>
          <wp:effectExtent l="0" t="0" r="0" b="8255"/>
          <wp:wrapNone/>
          <wp:docPr id="5" name="Picture 5"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b="48634"/>
                  <a:stretch/>
                </pic:blipFill>
                <pic:spPr bwMode="auto">
                  <a:xfrm>
                    <a:off x="0" y="0"/>
                    <a:ext cx="7812000" cy="75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360D">
      <w:rPr>
        <w:noProof/>
        <w:lang w:val="en-CA" w:eastAsia="en-CA"/>
      </w:rPr>
      <w:drawing>
        <wp:anchor distT="0" distB="0" distL="114300" distR="114300" simplePos="0" relativeHeight="251658240" behindDoc="0" locked="0" layoutInCell="1" allowOverlap="1" wp14:anchorId="5E896810" wp14:editId="586A08D9">
          <wp:simplePos x="0" y="0"/>
          <wp:positionH relativeFrom="column">
            <wp:posOffset>-592676</wp:posOffset>
          </wp:positionH>
          <wp:positionV relativeFrom="paragraph">
            <wp:posOffset>304883</wp:posOffset>
          </wp:positionV>
          <wp:extent cx="1790700" cy="310515"/>
          <wp:effectExtent l="0" t="0" r="0" b="0"/>
          <wp:wrapNone/>
          <wp:docPr id="9"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2" cstate="print">
                    <a:extLst>
                      <a:ext uri="{BEBA8EAE-BF5A-486C-A8C5-ECC9F3942E4B}">
                        <a14:imgProps xmlns:a14="http://schemas.microsoft.com/office/drawing/2010/main">
                          <a14:imgLayer r:embed="rId3">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5A447" w14:textId="77777777" w:rsidR="008A3BC4" w:rsidRDefault="008A3BC4">
    <w:pPr>
      <w:pStyle w:val="Header"/>
    </w:pPr>
    <w:r w:rsidRPr="00D1360D">
      <w:rPr>
        <w:noProof/>
        <w:lang w:val="en-CA" w:eastAsia="en-CA"/>
      </w:rPr>
      <w:drawing>
        <wp:anchor distT="0" distB="0" distL="114300" distR="114300" simplePos="0" relativeHeight="251662336" behindDoc="0" locked="0" layoutInCell="1" allowOverlap="1" wp14:anchorId="3DA3DD2E" wp14:editId="526914D0">
          <wp:simplePos x="0" y="0"/>
          <wp:positionH relativeFrom="column">
            <wp:posOffset>-581822</wp:posOffset>
          </wp:positionH>
          <wp:positionV relativeFrom="paragraph">
            <wp:posOffset>324485</wp:posOffset>
          </wp:positionV>
          <wp:extent cx="1790700" cy="310515"/>
          <wp:effectExtent l="0" t="0" r="0" b="0"/>
          <wp:wrapNone/>
          <wp:docPr id="15"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1" cstate="print">
                    <a:extLst>
                      <a:ext uri="{BEBA8EAE-BF5A-486C-A8C5-ECC9F3942E4B}">
                        <a14:imgProps xmlns:a14="http://schemas.microsoft.com/office/drawing/2010/main">
                          <a14:imgLayer r:embed="rId2">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CAD"/>
    <w:multiLevelType w:val="hybridMultilevel"/>
    <w:tmpl w:val="03E0F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595AE6"/>
    <w:multiLevelType w:val="multilevel"/>
    <w:tmpl w:val="D6E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o, Rebecca [CORP]">
    <w15:presenceInfo w15:providerId="AD" w15:userId="S-1-5-21-746137067-725345543-839522115-148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EE"/>
    <w:rsid w:val="00014663"/>
    <w:rsid w:val="00052766"/>
    <w:rsid w:val="0007236D"/>
    <w:rsid w:val="000A11B8"/>
    <w:rsid w:val="00102DCF"/>
    <w:rsid w:val="00124282"/>
    <w:rsid w:val="001C6B5C"/>
    <w:rsid w:val="00211379"/>
    <w:rsid w:val="00217BB1"/>
    <w:rsid w:val="002261DC"/>
    <w:rsid w:val="00234234"/>
    <w:rsid w:val="00253FB6"/>
    <w:rsid w:val="002A16B3"/>
    <w:rsid w:val="002D2E11"/>
    <w:rsid w:val="002D6F24"/>
    <w:rsid w:val="002F55C4"/>
    <w:rsid w:val="003A1213"/>
    <w:rsid w:val="003C19DB"/>
    <w:rsid w:val="003E31D4"/>
    <w:rsid w:val="004118F6"/>
    <w:rsid w:val="00446D68"/>
    <w:rsid w:val="0046123A"/>
    <w:rsid w:val="004A0503"/>
    <w:rsid w:val="004B09DF"/>
    <w:rsid w:val="004C41AB"/>
    <w:rsid w:val="004D5325"/>
    <w:rsid w:val="00515C3C"/>
    <w:rsid w:val="00526F5B"/>
    <w:rsid w:val="005365F8"/>
    <w:rsid w:val="00562A85"/>
    <w:rsid w:val="00580258"/>
    <w:rsid w:val="00581773"/>
    <w:rsid w:val="005C3717"/>
    <w:rsid w:val="005C4F70"/>
    <w:rsid w:val="005E2414"/>
    <w:rsid w:val="0060296E"/>
    <w:rsid w:val="00604F59"/>
    <w:rsid w:val="00642F3E"/>
    <w:rsid w:val="00654C2A"/>
    <w:rsid w:val="006865FB"/>
    <w:rsid w:val="00693FBF"/>
    <w:rsid w:val="006E1DEE"/>
    <w:rsid w:val="006E4F15"/>
    <w:rsid w:val="00702C11"/>
    <w:rsid w:val="00707C18"/>
    <w:rsid w:val="00714C70"/>
    <w:rsid w:val="007153B9"/>
    <w:rsid w:val="00733D5C"/>
    <w:rsid w:val="0077682D"/>
    <w:rsid w:val="007F2E66"/>
    <w:rsid w:val="00853867"/>
    <w:rsid w:val="00863932"/>
    <w:rsid w:val="00887A0F"/>
    <w:rsid w:val="008916B2"/>
    <w:rsid w:val="008A3BC4"/>
    <w:rsid w:val="008D0F7A"/>
    <w:rsid w:val="008D5C95"/>
    <w:rsid w:val="009A1AC3"/>
    <w:rsid w:val="009C5307"/>
    <w:rsid w:val="009E028C"/>
    <w:rsid w:val="00A25895"/>
    <w:rsid w:val="00A70240"/>
    <w:rsid w:val="00A93C7C"/>
    <w:rsid w:val="00A971C6"/>
    <w:rsid w:val="00AA1DE1"/>
    <w:rsid w:val="00AB0DD6"/>
    <w:rsid w:val="00AC2B60"/>
    <w:rsid w:val="00AD6FD0"/>
    <w:rsid w:val="00B009E3"/>
    <w:rsid w:val="00B321C8"/>
    <w:rsid w:val="00B623F3"/>
    <w:rsid w:val="00B829C2"/>
    <w:rsid w:val="00C35624"/>
    <w:rsid w:val="00C47394"/>
    <w:rsid w:val="00C855B1"/>
    <w:rsid w:val="00CA58C5"/>
    <w:rsid w:val="00CC5900"/>
    <w:rsid w:val="00CF35E3"/>
    <w:rsid w:val="00D1360D"/>
    <w:rsid w:val="00D14325"/>
    <w:rsid w:val="00D17493"/>
    <w:rsid w:val="00D42BDF"/>
    <w:rsid w:val="00D94A88"/>
    <w:rsid w:val="00DB7254"/>
    <w:rsid w:val="00DC63E8"/>
    <w:rsid w:val="00E147AA"/>
    <w:rsid w:val="00E31B50"/>
    <w:rsid w:val="00E55E0A"/>
    <w:rsid w:val="00E738C0"/>
    <w:rsid w:val="00EC4E3E"/>
    <w:rsid w:val="00ED37C5"/>
    <w:rsid w:val="00F47E01"/>
    <w:rsid w:val="00FA0C9B"/>
    <w:rsid w:val="00FD3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C0CA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83231">
      <w:bodyDiv w:val="1"/>
      <w:marLeft w:val="0"/>
      <w:marRight w:val="0"/>
      <w:marTop w:val="0"/>
      <w:marBottom w:val="0"/>
      <w:divBdr>
        <w:top w:val="none" w:sz="0" w:space="0" w:color="auto"/>
        <w:left w:val="none" w:sz="0" w:space="0" w:color="auto"/>
        <w:bottom w:val="none" w:sz="0" w:space="0" w:color="auto"/>
        <w:right w:val="none" w:sz="0" w:space="0" w:color="auto"/>
      </w:divBdr>
    </w:div>
    <w:div w:id="887692060">
      <w:bodyDiv w:val="1"/>
      <w:marLeft w:val="0"/>
      <w:marRight w:val="0"/>
      <w:marTop w:val="0"/>
      <w:marBottom w:val="0"/>
      <w:divBdr>
        <w:top w:val="none" w:sz="0" w:space="0" w:color="auto"/>
        <w:left w:val="none" w:sz="0" w:space="0" w:color="auto"/>
        <w:bottom w:val="none" w:sz="0" w:space="0" w:color="auto"/>
        <w:right w:val="none" w:sz="0" w:space="0" w:color="auto"/>
      </w:divBdr>
      <w:divsChild>
        <w:div w:id="475800930">
          <w:marLeft w:val="0"/>
          <w:marRight w:val="0"/>
          <w:marTop w:val="0"/>
          <w:marBottom w:val="0"/>
          <w:divBdr>
            <w:top w:val="none" w:sz="0" w:space="0" w:color="auto"/>
            <w:left w:val="none" w:sz="0" w:space="0" w:color="auto"/>
            <w:bottom w:val="none" w:sz="0" w:space="0" w:color="auto"/>
            <w:right w:val="none" w:sz="0" w:space="0" w:color="auto"/>
          </w:divBdr>
          <w:divsChild>
            <w:div w:id="1997999442">
              <w:marLeft w:val="0"/>
              <w:marRight w:val="0"/>
              <w:marTop w:val="0"/>
              <w:marBottom w:val="0"/>
              <w:divBdr>
                <w:top w:val="none" w:sz="0" w:space="0" w:color="auto"/>
                <w:left w:val="none" w:sz="0" w:space="0" w:color="auto"/>
                <w:bottom w:val="none" w:sz="0" w:space="0" w:color="auto"/>
                <w:right w:val="none" w:sz="0" w:space="0" w:color="auto"/>
              </w:divBdr>
              <w:divsChild>
                <w:div w:id="391581256">
                  <w:marLeft w:val="0"/>
                  <w:marRight w:val="0"/>
                  <w:marTop w:val="0"/>
                  <w:marBottom w:val="0"/>
                  <w:divBdr>
                    <w:top w:val="none" w:sz="0" w:space="0" w:color="auto"/>
                    <w:left w:val="none" w:sz="0" w:space="0" w:color="auto"/>
                    <w:bottom w:val="none" w:sz="0" w:space="0" w:color="auto"/>
                    <w:right w:val="none" w:sz="0" w:space="0" w:color="auto"/>
                  </w:divBdr>
                  <w:divsChild>
                    <w:div w:id="1136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34593">
      <w:bodyDiv w:val="1"/>
      <w:marLeft w:val="0"/>
      <w:marRight w:val="0"/>
      <w:marTop w:val="0"/>
      <w:marBottom w:val="0"/>
      <w:divBdr>
        <w:top w:val="none" w:sz="0" w:space="0" w:color="auto"/>
        <w:left w:val="none" w:sz="0" w:space="0" w:color="auto"/>
        <w:bottom w:val="none" w:sz="0" w:space="0" w:color="auto"/>
        <w:right w:val="none" w:sz="0" w:space="0" w:color="auto"/>
      </w:divBdr>
    </w:div>
    <w:div w:id="1601832092">
      <w:bodyDiv w:val="1"/>
      <w:marLeft w:val="0"/>
      <w:marRight w:val="0"/>
      <w:marTop w:val="0"/>
      <w:marBottom w:val="0"/>
      <w:divBdr>
        <w:top w:val="none" w:sz="0" w:space="0" w:color="auto"/>
        <w:left w:val="none" w:sz="0" w:space="0" w:color="auto"/>
        <w:bottom w:val="none" w:sz="0" w:space="0" w:color="auto"/>
        <w:right w:val="none" w:sz="0" w:space="0" w:color="auto"/>
      </w:divBdr>
      <w:divsChild>
        <w:div w:id="1277904873">
          <w:marLeft w:val="0"/>
          <w:marRight w:val="0"/>
          <w:marTop w:val="0"/>
          <w:marBottom w:val="0"/>
          <w:divBdr>
            <w:top w:val="none" w:sz="0" w:space="0" w:color="auto"/>
            <w:left w:val="none" w:sz="0" w:space="0" w:color="auto"/>
            <w:bottom w:val="none" w:sz="0" w:space="0" w:color="auto"/>
            <w:right w:val="none" w:sz="0" w:space="0" w:color="auto"/>
          </w:divBdr>
        </w:div>
      </w:divsChild>
    </w:div>
    <w:div w:id="1741440478">
      <w:bodyDiv w:val="1"/>
      <w:marLeft w:val="0"/>
      <w:marRight w:val="0"/>
      <w:marTop w:val="0"/>
      <w:marBottom w:val="0"/>
      <w:divBdr>
        <w:top w:val="none" w:sz="0" w:space="0" w:color="auto"/>
        <w:left w:val="none" w:sz="0" w:space="0" w:color="auto"/>
        <w:bottom w:val="none" w:sz="0" w:space="0" w:color="auto"/>
        <w:right w:val="none" w:sz="0" w:space="0" w:color="auto"/>
      </w:divBdr>
      <w:divsChild>
        <w:div w:id="1815832823">
          <w:marLeft w:val="0"/>
          <w:marRight w:val="0"/>
          <w:marTop w:val="0"/>
          <w:marBottom w:val="0"/>
          <w:divBdr>
            <w:top w:val="none" w:sz="0" w:space="0" w:color="auto"/>
            <w:left w:val="none" w:sz="0" w:space="0" w:color="auto"/>
            <w:bottom w:val="none" w:sz="0" w:space="0" w:color="auto"/>
            <w:right w:val="none" w:sz="0" w:space="0" w:color="auto"/>
          </w:divBdr>
          <w:divsChild>
            <w:div w:id="1191142790">
              <w:marLeft w:val="0"/>
              <w:marRight w:val="0"/>
              <w:marTop w:val="0"/>
              <w:marBottom w:val="0"/>
              <w:divBdr>
                <w:top w:val="none" w:sz="0" w:space="0" w:color="auto"/>
                <w:left w:val="none" w:sz="0" w:space="0" w:color="auto"/>
                <w:bottom w:val="none" w:sz="0" w:space="0" w:color="auto"/>
                <w:right w:val="none" w:sz="0" w:space="0" w:color="auto"/>
              </w:divBdr>
              <w:divsChild>
                <w:div w:id="127205771">
                  <w:marLeft w:val="0"/>
                  <w:marRight w:val="0"/>
                  <w:marTop w:val="0"/>
                  <w:marBottom w:val="0"/>
                  <w:divBdr>
                    <w:top w:val="none" w:sz="0" w:space="0" w:color="auto"/>
                    <w:left w:val="none" w:sz="0" w:space="0" w:color="auto"/>
                    <w:bottom w:val="none" w:sz="0" w:space="0" w:color="auto"/>
                    <w:right w:val="none" w:sz="0" w:space="0" w:color="auto"/>
                  </w:divBdr>
                  <w:divsChild>
                    <w:div w:id="884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F3C3-C3AB-4F3F-A58A-0AC00B19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LGH Development</vt:lpstr>
    </vt:vector>
  </TitlesOfParts>
  <Company>Health Shared Services BC</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LGH Development</dc:title>
  <dc:subject/>
  <dc:creator>Nayef, Fattane &amp; Rebecca Yao</dc:creator>
  <cp:keywords/>
  <dc:description/>
  <cp:lastModifiedBy>Fattane Nadimi</cp:lastModifiedBy>
  <cp:revision>47</cp:revision>
  <dcterms:created xsi:type="dcterms:W3CDTF">2017-11-03T04:29:00Z</dcterms:created>
  <dcterms:modified xsi:type="dcterms:W3CDTF">2017-11-07T01:07:00Z</dcterms:modified>
</cp:coreProperties>
</file>