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90F" w:rsidRDefault="00571EDE" w:rsidP="00571EDE">
      <w:pPr>
        <w:pStyle w:val="Title"/>
      </w:pPr>
      <w:r>
        <w:t xml:space="preserve">RHS ED – </w:t>
      </w:r>
      <w:r w:rsidR="00AE5536">
        <w:t xml:space="preserve">Projection of </w:t>
      </w:r>
      <w:r>
        <w:t>Car</w:t>
      </w:r>
      <w:r w:rsidR="00AE5536">
        <w:t>e space requirements by ED area</w:t>
      </w:r>
    </w:p>
    <w:p w:rsidR="00571EDE" w:rsidRPr="00571EDE" w:rsidRDefault="000B08D1" w:rsidP="00571EDE">
      <w:pPr>
        <w:pStyle w:val="Heading1"/>
        <w:rPr>
          <w:b/>
        </w:rPr>
      </w:pPr>
      <w:r>
        <w:rPr>
          <w:rStyle w:val="Heading2Char"/>
          <w:b/>
        </w:rPr>
        <w:t xml:space="preserve">1 </w:t>
      </w:r>
      <w:r w:rsidR="00571EDE" w:rsidRPr="00571EDE">
        <w:rPr>
          <w:rStyle w:val="Heading2Char"/>
          <w:b/>
        </w:rPr>
        <w:t>Parameters given</w:t>
      </w:r>
      <w:r w:rsidR="00571EDE" w:rsidRPr="00571EDE">
        <w:rPr>
          <w:b/>
        </w:rPr>
        <w:t xml:space="preserve">: </w:t>
      </w:r>
    </w:p>
    <w:p w:rsidR="00571EDE" w:rsidRDefault="000B08D1" w:rsidP="00571EDE">
      <w:pPr>
        <w:pStyle w:val="Heading2"/>
      </w:pPr>
      <w:r>
        <w:t xml:space="preserve">1.1 </w:t>
      </w:r>
      <w:r w:rsidR="00571EDE">
        <w:t xml:space="preserve">Annual ED visits </w:t>
      </w:r>
    </w:p>
    <w:p w:rsidR="00571EDE" w:rsidRDefault="00571EDE">
      <w:r>
        <w:t xml:space="preserve">Annual ED visits for every year up to 2035, broken out by CTAS and 5-year age bins. </w:t>
      </w:r>
    </w:p>
    <w:tbl>
      <w:tblPr>
        <w:tblW w:w="10089" w:type="dxa"/>
        <w:tblLook w:val="04A0" w:firstRow="1" w:lastRow="0" w:firstColumn="1" w:lastColumn="0" w:noHBand="0" w:noVBand="1"/>
      </w:tblPr>
      <w:tblGrid>
        <w:gridCol w:w="2315"/>
        <w:gridCol w:w="905"/>
        <w:gridCol w:w="1360"/>
        <w:gridCol w:w="980"/>
        <w:gridCol w:w="1509"/>
        <w:gridCol w:w="1440"/>
        <w:gridCol w:w="1580"/>
      </w:tblGrid>
      <w:tr w:rsidR="00571EDE" w:rsidRPr="00571EDE" w:rsidTr="00571EDE">
        <w:trPr>
          <w:trHeight w:val="300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Base case summary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71EDE" w:rsidRPr="00571EDE" w:rsidTr="00571EDE">
        <w:trPr>
          <w:trHeight w:val="300"/>
        </w:trPr>
        <w:tc>
          <w:tcPr>
            <w:tcW w:w="2315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CTAS 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2017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2018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44546A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b/>
                <w:bCs/>
                <w:i/>
                <w:iCs/>
                <w:color w:val="44546A"/>
                <w:lang w:eastAsia="en-CA"/>
              </w:rPr>
              <w:t>2020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44546A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b/>
                <w:bCs/>
                <w:i/>
                <w:iCs/>
                <w:color w:val="44546A"/>
                <w:lang w:eastAsia="en-CA"/>
              </w:rPr>
              <w:t>2025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44546A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b/>
                <w:bCs/>
                <w:i/>
                <w:iCs/>
                <w:color w:val="44546A"/>
                <w:lang w:eastAsia="en-CA"/>
              </w:rPr>
              <w:t>2030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44546A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b/>
                <w:bCs/>
                <w:i/>
                <w:iCs/>
                <w:color w:val="44546A"/>
                <w:lang w:eastAsia="en-CA"/>
              </w:rPr>
              <w:t>2035</w:t>
            </w:r>
          </w:p>
        </w:tc>
      </w:tr>
      <w:tr w:rsidR="00571EDE" w:rsidRPr="00571EDE" w:rsidTr="00571EDE">
        <w:trPr>
          <w:trHeight w:val="300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color w:val="000000"/>
                <w:lang w:eastAsia="en-CA"/>
              </w:rPr>
              <w:t>1 - Resuscitation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color w:val="000000"/>
                <w:lang w:eastAsia="en-CA"/>
              </w:rPr>
              <w:t>416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color w:val="000000"/>
                <w:lang w:eastAsia="en-CA"/>
              </w:rPr>
              <w:t>442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  <w:t xml:space="preserve">           512 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  <w:t xml:space="preserve">                       597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  <w:t xml:space="preserve">                     707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  <w:t xml:space="preserve">                        859 </w:t>
            </w:r>
          </w:p>
        </w:tc>
      </w:tr>
      <w:tr w:rsidR="00571EDE" w:rsidRPr="00571EDE" w:rsidTr="00571EDE">
        <w:trPr>
          <w:trHeight w:val="300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color w:val="000000"/>
                <w:lang w:eastAsia="en-CA"/>
              </w:rPr>
              <w:t>2 - Emergency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color w:val="000000"/>
                <w:lang w:eastAsia="en-CA"/>
              </w:rPr>
              <w:t>8936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color w:val="000000"/>
                <w:lang w:eastAsia="en-CA"/>
              </w:rPr>
              <w:t>9630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  <w:t xml:space="preserve">     10,653 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  <w:t xml:space="preserve">                 12,958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  <w:t xml:space="preserve">               15,350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  <w:t xml:space="preserve">                  17,345 </w:t>
            </w:r>
          </w:p>
        </w:tc>
      </w:tr>
      <w:tr w:rsidR="00571EDE" w:rsidRPr="00571EDE" w:rsidTr="00571EDE">
        <w:trPr>
          <w:trHeight w:val="300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color w:val="000000"/>
                <w:lang w:eastAsia="en-CA"/>
              </w:rPr>
              <w:t>3 - Urgent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color w:val="000000"/>
                <w:lang w:eastAsia="en-CA"/>
              </w:rPr>
              <w:t>27453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color w:val="000000"/>
                <w:lang w:eastAsia="en-CA"/>
              </w:rPr>
              <w:t>28711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  <w:t xml:space="preserve">     31,409 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  <w:t xml:space="preserve">                 37,475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  <w:t xml:space="preserve">               41,672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  <w:t xml:space="preserve">                  45,740 </w:t>
            </w:r>
          </w:p>
        </w:tc>
      </w:tr>
      <w:tr w:rsidR="00571EDE" w:rsidRPr="00571EDE" w:rsidTr="00571EDE">
        <w:trPr>
          <w:trHeight w:val="300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color w:val="000000"/>
                <w:lang w:eastAsia="en-CA"/>
              </w:rPr>
              <w:t>4 - Semi-Urgent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color w:val="000000"/>
                <w:lang w:eastAsia="en-CA"/>
              </w:rPr>
              <w:t>18390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color w:val="000000"/>
                <w:lang w:eastAsia="en-CA"/>
              </w:rPr>
              <w:t>18631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  <w:t xml:space="preserve">     18,861 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  <w:t xml:space="preserve">                 20,504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  <w:t xml:space="preserve">               21,464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  <w:t xml:space="preserve">                  22,597 </w:t>
            </w:r>
          </w:p>
        </w:tc>
      </w:tr>
      <w:tr w:rsidR="00571EDE" w:rsidRPr="00571EDE" w:rsidTr="00571EDE">
        <w:trPr>
          <w:trHeight w:val="300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color w:val="000000"/>
                <w:lang w:eastAsia="en-CA"/>
              </w:rPr>
              <w:t>5 - Non-Urgent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color w:val="000000"/>
                <w:lang w:eastAsia="en-CA"/>
              </w:rPr>
              <w:t>1863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color w:val="000000"/>
                <w:lang w:eastAsia="en-CA"/>
              </w:rPr>
              <w:t>1624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  <w:t xml:space="preserve">       1,756 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  <w:t xml:space="preserve">                   1,881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  <w:t xml:space="preserve">                  1,986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i/>
                <w:iCs/>
                <w:color w:val="44546A"/>
                <w:lang w:eastAsia="en-CA"/>
              </w:rPr>
              <w:t xml:space="preserve">                     2,100 </w:t>
            </w:r>
          </w:p>
        </w:tc>
      </w:tr>
      <w:tr w:rsidR="00571EDE" w:rsidRPr="00571EDE" w:rsidTr="00571EDE">
        <w:trPr>
          <w:trHeight w:val="300"/>
        </w:trPr>
        <w:tc>
          <w:tcPr>
            <w:tcW w:w="231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Grand Total</w:t>
            </w:r>
          </w:p>
        </w:tc>
        <w:tc>
          <w:tcPr>
            <w:tcW w:w="9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57058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59038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44546A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b/>
                <w:bCs/>
                <w:i/>
                <w:iCs/>
                <w:color w:val="44546A"/>
                <w:lang w:eastAsia="en-CA"/>
              </w:rPr>
              <w:t xml:space="preserve">     63,192 </w:t>
            </w:r>
          </w:p>
        </w:tc>
        <w:tc>
          <w:tcPr>
            <w:tcW w:w="150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44546A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b/>
                <w:bCs/>
                <w:i/>
                <w:iCs/>
                <w:color w:val="44546A"/>
                <w:lang w:eastAsia="en-CA"/>
              </w:rPr>
              <w:t xml:space="preserve">                 73,415 </w:t>
            </w:r>
          </w:p>
        </w:tc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44546A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b/>
                <w:bCs/>
                <w:i/>
                <w:iCs/>
                <w:color w:val="44546A"/>
                <w:lang w:eastAsia="en-CA"/>
              </w:rPr>
              <w:t xml:space="preserve">               81,179 </w:t>
            </w:r>
          </w:p>
        </w:tc>
        <w:tc>
          <w:tcPr>
            <w:tcW w:w="15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44546A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b/>
                <w:bCs/>
                <w:i/>
                <w:iCs/>
                <w:color w:val="44546A"/>
                <w:lang w:eastAsia="en-CA"/>
              </w:rPr>
              <w:t xml:space="preserve">                  88,641 </w:t>
            </w:r>
          </w:p>
        </w:tc>
      </w:tr>
      <w:tr w:rsidR="00571EDE" w:rsidRPr="00571EDE" w:rsidTr="00571EDE">
        <w:trPr>
          <w:trHeight w:val="300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44546A"/>
                <w:lang w:eastAsia="en-CA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71EDE" w:rsidRPr="00571EDE" w:rsidTr="00571EDE">
        <w:trPr>
          <w:trHeight w:val="300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 xml:space="preserve">% Change from 2018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7.0%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24.4%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37.5%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EDE" w:rsidRPr="00571EDE" w:rsidRDefault="00571EDE" w:rsidP="0057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</w:pPr>
            <w:r w:rsidRPr="00571EDE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50.1%</w:t>
            </w:r>
          </w:p>
        </w:tc>
      </w:tr>
    </w:tbl>
    <w:p w:rsidR="00571EDE" w:rsidRDefault="00571EDE"/>
    <w:p w:rsidR="00571EDE" w:rsidRDefault="00571EDE">
      <w:r w:rsidRPr="00CB3803">
        <w:rPr>
          <w:b/>
        </w:rPr>
        <w:t>Source folder</w:t>
      </w:r>
      <w:r>
        <w:t xml:space="preserve">: </w:t>
      </w:r>
      <w:hyperlink r:id="rId5" w:history="1">
        <w:r w:rsidRPr="00571EDE">
          <w:rPr>
            <w:rStyle w:val="Hyperlink"/>
          </w:rPr>
          <w:t>G:\VCHDecisionSupport\Coastal_Richmond_SI\2019-09-17_RH_Emergency-ED-Projections-Planning\results\final-results</w:t>
        </w:r>
      </w:hyperlink>
    </w:p>
    <w:p w:rsidR="00571EDE" w:rsidRDefault="00571EDE">
      <w:r w:rsidRPr="00CB3803">
        <w:rPr>
          <w:b/>
        </w:rPr>
        <w:t>Source file</w:t>
      </w:r>
      <w:r>
        <w:t xml:space="preserve">: </w:t>
      </w:r>
      <w:r w:rsidRPr="00571EDE">
        <w:t>2019-09-24_rhs_ed-visits-projections-by-age-and-ctas</w:t>
      </w:r>
      <w:r>
        <w:t xml:space="preserve"> </w:t>
      </w:r>
    </w:p>
    <w:p w:rsidR="00571EDE" w:rsidRDefault="00571EDE"/>
    <w:p w:rsidR="00571EDE" w:rsidRDefault="000B08D1" w:rsidP="00571EDE">
      <w:pPr>
        <w:pStyle w:val="Heading2"/>
      </w:pPr>
      <w:r>
        <w:t xml:space="preserve">1.2 </w:t>
      </w:r>
      <w:r w:rsidR="00571EDE">
        <w:t xml:space="preserve">Number of care spaces by ED area: </w:t>
      </w:r>
    </w:p>
    <w:p w:rsidR="00571EDE" w:rsidRPr="00571EDE" w:rsidRDefault="00571EDE" w:rsidP="00571EDE">
      <w:r w:rsidRPr="00CB3803">
        <w:rPr>
          <w:b/>
        </w:rPr>
        <w:t>Source folder:</w:t>
      </w:r>
      <w:r>
        <w:t xml:space="preserve"> </w:t>
      </w:r>
      <w:hyperlink r:id="rId6" w:history="1">
        <w:r w:rsidRPr="00571EDE">
          <w:rPr>
            <w:rStyle w:val="Hyperlink"/>
          </w:rPr>
          <w:t>G:\VCHDecisionSupport\Coastal_Richmond_SI\2019-11-15_rh_ED-ssp-unit-bed-requirement-projection\data</w:t>
        </w:r>
      </w:hyperlink>
    </w:p>
    <w:p w:rsidR="00571EDE" w:rsidRPr="00571EDE" w:rsidRDefault="00571EDE" w:rsidP="00571EDE"/>
    <w:p w:rsidR="00571EDE" w:rsidRDefault="00571EDE"/>
    <w:p w:rsidR="00680BA9" w:rsidRDefault="00680BA9"/>
    <w:p w:rsidR="00680BA9" w:rsidRDefault="00680BA9">
      <w:r>
        <w:br w:type="page"/>
      </w:r>
    </w:p>
    <w:p w:rsidR="00680BA9" w:rsidRPr="00680BA9" w:rsidRDefault="000B08D1" w:rsidP="00680BA9">
      <w:pPr>
        <w:pStyle w:val="Heading1"/>
        <w:rPr>
          <w:b/>
        </w:rPr>
      </w:pPr>
      <w:r>
        <w:rPr>
          <w:b/>
        </w:rPr>
        <w:lastRenderedPageBreak/>
        <w:t xml:space="preserve">2. </w:t>
      </w:r>
      <w:r w:rsidR="00680BA9" w:rsidRPr="00680BA9">
        <w:rPr>
          <w:b/>
        </w:rPr>
        <w:t xml:space="preserve">Required results: </w:t>
      </w:r>
    </w:p>
    <w:p w:rsidR="00680BA9" w:rsidRDefault="000B08D1" w:rsidP="00680BA9">
      <w:r>
        <w:t xml:space="preserve">Estimate number of care spaces necessary in each ED area for the years 2025, 2030, 2035. </w:t>
      </w:r>
    </w:p>
    <w:p w:rsidR="000B08D1" w:rsidRDefault="000B08D1" w:rsidP="00680BA9"/>
    <w:p w:rsidR="000B08D1" w:rsidRDefault="000B08D1" w:rsidP="000B08D1">
      <w:pPr>
        <w:pStyle w:val="Heading1"/>
        <w:rPr>
          <w:b/>
        </w:rPr>
      </w:pPr>
      <w:r>
        <w:rPr>
          <w:b/>
        </w:rPr>
        <w:t>3</w:t>
      </w:r>
      <w:r w:rsidR="00094A30">
        <w:rPr>
          <w:b/>
        </w:rPr>
        <w:t>.</w:t>
      </w:r>
      <w:r>
        <w:rPr>
          <w:b/>
        </w:rPr>
        <w:t xml:space="preserve"> </w:t>
      </w:r>
      <w:r w:rsidRPr="000B08D1">
        <w:rPr>
          <w:b/>
        </w:rPr>
        <w:t xml:space="preserve">Methodology </w:t>
      </w:r>
    </w:p>
    <w:p w:rsidR="000B08D1" w:rsidRDefault="000B08D1" w:rsidP="000B08D1">
      <w:r>
        <w:t xml:space="preserve">Treat each ED area as a separate M/M/c queuing system. </w:t>
      </w:r>
    </w:p>
    <w:p w:rsidR="000B08D1" w:rsidRDefault="000B08D1" w:rsidP="000B08D1">
      <w:r>
        <w:t xml:space="preserve">For each area, we will need to know at least one of the following: </w:t>
      </w:r>
    </w:p>
    <w:p w:rsidR="000B08D1" w:rsidRDefault="000B08D1" w:rsidP="000B08D1">
      <w:pPr>
        <w:pStyle w:val="ListParagraph"/>
        <w:numPr>
          <w:ilvl w:val="0"/>
          <w:numId w:val="1"/>
        </w:numPr>
      </w:pPr>
      <w:r>
        <w:t>Average “census” in the area (L)</w:t>
      </w:r>
    </w:p>
    <w:p w:rsidR="000B08D1" w:rsidRDefault="000B08D1" w:rsidP="000B08D1">
      <w:pPr>
        <w:pStyle w:val="ListParagraph"/>
        <w:numPr>
          <w:ilvl w:val="0"/>
          <w:numId w:val="1"/>
        </w:numPr>
      </w:pPr>
      <w:r>
        <w:t>Average arrival rate to the area (lambda)</w:t>
      </w:r>
    </w:p>
    <w:p w:rsidR="000B08D1" w:rsidRDefault="000B08D1" w:rsidP="000B08D1">
      <w:r>
        <w:t xml:space="preserve">We also need to know: </w:t>
      </w:r>
    </w:p>
    <w:p w:rsidR="000B08D1" w:rsidRDefault="000B08D1" w:rsidP="000B08D1">
      <w:pPr>
        <w:pStyle w:val="ListParagraph"/>
        <w:numPr>
          <w:ilvl w:val="0"/>
          <w:numId w:val="2"/>
        </w:numPr>
      </w:pPr>
      <w:r>
        <w:t>AVG LOS in each area (W = 1/mu)</w:t>
      </w:r>
    </w:p>
    <w:p w:rsidR="000B08D1" w:rsidRDefault="000B08D1" w:rsidP="000B08D1">
      <w:pPr>
        <w:pStyle w:val="ListParagraph"/>
        <w:numPr>
          <w:ilvl w:val="0"/>
          <w:numId w:val="2"/>
        </w:numPr>
      </w:pPr>
      <w:proofErr w:type="spellStart"/>
      <w:r>
        <w:t>Num</w:t>
      </w:r>
      <w:proofErr w:type="spellEnd"/>
      <w:r>
        <w:t xml:space="preserve"> care spaces in each area (see Section 1.2 above)</w:t>
      </w:r>
    </w:p>
    <w:p w:rsidR="00BF30B2" w:rsidRDefault="00BF30B2" w:rsidP="00BF30B2"/>
    <w:p w:rsidR="00BF30B2" w:rsidRDefault="00BF30B2" w:rsidP="00BF30B2">
      <w:r>
        <w:t xml:space="preserve">Given the parameters above, we can produce graphs like the following for each ED area: </w:t>
      </w:r>
    </w:p>
    <w:p w:rsidR="00BF30B2" w:rsidRDefault="00BF30B2" w:rsidP="00BF30B2">
      <w:bookmarkStart w:id="0" w:name="_GoBack"/>
      <w:r>
        <w:rPr>
          <w:rFonts w:ascii="Segoe UI" w:hAnsi="Segoe UI" w:cs="Segoe UI"/>
          <w:noProof/>
          <w:color w:val="0366D6"/>
          <w:sz w:val="24"/>
          <w:szCs w:val="24"/>
          <w:lang w:eastAsia="en-CA"/>
        </w:rPr>
        <w:drawing>
          <wp:inline distT="0" distB="0" distL="0" distR="0">
            <wp:extent cx="5502303" cy="3930217"/>
            <wp:effectExtent l="0" t="0" r="3175" b="0"/>
            <wp:docPr id="2" name="Picture 2" descr="queue-model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eue-model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97" cy="393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54AB4" w:rsidRDefault="00454AB4" w:rsidP="00BF30B2">
      <w:r>
        <w:t xml:space="preserve">For details, see R scripts here: </w:t>
      </w:r>
      <w:hyperlink r:id="rId10" w:history="1">
        <w:r w:rsidRPr="00454AB4">
          <w:rPr>
            <w:rStyle w:val="Hyperlink"/>
          </w:rPr>
          <w:t>G:\VCHDec</w:t>
        </w:r>
        <w:r w:rsidRPr="00454AB4">
          <w:rPr>
            <w:rStyle w:val="Hyperlink"/>
          </w:rPr>
          <w:t>i</w:t>
        </w:r>
        <w:r w:rsidRPr="00454AB4">
          <w:rPr>
            <w:rStyle w:val="Hyperlink"/>
          </w:rPr>
          <w:t>sionSupport\Coastal_Richmond_SI\2019-11-15_rh_ED-ssp-unit-bed-requirement-projection\src</w:t>
        </w:r>
      </w:hyperlink>
    </w:p>
    <w:p w:rsidR="00454AB4" w:rsidRPr="000B08D1" w:rsidRDefault="00454AB4" w:rsidP="00BF30B2"/>
    <w:sectPr w:rsidR="00454AB4" w:rsidRPr="000B0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A135A"/>
    <w:multiLevelType w:val="hybridMultilevel"/>
    <w:tmpl w:val="4AD6442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A0577"/>
    <w:multiLevelType w:val="hybridMultilevel"/>
    <w:tmpl w:val="9D985AC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DE"/>
    <w:rsid w:val="00094A30"/>
    <w:rsid w:val="000B08D1"/>
    <w:rsid w:val="00454AB4"/>
    <w:rsid w:val="00571EDE"/>
    <w:rsid w:val="00680BA9"/>
    <w:rsid w:val="006C390F"/>
    <w:rsid w:val="00AE5536"/>
    <w:rsid w:val="00BF30B2"/>
    <w:rsid w:val="00C660F9"/>
    <w:rsid w:val="00C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0BC6C-79AE-498B-AD70-E83BBFF0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E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E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ED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1E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1E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1E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71E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08D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4A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0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nayefahmad/Richmond-Hospital-SSP-unit-bed-requirement-projection/master/src/2019-11-15_rh_ED-ssp-unit-bed-requirement-projection_files/figure-html/unnamed-chunk-14-1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G:\VCHDecisionSupport\Coastal_Richmond_SI\2019-11-15_rh_ED-ssp-unit-bed-requirement-projection\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G:\VCHDecisionSupport\Coastal_Richmond_SI\2019-09-17_RH_Emergency-ED-Projections-Planning\results\final-results" TargetMode="External"/><Relationship Id="rId10" Type="http://schemas.openxmlformats.org/officeDocument/2006/relationships/hyperlink" Target="file:///G:\VCHDecisionSupport\Coastal_Richmond_SI\2019-11-15_rh_ED-ssp-unit-bed-requirement-projection\src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3.png@01D5A409.C13E8A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358</Words>
  <Characters>2042</Characters>
  <Application>Microsoft Office Word</Application>
  <DocSecurity>0</DocSecurity>
  <Lines>17</Lines>
  <Paragraphs>4</Paragraphs>
  <ScaleCrop>false</ScaleCrop>
  <Company>Health Shared Services BC</Company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Nayef [VC]</dc:creator>
  <cp:keywords/>
  <dc:description/>
  <cp:lastModifiedBy>Ahmad, Nayef [VC]</cp:lastModifiedBy>
  <cp:revision>9</cp:revision>
  <dcterms:created xsi:type="dcterms:W3CDTF">2019-11-29T15:46:00Z</dcterms:created>
  <dcterms:modified xsi:type="dcterms:W3CDTF">2019-11-29T16:07:00Z</dcterms:modified>
</cp:coreProperties>
</file>