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1F4E78"/>
          <w:sz w:val="40"/>
          <w:szCs w:val="40"/>
        </w:rPr>
        <w:t xml:space="preserve">Competency Assessment Platform</w:t>
      </w:r>
    </w:p>
    <w:p>
      <w:pPr>
        <w:spacing w:after="160"/>
      </w:pPr>
      <w:r>
        <w:rPr>
          <w:rFonts w:ascii="Calibri" w:cs="Calibri" w:eastAsia="Calibri" w:hAnsi="Calibri"/>
          <w:color w:val="2E74B5"/>
          <w:sz w:val="26"/>
          <w:szCs w:val="26"/>
        </w:rPr>
        <w:t xml:space="preserve">ICB4 Project Manager Prototype — Design Document</w:t>
      </w:r>
    </w:p>
    <w:p>
      <w:pPr>
        <w:spacing w:after="20"/>
      </w:pPr>
      <w:r>
        <w:rPr>
          <w:rFonts w:ascii="Calibri" w:cs="Calibri" w:eastAsia="Calibri" w:hAnsi="Calibri"/>
          <w:color w:val="555555"/>
          <w:sz w:val="18"/>
          <w:szCs w:val="18"/>
        </w:rPr>
        <w:t xml:space="preserve">Generated by /office-hours  ·  2026-08-03</w:t>
      </w:r>
    </w:p>
    <w:p>
      <w:pPr>
        <w:spacing w:after="20"/>
      </w:pPr>
      <w:r>
        <w:rPr>
          <w:rFonts w:ascii="Calibri" w:cs="Calibri" w:eastAsia="Calibri" w:hAnsi="Calibri"/>
          <w:color w:val="555555"/>
          <w:sz w:val="18"/>
          <w:szCs w:val="18"/>
        </w:rPr>
        <w:t xml:space="preserve">Repo: nayefharb-hub/Competency-Assessment-Platform  ·  Branch: claude/gtstack-status-3p8h72</w:t>
      </w:r>
    </w:p>
    <w:p>
      <w:pPr>
        <w:spacing w:after="40"/>
      </w:pPr>
      <w:r>
        <w:rPr>
          <w:rFonts w:ascii="Calibri" w:cs="Calibri" w:eastAsia="Calibri" w:hAnsi="Calibri"/>
          <w:color w:val="555555"/>
          <w:sz w:val="18"/>
          <w:szCs w:val="18"/>
        </w:rPr>
        <w:t xml:space="preserve">Status: APPROVED (2026-08-03)  ·  Mode: Startup  ·  Prepared for: Nayef Harb, Head of PMO, KIB</w:t>
      </w:r>
    </w:p>
    <w:p>
      <w:pPr>
        <w:pBdr>
          <w:bottom w:val="single" w:color="1F4E78" w:sz="12" w:space="1"/>
        </w:pBdr>
        <w:spacing w:after="200"/>
      </w:pPr>
      <w:r>
        <w:t xml:space="preserve"/>
      </w:r>
    </w:p>
    <w:p>
      <w:pPr>
        <w:pStyle w:val="Heading1"/>
        <w:spacing w:after="80" w:before="260"/>
      </w:pPr>
      <w:r>
        <w:t xml:space="preserve">Problem Statement</w:t>
      </w:r>
    </w:p>
    <w:p>
      <w:pPr>
        <w:spacing w:after="120" w:line="276"/>
        <w:jc w:val="both"/>
      </w:pPr>
      <w:r>
        <w:t xml:space="preserve">A web platform for assessing staff against competency frameworks. The long-term vision is an open, multi-tenant product: any organization imports or defines a framework (domain → competency → indicator, with a scoring mechanism at each level) and assesses its people against it, sold later by public subscription.</w:t>
      </w:r>
    </w:p>
    <w:p>
      <w:pPr>
        <w:spacing w:after="120" w:line="276"/>
        <w:jc w:val="both"/>
      </w:pPr>
      <w:r>
        <w:t xml:space="preserve">The prototype is deliberately narrower. It serves KIB's PMO: assess project managers against a single framework the founder has already built — an IPMA ICB4 v4.0.1 framework (28 competence elements, 132 active Key Competence Indicators, APM 0–5 Application scale, per-CE targets, and a Role-Ready / Minor-Gap / Capability-Deficit rollup). The prototype must be fast to build and usable by PMs to complete a real assessment this cycle.</w:t>
      </w:r>
    </w:p>
    <w:p>
      <w:pPr>
        <w:pStyle w:val="Heading1"/>
        <w:spacing w:after="80" w:before="260"/>
      </w:pPr>
      <w:r>
        <w:t xml:space="preserve">Demand Evidence</w:t>
      </w:r>
    </w:p>
    <w:p>
      <w:pPr>
        <w:spacing w:after="120" w:line="276"/>
        <w:jc w:val="both"/>
      </w:pPr>
      <w:r>
        <w:t xml:space="preserve">Two real drivers are stacked here; keep them distinct.</w:t>
      </w:r>
    </w:p>
    <w:p>
      <w:pPr>
        <w:pStyle w:val="ListParagraph"/>
        <w:numPr>
          <w:ilvl w:val="0"/>
          <w:numId w:val="1"/>
        </w:numPr>
        <w:spacing w:after="60" w:line="264"/>
      </w:pPr>
      <w:r>
        <w:rPr>
          <w:b/>
          <w:bCs/>
        </w:rPr>
        <w:t xml:space="preserve">A funded internal mandate (verified).</w:t>
      </w:r>
      <w:r>
        <w:t xml:space="preserve"> The founder's manager — the Head of Strategy — requested the PM competency assessment, and it is a committed line in this year's business plan. That is a genuine sponsor above the founder and a real deadline. The founder himself is Head of PMO and sole assessor over a team of 9 (7 direct PMs, 2 dotted-line, 1 portfolio manager) — the internal champion and operator, not the person who commissioned it.</w:t>
      </w:r>
    </w:p>
    <w:p>
      <w:pPr>
        <w:pStyle w:val="ListParagraph"/>
        <w:numPr>
          <w:ilvl w:val="0"/>
          <w:numId w:val="1"/>
        </w:numPr>
        <w:spacing w:after="60" w:line="264"/>
      </w:pPr>
      <w:r>
        <w:rPr>
          <w:b/>
          <w:bCs/>
        </w:rPr>
        <w:t xml:space="preserve">The mandate is for the outcome, not the web app.</w:t>
      </w:r>
      <w:r>
        <w:t xml:space="preserve"> "Assess PM competencies this year" is satisfiable by the existing Excel workbook. Demand for a </w:t>
      </w:r>
      <w:r>
        <w:rPr>
          <w:i/>
          <w:iCs/>
        </w:rPr>
        <w:t xml:space="preserve">web platform</w:t>
      </w:r>
      <w:r>
        <w:t xml:space="preserve"> over the workbook is still not separately verified. The two are different products; only the first is on the business plan.</w:t>
      </w:r>
    </w:p>
    <w:p>
      <w:pPr>
        <w:pStyle w:val="ListParagraph"/>
        <w:numPr>
          <w:ilvl w:val="0"/>
          <w:numId w:val="1"/>
        </w:numPr>
        <w:spacing w:after="60" w:line="264"/>
      </w:pPr>
      <w:r>
        <w:rPr>
          <w:b/>
          <w:bCs/>
        </w:rPr>
        <w:t xml:space="preserve">The Excel de-risks the mandate — use that.</w:t>
      </w:r>
      <w:r>
        <w:t xml:space="preserve"> Because the workbook already meets this year's deliverable, the web app is freed to be an honest </w:t>
      </w:r>
      <w:r>
        <w:rPr>
          <w:b/>
          <w:bCs/>
        </w:rPr>
        <w:t xml:space="preserve">product test with KIB as design partner</w:t>
      </w:r>
      <w:r>
        <w:t xml:space="preserve">, not a must-ship dependency of the business plan. Do not let the app's timeline put the mandate at risk; the spreadsheet is the fallback that already satisfies it.</w:t>
      </w:r>
    </w:p>
    <w:p>
      <w:pPr>
        <w:pStyle w:val="ListParagraph"/>
        <w:numPr>
          <w:ilvl w:val="0"/>
          <w:numId w:val="1"/>
        </w:numPr>
        <w:spacing w:after="60" w:line="264"/>
      </w:pPr>
      <w:r>
        <w:rPr>
          <w:b/>
          <w:bCs/>
        </w:rPr>
        <w:t xml:space="preserve">Personal product ambition (second driver).</w:t>
      </w:r>
      <w:r>
        <w:t xml:space="preserve"> The founder wants to offer this by subscription and sell it later. Real motivation, layered on top of the internal mandate — but commercial demand is thesis-only: no non-KIB org has asked for or committed to it. It does not drive prototype scope.</w:t>
      </w:r>
    </w:p>
    <w:p>
      <w:pPr>
        <w:pStyle w:val="ListParagraph"/>
        <w:numPr>
          <w:ilvl w:val="0"/>
          <w:numId w:val="1"/>
        </w:numPr>
        <w:spacing w:after="60" w:line="264"/>
      </w:pPr>
      <w:r>
        <w:rPr>
          <w:b/>
          <w:bCs/>
        </w:rPr>
        <w:t xml:space="preserve">Real validation questions (still open):</w:t>
      </w:r>
      <w:r>
        <w:t xml:space="preserve"> do the 7 PMs actually complete the assessment online, and does the output actually change the training-plan and project-assignment decisions the framework exists to inform?</w:t>
      </w:r>
    </w:p>
    <w:p>
      <w:pPr>
        <w:pStyle w:val="Heading1"/>
        <w:spacing w:after="80" w:before="260"/>
      </w:pPr>
      <w:r>
        <w:t xml:space="preserve">Status Quo</w:t>
      </w:r>
    </w:p>
    <w:p>
      <w:pPr>
        <w:spacing w:after="120" w:line="276"/>
        <w:jc w:val="both"/>
      </w:pPr>
      <w:r>
        <w:t xml:space="preserve">Users' current tool is the Excel workbook the founder built. It is genuinely well-designed: versioned control IDs, target provenance, snapshot rules, inactive-control handling, and a weighted per-competence-element rollup. A PM can be fully assessed with it today.</w:t>
      </w:r>
    </w:p>
    <w:p>
      <w:pPr>
        <w:spacing w:after="120" w:line="276"/>
        <w:jc w:val="both"/>
      </w:pPr>
      <w:r>
        <w:rPr>
          <w:b/>
          <w:bCs/>
        </w:rPr>
        <w:t xml:space="preserve">Scale reality-check (from the brief):</w:t>
      </w:r>
      <w:r>
        <w:t xml:space="preserve"> this is 9 people and one assessor (the founder). "Collection from many PMs" is 9 files reviewed by one person, not a 50-PM merge problem. So the </w:t>
      </w:r>
      <w:r>
        <w:rPr>
          <w:i/>
          <w:iCs/>
        </w:rPr>
        <w:t xml:space="preserve">scale</w:t>
      </w:r>
      <w:r>
        <w:t xml:space="preserve"> pains below are modest at KIB today; the pains that actually justify software here are the </w:t>
      </w:r>
      <w:r>
        <w:rPr>
          <w:b/>
          <w:bCs/>
        </w:rPr>
        <w:t xml:space="preserve">behavioral</w:t>
      </w:r>
      <w:r>
        <w:t xml:space="preserve"> one (completion) and the </w:t>
      </w:r>
      <w:r>
        <w:rPr>
          <w:b/>
          <w:bCs/>
        </w:rPr>
        <w:t xml:space="preserve">structural</w:t>
      </w:r>
      <w:r>
        <w:t xml:space="preserve"> ones Excel cannot do cleanly (target-hiding + manager-blind reconciliation, and cheap re-runs while the framework and scale are still moving). Weight the four pains with that in mind — at KIB's size, they argue for the </w:t>
      </w:r>
      <w:r>
        <w:rPr>
          <w:i/>
          <w:iCs/>
        </w:rPr>
        <w:t xml:space="preserve">product test</w:t>
      </w:r>
      <w:r>
        <w:t xml:space="preserve">, not for rescuing a scale emergency that doesn't exist yet.</w:t>
      </w:r>
    </w:p>
    <w:p>
      <w:pPr>
        <w:spacing w:after="120" w:line="276"/>
        <w:jc w:val="both"/>
      </w:pPr>
      <w:r>
        <w:t xml:space="preserve">The founder named four concrete pains, all of which the spreadsheet handles badly at scale — and all of which are about </w:t>
      </w:r>
      <w:r>
        <w:rPr>
          <w:i/>
          <w:iCs/>
        </w:rPr>
        <w:t xml:space="preserve">running and aggregating</w:t>
      </w:r>
      <w:r>
        <w:t xml:space="preserve"> assessments, not about </w:t>
      </w:r>
      <w:r>
        <w:rPr>
          <w:i/>
          <w:iCs/>
        </w:rPr>
        <w:t xml:space="preserve">defining</w:t>
      </w:r>
      <w:r>
        <w:t xml:space="preserve"> frameworks:</w:t>
      </w:r>
    </w:p>
    <w:p>
      <w:pPr>
        <w:pStyle w:val="ListParagraph"/>
        <w:numPr>
          <w:ilvl w:val="0"/>
          <w:numId w:val="2"/>
        </w:numPr>
        <w:spacing w:after="60" w:line="264"/>
      </w:pPr>
      <w:r>
        <w:rPr>
          <w:b/>
          <w:bCs/>
        </w:rPr>
        <w:t xml:space="preserve">Collection</w:t>
      </w:r>
      <w:r>
        <w:t xml:space="preserve"> — emailing the file to many PMs, chasing them, merging versions back. Painful at 10+ PMs, chaos at 50.</w:t>
      </w:r>
    </w:p>
    <w:p>
      <w:pPr>
        <w:pStyle w:val="ListParagraph"/>
        <w:numPr>
          <w:ilvl w:val="0"/>
          <w:numId w:val="2"/>
        </w:numPr>
        <w:spacing w:after="60" w:line="264"/>
      </w:pPr>
      <w:r>
        <w:rPr>
          <w:b/>
          <w:bCs/>
        </w:rPr>
        <w:t xml:space="preserve">No PMO-wide rollup</w:t>
      </w:r>
      <w:r>
        <w:t xml:space="preserve"> — each file is one person; there is no live view of where the whole PM population sits against targets.</w:t>
      </w:r>
    </w:p>
    <w:p>
      <w:pPr>
        <w:pStyle w:val="ListParagraph"/>
        <w:numPr>
          <w:ilvl w:val="0"/>
          <w:numId w:val="2"/>
        </w:numPr>
        <w:spacing w:after="60" w:line="264"/>
      </w:pPr>
      <w:r>
        <w:rPr>
          <w:b/>
          <w:bCs/>
        </w:rPr>
        <w:t xml:space="preserve">Self / manager / agreed flow</w:t>
      </w:r>
      <w:r>
        <w:t xml:space="preserve"> — the two-party reconciliation (PM self-scores, manager scores, agree in a 1-on-1) is clumsy to run and track in a shared file.</w:t>
      </w:r>
    </w:p>
    <w:p>
      <w:pPr>
        <w:pStyle w:val="ListParagraph"/>
        <w:numPr>
          <w:ilvl w:val="0"/>
          <w:numId w:val="2"/>
        </w:numPr>
        <w:spacing w:after="60" w:line="264"/>
      </w:pPr>
      <w:r>
        <w:rPr>
          <w:b/>
          <w:bCs/>
        </w:rPr>
        <w:t xml:space="preserve">Trends over cycles</w:t>
      </w:r>
      <w:r>
        <w:t xml:space="preserve"> — year-over-year comparison and gap-closing between cycles is hard to maintain in spreadsheets.</w:t>
      </w:r>
    </w:p>
    <w:p>
      <w:pPr>
        <w:spacing w:after="120" w:line="276"/>
        <w:jc w:val="both"/>
      </w:pPr>
      <w:r>
        <w:t xml:space="preserve">Plus a fifth, behavioral: the founder believes PMs are more likely to </w:t>
      </w:r>
      <w:r>
        <w:rPr>
          <w:i/>
          <w:iCs/>
        </w:rPr>
        <w:t xml:space="preserve">finish</w:t>
      </w:r>
      <w:r>
        <w:t xml:space="preserve"> an assessment online than by "sitting and filling out an Excel sheet at their desk." Completion rate is a real wedge — but this specific claim is currently an assumption, not something the founder has watched happen.</w:t>
      </w:r>
    </w:p>
    <w:p>
      <w:pPr>
        <w:pStyle w:val="Heading1"/>
        <w:spacing w:after="80" w:before="260"/>
      </w:pPr>
      <w:r>
        <w:t xml:space="preserve">Target User &amp; Narrowest Wedge</w:t>
      </w:r>
    </w:p>
    <w:p>
      <w:pPr>
        <w:spacing w:after="120" w:line="276"/>
        <w:jc w:val="both"/>
      </w:pPr>
      <w:r>
        <w:rPr>
          <w:b/>
          <w:bCs/>
        </w:rPr>
        <w:t xml:space="preserve">Three distinct roles, do not conflate them:</w:t>
      </w:r>
    </w:p>
    <w:p>
      <w:pPr>
        <w:pStyle w:val="ListParagraph"/>
        <w:numPr>
          <w:ilvl w:val="0"/>
          <w:numId w:val="1"/>
        </w:numPr>
        <w:spacing w:after="60" w:line="264"/>
      </w:pPr>
      <w:r>
        <w:rPr>
          <w:b/>
          <w:bCs/>
        </w:rPr>
        <w:t xml:space="preserve">Assessee:</w:t>
      </w:r>
      <w:r>
        <w:t xml:space="preserve"> a KIB project manager (7 direct) who completes the assessment.</w:t>
      </w:r>
    </w:p>
    <w:p>
      <w:pPr>
        <w:pStyle w:val="ListParagraph"/>
        <w:numPr>
          <w:ilvl w:val="0"/>
          <w:numId w:val="1"/>
        </w:numPr>
        <w:spacing w:after="60" w:line="264"/>
      </w:pPr>
      <w:r>
        <w:rPr>
          <w:b/>
          <w:bCs/>
        </w:rPr>
        <w:t xml:space="preserve">Assessor / operator / champion:</w:t>
      </w:r>
      <w:r>
        <w:t xml:space="preserve"> the Head of PMO (the founder), sole assessor, who scores, runs the 1-on-1s, reads the rollup, and acts on it (training plans, project assignment).</w:t>
      </w:r>
    </w:p>
    <w:p>
      <w:pPr>
        <w:pStyle w:val="ListParagraph"/>
        <w:numPr>
          <w:ilvl w:val="0"/>
          <w:numId w:val="1"/>
        </w:numPr>
        <w:spacing w:after="60" w:line="264"/>
      </w:pPr>
      <w:r>
        <w:rPr>
          <w:b/>
          <w:bCs/>
        </w:rPr>
        <w:t xml:space="preserve">Sponsor:</w:t>
      </w:r>
      <w:r>
        <w:t xml:space="preserve"> the Head of Strategy, who commissioned it as a business-plan item and to whom the program's completion is reported.</w:t>
      </w:r>
    </w:p>
    <w:p>
      <w:pPr>
        <w:spacing w:after="120" w:line="276"/>
        <w:jc w:val="both"/>
      </w:pPr>
      <w:r>
        <w:rPr>
          <w:b/>
          <w:bCs/>
        </w:rPr>
        <w:t xml:space="preserve">Narrowest wedge (chosen):</w:t>
      </w:r>
      <w:r>
        <w:t xml:space="preserve"> a single-framework prototype — ICB4 only. Build effort goes into the assessment loop: a PM self-scores online → manager scores → they agree → the PMO sees a live rollup. This is the smallest version that proves the two things software can do that the spreadsheet cannot: raise completion, and give the PMO a live population view.</w:t>
      </w:r>
    </w:p>
    <w:p>
      <w:pPr>
        <w:spacing w:after="120" w:line="276"/>
        <w:jc w:val="both"/>
      </w:pPr>
      <w:r>
        <w:rPr>
          <w:b/>
          <w:bCs/>
        </w:rPr>
        <w:t xml:space="preserve">Included: a single-framework admin editor.</w:t>
      </w:r>
      <w:r>
        <w:t xml:space="preserve"> Because the framework is still being tuned, the prototype includes an admin/owner screen to edit </w:t>
      </w:r>
      <w:r>
        <w:rPr>
          <w:i/>
          <w:iCs/>
        </w:rPr>
        <w:t xml:space="preserve">this one framework</w:t>
      </w:r>
      <w:r>
        <w:t xml:space="preserve"> — but scoped to the </w:t>
      </w:r>
      <w:r>
        <w:rPr>
          <w:b/>
          <w:bCs/>
        </w:rPr>
        <w:t xml:space="preserve">tunable layer</w:t>
      </w:r>
      <w:r>
        <w:t xml:space="preserve">, which is what your Excel already exposes as editable columns:</w:t>
      </w:r>
    </w:p>
    <w:p>
      <w:pPr>
        <w:pStyle w:val="ListParagraph"/>
        <w:numPr>
          <w:ilvl w:val="0"/>
          <w:numId w:val="1"/>
        </w:numPr>
        <w:spacing w:after="60" w:line="264"/>
      </w:pPr>
      <w:r>
        <w:t xml:space="preserve">set the required target level per indicator (and pick the active benchmark profile — Intermediate now)</w:t>
      </w:r>
    </w:p>
    <w:p>
      <w:pPr>
        <w:pStyle w:val="ListParagraph"/>
        <w:numPr>
          <w:ilvl w:val="0"/>
          <w:numId w:val="1"/>
        </w:numPr>
        <w:spacing w:after="60" w:line="264"/>
      </w:pPr>
      <w:r>
        <w:t xml:space="preserve">toggle each indicator active / inactive (with the written reason)</w:t>
      </w:r>
    </w:p>
    <w:p>
      <w:pPr>
        <w:pStyle w:val="ListParagraph"/>
        <w:numPr>
          <w:ilvl w:val="0"/>
          <w:numId w:val="1"/>
        </w:numPr>
        <w:spacing w:after="60" w:line="264"/>
      </w:pPr>
      <w:r>
        <w:t xml:space="preserve">set priority per indicator (high / medium / low)</w:t>
      </w:r>
    </w:p>
    <w:p>
      <w:pPr>
        <w:pStyle w:val="ListParagraph"/>
        <w:numPr>
          <w:ilvl w:val="0"/>
          <w:numId w:val="1"/>
        </w:numPr>
        <w:spacing w:after="60" w:line="264"/>
      </w:pPr>
      <w:r>
        <w:t xml:space="preserve">edit the </w:t>
      </w:r>
      <w:r>
        <w:rPr>
          <w:b/>
          <w:bCs/>
        </w:rPr>
        <w:t xml:space="preserve">KIB guidance</w:t>
      </w:r>
      <w:r>
        <w:t xml:space="preserve"> column and the reason/rationale text</w:t>
      </w:r>
    </w:p>
    <w:p>
      <w:pPr>
        <w:spacing w:after="120" w:line="276"/>
        <w:jc w:val="both"/>
      </w:pPr>
      <w:r>
        <w:rPr>
          <w:b/>
          <w:bCs/>
        </w:rPr>
        <w:t xml:space="preserve">Decided — ICB4 source text stays locked.</w:t>
      </w:r>
      <w:r>
        <w:t xml:space="preserve"> The editor never touches ICB4 indicator/description/measures text (preserves year-over-year comparison and the "reproduced as published" posture, per §7). Instead, each indicator carries an editable </w:t>
      </w:r>
      <w:r>
        <w:rPr>
          <w:b/>
          <w:bCs/>
        </w:rPr>
        <w:t xml:space="preserve">KIB additional-info / clarification field</w:t>
      </w:r>
      <w:r>
        <w:t xml:space="preserve"> alongside the source text — KIB context and plain-language clarifications, clearly marked as KIB's own, never replacing the framework text. This is the only free-text authoring in the prototype.</w:t>
      </w:r>
    </w:p>
    <w:p>
      <w:pPr>
        <w:spacing w:after="120" w:line="276"/>
        <w:jc w:val="both"/>
      </w:pPr>
      <w:r>
        <w:rPr>
          <w:b/>
          <w:bCs/>
        </w:rPr>
        <w:t xml:space="preserve">Explicitly still OUT:</w:t>
      </w:r>
      <w:r>
        <w:t xml:space="preserve"> a multi-framework </w:t>
      </w:r>
      <w:r>
        <w:rPr>
          <w:b/>
          <w:bCs/>
        </w:rPr>
        <w:t xml:space="preserve">authoring/import engine</w:t>
      </w:r>
      <w:r>
        <w:t xml:space="preserve"> — the ability to define a </w:t>
      </w:r>
      <w:r>
        <w:rPr>
          <w:i/>
          <w:iCs/>
        </w:rPr>
        <w:t xml:space="preserve">new</w:t>
      </w:r>
      <w:r>
        <w:t xml:space="preserve"> framework from scratch or import another org's. Editing the fields of the one framework you own is administration; a framework </w:t>
      </w:r>
      <w:r>
        <w:rPr>
          <w:i/>
          <w:iCs/>
        </w:rPr>
        <w:t xml:space="preserve">builder</w:t>
      </w:r>
      <w:r>
        <w:t xml:space="preserve"> is the platform, and it stays deferred until a pilot earns it. Hold this line so "tune my framework" does not quietly grow into "build the authoring platform."</w:t>
      </w:r>
    </w:p>
    <w:p>
      <w:pPr>
        <w:spacing w:after="120" w:line="276"/>
        <w:jc w:val="both"/>
      </w:pPr>
      <w:r>
        <w:rPr>
          <w:b/>
          <w:bCs/>
        </w:rPr>
        <w:t xml:space="preserve">Taxonomy mapping.</w:t>
      </w:r>
      <w:r>
        <w:t xml:space="preserve"> ICB4 nests under three competence </w:t>
      </w:r>
      <w:r>
        <w:rPr>
          <w:i/>
          <w:iCs/>
        </w:rPr>
        <w:t xml:space="preserve">areas</w:t>
      </w:r>
      <w:r>
        <w:t xml:space="preserve"> (Perspective / People / Practice), so it maps cleanly onto the generic domain → competency → indicator shape used by the long-term platform: competence </w:t>
      </w:r>
      <w:r>
        <w:rPr>
          <w:b/>
          <w:bCs/>
        </w:rPr>
        <w:t xml:space="preserve">area</w:t>
      </w:r>
      <w:r>
        <w:t xml:space="preserve"> → domain, competence </w:t>
      </w:r>
      <w:r>
        <w:rPr>
          <w:b/>
          <w:bCs/>
        </w:rPr>
        <w:t xml:space="preserve">element</w:t>
      </w:r>
      <w:r>
        <w:t xml:space="preserve"> (28) → competency, </w:t>
      </w:r>
      <w:r>
        <w:rPr>
          <w:b/>
          <w:bCs/>
        </w:rPr>
        <w:t xml:space="preserve">KCI</w:t>
      </w:r>
      <w:r>
        <w:t xml:space="preserve"> (132) → indicator. The prototype ships this one mapping only.</w:t>
      </w:r>
    </w:p>
    <w:p>
      <w:pPr>
        <w:spacing w:after="120" w:line="276"/>
        <w:jc w:val="both"/>
      </w:pPr>
      <w:r>
        <w:rPr>
          <w:b/>
          <w:bCs/>
        </w:rPr>
        <w:t xml:space="preserve">Prototype scope boundary.</w:t>
      </w:r>
      <w:r>
        <w:t xml:space="preserve"> The detailed data model, the self/manager/agreed state machine, the rollup computation, and the access-control matrix are deliberately left to </w:t>
      </w:r>
      <w:r>
        <w:rPr>
          <w:rFonts w:ascii="Consolas" w:cs="Consolas" w:eastAsia="Consolas" w:hAnsi="Consolas"/>
        </w:rPr>
        <w:t xml:space="preserve">/plan-eng-review</w:t>
      </w:r>
      <w:r>
        <w:t xml:space="preserve"> (the next step). This doc fixes the wedge and the constraints; it does not attempt to be the engineering spec. The items flagged below (rollup port, auth, access control) are named so they are not silently dropped in that handoff, not designed here.</w:t>
      </w:r>
    </w:p>
    <w:p>
      <w:pPr>
        <w:pStyle w:val="Heading1"/>
        <w:spacing w:after="80" w:before="260"/>
      </w:pPr>
      <w:r>
        <w:t xml:space="preserve">Constraints</w:t>
      </w:r>
    </w:p>
    <w:p>
      <w:pPr>
        <w:pStyle w:val="ListParagraph"/>
        <w:numPr>
          <w:ilvl w:val="0"/>
          <w:numId w:val="1"/>
        </w:numPr>
        <w:spacing w:after="60" w:line="264"/>
      </w:pPr>
      <w:r>
        <w:t xml:space="preserve">Prototype must be </w:t>
      </w:r>
      <w:r>
        <w:rPr>
          <w:b/>
          <w:bCs/>
        </w:rPr>
        <w:t xml:space="preserve">fast to build</w:t>
      </w:r>
      <w:r>
        <w:t xml:space="preserve"> and </w:t>
      </w:r>
      <w:r>
        <w:rPr>
          <w:b/>
          <w:bCs/>
        </w:rPr>
        <w:t xml:space="preserve">usable by real PMs this cycle</w:t>
      </w:r>
      <w:r>
        <w:t xml:space="preserve"> — not a platform buildout.</w:t>
      </w:r>
    </w:p>
    <w:p>
      <w:pPr>
        <w:pStyle w:val="ListParagraph"/>
        <w:numPr>
          <w:ilvl w:val="0"/>
          <w:numId w:val="1"/>
        </w:numPr>
        <w:spacing w:after="60" w:line="264"/>
      </w:pPr>
      <w:r>
        <w:t xml:space="preserve">Framework content is fixed: IPMA ICB4 v4.0.1, APM 0–5 Application scale, targets from the selected benchmark profile (default "Intermediate").</w:t>
      </w:r>
    </w:p>
    <w:p>
      <w:pPr>
        <w:pStyle w:val="ListParagraph"/>
        <w:numPr>
          <w:ilvl w:val="0"/>
          <w:numId w:val="1"/>
        </w:numPr>
        <w:spacing w:after="60" w:line="264"/>
      </w:pPr>
      <w:r>
        <w:t xml:space="preserve">Solo founder building with AI assistance; scope must fit that.</w:t>
      </w:r>
    </w:p>
    <w:p>
      <w:pPr>
        <w:pStyle w:val="ListParagraph"/>
        <w:numPr>
          <w:ilvl w:val="0"/>
          <w:numId w:val="1"/>
        </w:numPr>
        <w:spacing w:after="60" w:line="264"/>
      </w:pPr>
      <w:r>
        <w:rPr>
          <w:b/>
          <w:bCs/>
        </w:rPr>
        <w:t xml:space="preserve">Access control is a real requirement, not a convention.</w:t>
      </w:r>
      <w:r>
        <w:t xml:space="preserve"> The workbook's assessor-only content — the target level, priority, the "reason" rationale, the KIB guidance notes, and the APM mapping — is deleted before the file is issued to the PM. The app must enforce the equivalent: the PM's view excludes that content (and self-scores blind to targets) until the assessment reaches the agreed/locked state. This is an access-control requirement the eng-review must design, not an open question.</w:t>
      </w:r>
    </w:p>
    <w:p>
      <w:pPr>
        <w:pStyle w:val="ListParagraph"/>
        <w:numPr>
          <w:ilvl w:val="0"/>
          <w:numId w:val="1"/>
        </w:numPr>
        <w:spacing w:after="60" w:line="264"/>
      </w:pPr>
      <w:r>
        <w:rPr>
          <w:b/>
          <w:bCs/>
        </w:rPr>
        <w:t xml:space="preserve">Purpose fixes the tone: it supports a decision, never gates one.</w:t>
      </w:r>
      <w:r>
        <w:t xml:space="preserve"> The framework exists to (1) build each PM's training plan and (2) inform project assignment. Judgement stays human. The app must never render a pass/fail or approve/reject verdict — even the inherited control-level target must not read as a pass line (brief §10.2, still open).</w:t>
      </w:r>
    </w:p>
    <w:p>
      <w:pPr>
        <w:pStyle w:val="ListParagraph"/>
        <w:numPr>
          <w:ilvl w:val="0"/>
          <w:numId w:val="1"/>
        </w:numPr>
        <w:spacing w:after="60" w:line="264"/>
      </w:pPr>
      <w:r>
        <w:rPr>
          <w:b/>
          <w:bCs/>
        </w:rPr>
        <w:t xml:space="preserve">Rating scale — decided.</w:t>
      </w:r>
      <w:r>
        <w:t xml:space="preserve"> APM 0–5 for the prototype, built as a </w:t>
      </w:r>
      <w:r>
        <w:rPr>
          <w:b/>
          <w:bCs/>
        </w:rPr>
        <w:t xml:space="preserve">swappable module</w:t>
      </w:r>
      <w:r>
        <w:t xml:space="preserve"> so a PDCF variant can be added after cycle 1 and compared on real scoring data (per brief §6). Two confirmed refinements:</w:t>
      </w:r>
    </w:p>
    <w:p>
      <w:pPr>
        <w:pStyle w:val="ListParagraph"/>
        <w:numPr>
          <w:ilvl w:val="1"/>
          <w:numId w:val="1"/>
        </w:numPr>
        <w:spacing w:after="60" w:line="264"/>
      </w:pPr>
      <w:r>
        <w:rPr>
          <w:b/>
          <w:bCs/>
        </w:rPr>
        <w:t xml:space="preserve">Plain-language glosses.</w:t>
      </w:r>
      <w:r>
        <w:t xml:space="preserve"> Each level shows a plain, second-person helper text ("I need guidance…" / "I do this on my own…") beside the label; APM's canonical wording is preserved and reachable. The gloss must stay a </w:t>
      </w:r>
      <w:r>
        <w:rPr>
          <w:i/>
          <w:iCs/>
        </w:rPr>
        <w:t xml:space="preserve">faithful</w:t>
      </w:r>
      <w:r>
        <w:t xml:space="preserve"> restatement of the APM level (drift silently changes the scale). This captures PDCF's self-assessment ease without switching scales.</w:t>
      </w:r>
    </w:p>
    <w:p>
      <w:pPr>
        <w:pStyle w:val="ListParagraph"/>
        <w:numPr>
          <w:ilvl w:val="1"/>
          <w:numId w:val="1"/>
        </w:numPr>
        <w:spacing w:after="60" w:line="264"/>
      </w:pPr>
      <w:r>
        <w:rPr>
          <w:b/>
          <w:bCs/>
        </w:rPr>
        <w:t xml:space="preserve">Present level 0 as a separate "not applicable / no awareness" escape</w:t>
      </w:r>
      <w:r>
        <w:t xml:space="preserve">, so a PM effectively chooses among 5 substantive rungs (Aware→Expert) — "feels like 5" with zero target-layer change.</w:t>
      </w:r>
    </w:p>
    <w:p>
      <w:pPr>
        <w:pStyle w:val="ListParagraph"/>
        <w:numPr>
          <w:ilvl w:val="1"/>
          <w:numId w:val="1"/>
        </w:numPr>
        <w:spacing w:after="60" w:line="264"/>
      </w:pPr>
      <w:r>
        <w:t xml:space="preserve">Never hardwire APM; the rollup computes on stored 0–5 numbers, PM picks a label, never a number.</w:t>
      </w:r>
    </w:p>
    <w:p>
      <w:pPr>
        <w:pStyle w:val="ListParagraph"/>
        <w:numPr>
          <w:ilvl w:val="1"/>
          <w:numId w:val="1"/>
        </w:numPr>
        <w:spacing w:after="60" w:line="264"/>
      </w:pPr>
      <w:r>
        <w:rPr>
          <w:b/>
          <w:bCs/>
        </w:rPr>
        <w:t xml:space="preserve">Cost of switching the primary scale to PDCF (recorded, so it isn't re-litigated):</w:t>
      </w:r>
      <w:r>
        <w:t xml:space="preserve"> the </w:t>
      </w:r>
      <w:r>
        <w:rPr>
          <w:i/>
          <w:iCs/>
        </w:rPr>
        <w:t xml:space="preserve">code</w:t>
      </w:r>
      <w:r>
        <w:t xml:space="preserve"> cost is low (swappable module). The </w:t>
      </w:r>
      <w:r>
        <w:rPr>
          <w:i/>
          <w:iCs/>
        </w:rPr>
        <w:t xml:space="preserve">content</w:t>
      </w:r>
      <w:r>
        <w:t xml:space="preserve"> cost is high and unshortcuttable — PDCF has no published per-competence targets for ICB4, so all 132 targets lose their external anchor and become judgement calls; PDCF's 5 levels collapse APM's Practised/Competent (the supervised-vs-independent boundary where most KIB PMs sit), so every target is re-judged across that seam; the 14 APM benchmark profiles don't map to PDCF grades; thresholds re-tune. It costs weeks and the "targets are externally published, not opinion" defensibility. Verdict: don't switch the scale to get "5 not 6" — the glosses + level-0-as-escape already deliver that. Keep PDCF as a post-cycle-1 parallel variant, decided on real score distributions.</w:t>
      </w:r>
    </w:p>
    <w:p>
      <w:pPr>
        <w:pStyle w:val="ListParagraph"/>
        <w:numPr>
          <w:ilvl w:val="0"/>
          <w:numId w:val="1"/>
        </w:numPr>
        <w:spacing w:after="60" w:line="264"/>
      </w:pPr>
      <w:r>
        <w:rPr>
          <w:b/>
          <w:bCs/>
        </w:rPr>
        <w:t xml:space="preserve">Sharia-compliant bank: language constraint.</w:t>
      </w:r>
      <w:r>
        <w:t xml:space="preserve"> Never use "interest" in the financial sense anywhere in the UI or copy; use "profit rate", "rate of return", "return". Define technical terms on first use (plain-language house style).</w:t>
      </w:r>
    </w:p>
    <w:p>
      <w:pPr>
        <w:pStyle w:val="Heading1"/>
        <w:spacing w:after="80" w:before="260"/>
      </w:pPr>
      <w:r>
        <w:t xml:space="preserve">Premises</w:t>
      </w:r>
    </w:p>
    <w:p>
      <w:pPr>
        <w:pStyle w:val="ListParagraph"/>
        <w:numPr>
          <w:ilvl w:val="0"/>
          <w:numId w:val="3"/>
        </w:numPr>
        <w:spacing w:after="60" w:line="264"/>
      </w:pPr>
      <w:r>
        <w:rPr>
          <w:b/>
          <w:bCs/>
        </w:rPr>
        <w:t xml:space="preserve">The pain is in the assessment loop, not the authoring engine.</w:t>
      </w:r>
      <w:r>
        <w:t xml:space="preserve"> Every stated pain is about collecting, reconciling, rolling up, and trending assessments. None is about defining or importing frameworks. Building the generic import/define engine first is premature generalization — it is the seductive part to architect and the part nobody is feeling pain about.</w:t>
      </w:r>
    </w:p>
    <w:p>
      <w:pPr>
        <w:pStyle w:val="ListParagraph"/>
        <w:numPr>
          <w:ilvl w:val="0"/>
          <w:numId w:val="3"/>
        </w:numPr>
        <w:spacing w:after="60" w:line="264"/>
      </w:pPr>
      <w:r>
        <w:rPr>
          <w:b/>
          <w:bCs/>
        </w:rPr>
        <w:t xml:space="preserve">A sponsor mandate for the outcome is not a mandate for the platform.</w:t>
      </w:r>
      <w:r>
        <w:t xml:space="preserve"> The Excel already satisfies the mandate. Software must earn its existence on completion and rollup, or it is architecture in search of a problem.</w:t>
      </w:r>
    </w:p>
    <w:p>
      <w:pPr>
        <w:pStyle w:val="ListParagraph"/>
        <w:numPr>
          <w:ilvl w:val="0"/>
          <w:numId w:val="3"/>
        </w:numPr>
        <w:spacing w:after="60" w:line="264"/>
      </w:pPr>
      <w:r>
        <w:rPr>
          <w:b/>
          <w:bCs/>
        </w:rPr>
        <w:t xml:space="preserve">The right to sell a multi-framework platform is earned by delighting one organization with one framework first.</w:t>
      </w:r>
      <w:r>
        <w:t xml:space="preserve"> Generality is the last thing to add, not the first.</w:t>
      </w:r>
    </w:p>
    <w:p>
      <w:pPr>
        <w:pStyle w:val="ListParagraph"/>
        <w:numPr>
          <w:ilvl w:val="0"/>
          <w:numId w:val="3"/>
        </w:numPr>
        <w:spacing w:after="60" w:line="264"/>
      </w:pPr>
      <w:r>
        <w:rPr>
          <w:b/>
          <w:bCs/>
        </w:rPr>
        <w:t xml:space="preserve">Completion-rate improvement is the central product bet and is currently unobserved.</w:t>
      </w:r>
      <w:r>
        <w:t xml:space="preserve"> If PMs would finish the Excel just as readily, the strongest consumer-facing reason for the web app weakens.</w:t>
      </w:r>
    </w:p>
    <w:p>
      <w:pPr>
        <w:pStyle w:val="Heading1"/>
        <w:spacing w:after="80" w:before="260"/>
      </w:pPr>
      <w:r>
        <w:t xml:space="preserve">Approaches Considered</w:t>
      </w:r>
    </w:p>
    <w:p>
      <w:pPr>
        <w:pStyle w:val="Heading2"/>
        <w:spacing w:after="80" w:before="180"/>
      </w:pPr>
      <w:r>
        <w:t xml:space="preserve">Approach A: Single framework, hardcoded (CHOSEN)</w:t>
      </w:r>
    </w:p>
    <w:p>
      <w:pPr>
        <w:spacing w:after="120" w:line="276"/>
        <w:jc w:val="both"/>
      </w:pPr>
      <w:r>
        <w:t xml:space="preserve">ICB4 baked into the app. No authoring UI. All effort on the assessment loop and the PMO rollup. Fastest path to a real assessment with real PMs. Proves the two software-only values (completion, live rollup). Risk: a future second framework means real refactoring.</w:t>
      </w:r>
    </w:p>
    <w:p>
      <w:pPr>
        <w:pStyle w:val="Heading2"/>
        <w:spacing w:after="80" w:before="180"/>
      </w:pPr>
      <w:r>
        <w:t xml:space="preserve">Approach B: Generic import/define engine first</w:t>
      </w:r>
    </w:p>
    <w:p>
      <w:pPr>
        <w:spacing w:after="120" w:line="276"/>
        <w:jc w:val="both"/>
      </w:pPr>
      <w:r>
        <w:t xml:space="preserve">Build the framework schema (domain → competency → indicator → scoring) and authoring/import UI from day one; load ICB4 as the first example. Bets on the platform thesis before any organization is delighted. Slower to first real assessment; most of the initial build serves a need no one has voiced yet.</w:t>
      </w:r>
    </w:p>
    <w:p>
      <w:pPr>
        <w:pStyle w:val="Heading2"/>
        <w:spacing w:after="80" w:before="180"/>
      </w:pPr>
      <w:r>
        <w:t xml:space="preserve">Approach C: Config-driven data model, one framework, no authoring UI</w:t>
      </w:r>
    </w:p>
    <w:p>
      <w:pPr>
        <w:spacing w:after="120" w:line="276"/>
        <w:jc w:val="both"/>
      </w:pPr>
      <w:r>
        <w:t xml:space="preserve">Store the framework as data (not hardcoded constants) so the assessment loop reads it generically, but ship no import/authoring UI and only ever load ICB4. Near-zero extra cost over A, and it removes most of A's future-refactor risk without buying any of B's premature platform surface.</w:t>
      </w:r>
    </w:p>
    <w:p>
      <w:pPr>
        <w:pStyle w:val="Heading1"/>
        <w:spacing w:after="80" w:before="260"/>
      </w:pPr>
      <w:r>
        <w:t xml:space="preserve">Recommended Approach</w:t>
      </w:r>
    </w:p>
    <w:p>
      <w:pPr>
        <w:spacing w:after="120" w:line="276"/>
        <w:jc w:val="both"/>
      </w:pPr>
      <w:r>
        <w:t xml:space="preserve">Approach C, essentially — Approach A's discipline with C's config-driven storage, which the editable content and the swappable scale now </w:t>
      </w:r>
      <w:r>
        <w:rPr>
          <w:i/>
          <w:iCs/>
        </w:rPr>
        <w:t xml:space="preserve">require</w:t>
      </w:r>
      <w:r>
        <w:t xml:space="preserve"> rather than merely suggest: </w:t>
      </w:r>
      <w:r>
        <w:rPr>
          <w:b/>
          <w:bCs/>
        </w:rPr>
        <w:t xml:space="preserve">model the framework as seeded data, not hardcoded constants.</w:t>
      </w:r>
      <w:r>
        <w:t xml:space="preserve"> Ship a </w:t>
      </w:r>
      <w:r>
        <w:rPr>
          <w:b/>
          <w:bCs/>
        </w:rPr>
        <w:t xml:space="preserve">single-framework admin editor</w:t>
      </w:r>
      <w:r>
        <w:t xml:space="preserve"> over the tunable layer (target, active/inactive, priority, reason, and the KIB additional-info field) — but </w:t>
      </w:r>
      <w:r>
        <w:rPr>
          <w:b/>
          <w:bCs/>
        </w:rPr>
        <w:t xml:space="preserve">no multi-framework authoring or import engine</w:t>
      </w:r>
      <w:r>
        <w:t xml:space="preserve"> and no framework </w:t>
      </w:r>
      <w:r>
        <w:rPr>
          <w:i/>
          <w:iCs/>
        </w:rPr>
        <w:t xml:space="preserve">builder</w:t>
      </w:r>
      <w:r>
        <w:t xml:space="preserve">. User-facing scope stays narrow: one framework (ICB4), the assessment loop, the admin editor for that one framework, and the PMO rollup. The line to hold: nothing that exists only to serve "any framework, any org."</w:t>
      </w:r>
    </w:p>
    <w:p>
      <w:pPr>
        <w:spacing w:after="120" w:line="276"/>
        <w:jc w:val="both"/>
      </w:pPr>
      <w:r>
        <w:t xml:space="preserve">This is the </w:t>
      </w:r>
      <w:r>
        <w:rPr>
          <w:b/>
          <w:bCs/>
        </w:rPr>
        <w:t xml:space="preserve">one deliberate, cost-justified exception</w:t>
      </w:r>
      <w:r>
        <w:t xml:space="preserve"> to Premise 1's warning against premature generalization: config-driven storage plus single-framework admin editing builds no multi-framework platform surface, so it buys the tuning the founder actually needs (the framework and scale are still moving) without the trap the premise warns about. No import engine, no framework builder, no second framework — until a pilot earns them.</w:t>
      </w:r>
    </w:p>
    <w:p>
      <w:pPr>
        <w:spacing w:after="120" w:line="276"/>
        <w:jc w:val="both"/>
      </w:pPr>
      <w:r>
        <w:rPr>
          <w:b/>
          <w:bCs/>
        </w:rPr>
        <w:t xml:space="preserve">Reproduce, don't reinvent, the rollup.</w:t>
      </w:r>
      <w:r>
        <w:t xml:space="preserve"> The workbook's rollup — the weighted per-CE score, the Role-Ready / Minor-Gap / Capability-Deficit thresholds, the inactive-control handling, and the snapshot/versioning rules — is the real engineering in this prototype, not incidental CRUD. The Excel </w:t>
      </w:r>
      <w:r>
        <w:rPr>
          <w:rFonts w:ascii="Consolas" w:cs="Consolas" w:eastAsia="Consolas" w:hAnsi="Consolas"/>
        </w:rPr>
        <w:t xml:space="preserve">Results</w:t>
      </w:r>
      <w:r>
        <w:t xml:space="preserve">, </w:t>
      </w:r>
      <w:r>
        <w:rPr>
          <w:rFonts w:ascii="Consolas" w:cs="Consolas" w:eastAsia="Consolas" w:hAnsi="Consolas"/>
        </w:rPr>
        <w:t xml:space="preserve">Scale</w:t>
      </w:r>
      <w:r>
        <w:t xml:space="preserve">, and </w:t>
      </w:r>
      <w:r>
        <w:rPr>
          <w:rFonts w:ascii="Consolas" w:cs="Consolas" w:eastAsia="Consolas" w:hAnsi="Consolas"/>
        </w:rPr>
        <w:t xml:space="preserve">Framework</w:t>
      </w:r>
      <w:r>
        <w:t xml:space="preserve"> sheets are the authoritative spec to port; treat "port the rollup faithfully" as a distinct workstream in eng-review.</w:t>
      </w:r>
    </w:p>
    <w:p>
      <w:pPr>
        <w:pStyle w:val="Heading1"/>
        <w:spacing w:after="80" w:before="260"/>
      </w:pPr>
      <w:r>
        <w:t xml:space="preserve">Results &amp; Reporting Display</w:t>
      </w:r>
    </w:p>
    <w:p>
      <w:pPr>
        <w:spacing w:after="120" w:line="276"/>
        <w:jc w:val="both"/>
      </w:pPr>
      <w:r>
        <w:t xml:space="preserve">Carried from the handover brief §8 (settled) so the doc is complete. Reported by </w:t>
      </w:r>
      <w:r>
        <w:rPr>
          <w:b/>
          <w:bCs/>
        </w:rPr>
        <w:t xml:space="preserve">ICB4 competence element</w:t>
      </w:r>
      <w:r>
        <w:t xml:space="preserve"> (28 rows) — PMs are assessed by CE and reported by CE, no translation between what they answered and what they see. APM is the source of target </w:t>
      </w:r>
      <w:r>
        <w:rPr>
          <w:i/>
          <w:iCs/>
        </w:rPr>
        <w:t xml:space="preserve">values</w:t>
      </w:r>
      <w:r>
        <w:t xml:space="preserve">, not of the reporting structure.</w:t>
      </w:r>
    </w:p>
    <w:p>
      <w:pPr>
        <w:spacing w:after="120" w:line="276"/>
        <w:jc w:val="both"/>
      </w:pPr>
      <w:r>
        <w:t xml:space="preserve">Per-person results layout:</w:t>
      </w:r>
    </w:p>
    <w:p>
      <w:pPr>
        <w:pStyle w:val="ListParagraph"/>
        <w:numPr>
          <w:ilvl w:val="0"/>
          <w:numId w:val="4"/>
        </w:numPr>
        <w:spacing w:after="60" w:line="264"/>
      </w:pPr>
      <w:r>
        <w:rPr>
          <w:b/>
          <w:bCs/>
        </w:rPr>
        <w:t xml:space="preserve">Header</w:t>
      </w:r>
      <w:r>
        <w:t xml:space="preserve"> — name, date, benchmark profile applied, cycle.</w:t>
      </w:r>
    </w:p>
    <w:p>
      <w:pPr>
        <w:pStyle w:val="ListParagraph"/>
        <w:numPr>
          <w:ilvl w:val="0"/>
          <w:numId w:val="4"/>
        </w:numPr>
        <w:spacing w:after="60" w:line="264"/>
      </w:pPr>
      <w:r>
        <w:rPr>
          <w:b/>
          <w:bCs/>
        </w:rPr>
        <w:t xml:space="preserve">Area summary</w:t>
      </w:r>
      <w:r>
        <w:t xml:space="preserve"> — three horizontal bars: Perspective / People / Practice.</w:t>
      </w:r>
    </w:p>
    <w:p>
      <w:pPr>
        <w:pStyle w:val="ListParagraph"/>
        <w:numPr>
          <w:ilvl w:val="0"/>
          <w:numId w:val="4"/>
        </w:numPr>
        <w:spacing w:after="60" w:line="264"/>
      </w:pPr>
      <w:r>
        <w:rPr>
          <w:b/>
          <w:bCs/>
        </w:rPr>
        <w:t xml:space="preserve">Competence detail</w:t>
      </w:r>
      <w:r>
        <w:t xml:space="preserve"> — bar-on-bar, </w:t>
      </w:r>
      <w:r>
        <w:rPr>
          <w:b/>
          <w:bCs/>
        </w:rPr>
        <w:t xml:space="preserve">actual vs target</w:t>
      </w:r>
      <w:r>
        <w:t xml:space="preserve">, on the 0–5 scale.</w:t>
      </w:r>
    </w:p>
    <w:p>
      <w:pPr>
        <w:pStyle w:val="ListParagraph"/>
        <w:numPr>
          <w:ilvl w:val="0"/>
          <w:numId w:val="4"/>
        </w:numPr>
        <w:spacing w:after="60" w:line="264"/>
      </w:pPr>
      <w:r>
        <w:rPr>
          <w:b/>
          <w:bCs/>
        </w:rPr>
        <w:t xml:space="preserve">Gap list</w:t>
      </w:r>
      <w:r>
        <w:t xml:space="preserve"> — sorted by gap size: CE, target, actual, weakest control, 3-tier status (Role Ready / Minor Gap / Capability Deficit).</w:t>
      </w:r>
    </w:p>
    <w:p>
      <w:pPr>
        <w:pStyle w:val="ListParagraph"/>
        <w:numPr>
          <w:ilvl w:val="0"/>
          <w:numId w:val="4"/>
        </w:numPr>
        <w:spacing w:after="60" w:line="264"/>
      </w:pPr>
      <w:r>
        <w:rPr>
          <w:b/>
          <w:bCs/>
        </w:rPr>
        <w:t xml:space="preserve">Narrative lines</w:t>
      </w:r>
      <w:r>
        <w:t xml:space="preserve"> — formula-driven, one above each chart.</w:t>
      </w:r>
    </w:p>
    <w:p>
      <w:pPr>
        <w:spacing w:after="120" w:line="276"/>
        <w:jc w:val="both"/>
      </w:pPr>
      <w:r>
        <w:t xml:space="preserve">Display rules (from §7 / §8):</w:t>
      </w:r>
    </w:p>
    <w:p>
      <w:pPr>
        <w:pStyle w:val="ListParagraph"/>
        <w:numPr>
          <w:ilvl w:val="0"/>
          <w:numId w:val="1"/>
        </w:numPr>
        <w:spacing w:after="60" w:line="264"/>
      </w:pPr>
      <w:r>
        <w:rPr>
          <w:b/>
          <w:bCs/>
        </w:rPr>
        <w:t xml:space="preserve">No radar chart</w:t>
      </w:r>
      <w:r>
        <w:t xml:space="preserve"> — 28 axes is unreadable; a sorted bar list answers "where are the gaps" better.</w:t>
      </w:r>
    </w:p>
    <w:p>
      <w:pPr>
        <w:pStyle w:val="ListParagraph"/>
        <w:numPr>
          <w:ilvl w:val="0"/>
          <w:numId w:val="1"/>
        </w:numPr>
        <w:spacing w:after="60" w:line="264"/>
      </w:pPr>
      <w:r>
        <w:rPr>
          <w:b/>
          <w:bCs/>
        </w:rPr>
        <w:t xml:space="preserve">Numbers, not percentages, on results charts</w:t>
      </w:r>
      <w:r>
        <w:t xml:space="preserve"> (0–5 scale). Converting a 6-point label scale to a percentage implies equal intervals that don't exist. Labels are used in the scoring interface; numbers appear on the results charts.</w:t>
      </w:r>
    </w:p>
    <w:p>
      <w:pPr>
        <w:pStyle w:val="ListParagraph"/>
        <w:numPr>
          <w:ilvl w:val="0"/>
          <w:numId w:val="1"/>
        </w:numPr>
        <w:spacing w:after="60" w:line="264"/>
      </w:pPr>
      <w:r>
        <w:rPr>
          <w:b/>
          <w:bCs/>
        </w:rPr>
        <w:t xml:space="preserve">Actual = mean of Agreed scores across the CE's active controls</w:t>
      </w:r>
      <w:r>
        <w:t xml:space="preserve">, with the </w:t>
      </w:r>
      <w:r>
        <w:rPr>
          <w:b/>
          <w:bCs/>
        </w:rPr>
        <w:t xml:space="preserve">weakest control shown alongside</w:t>
      </w:r>
      <w:r>
        <w:t xml:space="preserve"> so a single serious gap isn't absorbed by the average. Inactive controls contribute nothing, regardless of any score.</w:t>
      </w:r>
    </w:p>
    <w:p>
      <w:pPr>
        <w:pStyle w:val="ListParagraph"/>
        <w:numPr>
          <w:ilvl w:val="0"/>
          <w:numId w:val="1"/>
        </w:numPr>
        <w:spacing w:after="60" w:line="264"/>
      </w:pPr>
      <w:r>
        <w:rPr>
          <w:b/>
          <w:bCs/>
        </w:rPr>
        <w:t xml:space="preserve">Targets are not rolled up</w:t>
      </w:r>
      <w:r>
        <w:t xml:space="preserve"> — they are APM's published values. Where a CE spans two APM competences with different values, the row shows the dominant value.</w:t>
      </w:r>
    </w:p>
    <w:p>
      <w:pPr>
        <w:pStyle w:val="ListParagraph"/>
        <w:numPr>
          <w:ilvl w:val="0"/>
          <w:numId w:val="1"/>
        </w:numPr>
        <w:spacing w:after="60" w:line="264"/>
      </w:pPr>
      <w:r>
        <w:rPr>
          <w:b/>
          <w:bCs/>
        </w:rPr>
        <w:t xml:space="preserve">Provenance is not shown in results</w:t>
      </w:r>
      <w:r>
        <w:t xml:space="preserve"> — the report shows target vs actual; where a target came from (APM-published vs KIB-derived) lives on the Controls data only.</w:t>
      </w:r>
    </w:p>
    <w:p>
      <w:pPr>
        <w:spacing w:after="120" w:line="276"/>
        <w:jc w:val="both"/>
      </w:pPr>
      <w:r>
        <w:rPr>
          <w:b/>
          <w:bCs/>
        </w:rPr>
        <w:t xml:space="preserve">Reference grammar:</w:t>
      </w:r>
      <w:r>
        <w:t xml:space="preserve"> the Provek/APM PMA individual report — bar-on-bar with benchmark overlay, a narrative line above each chart, and a recommended-development table turning findings into action. Take the bar-on-bar, the narrative lines, and the development table; leave the rest (three of its four dimensions are </w:t>
      </w:r>
      <w:r>
        <w:rPr>
          <w:i/>
          <w:iCs/>
        </w:rPr>
        <w:t xml:space="preserve">tested</w:t>
      </w:r>
      <w:r>
        <w:t xml:space="preserve"> instruments, not self-report, so they have no data here).</w:t>
      </w:r>
    </w:p>
    <w:p>
      <w:pPr>
        <w:pStyle w:val="Heading1"/>
        <w:spacing w:after="80" w:before="260"/>
      </w:pPr>
      <w:r>
        <w:t xml:space="preserve">Open Questions</w:t>
      </w:r>
    </w:p>
    <w:p>
      <w:pPr>
        <w:pStyle w:val="ListParagraph"/>
        <w:numPr>
          <w:ilvl w:val="0"/>
          <w:numId w:val="5"/>
        </w:numPr>
        <w:spacing w:after="60" w:line="264"/>
      </w:pPr>
      <w:r>
        <w:rPr>
          <w:b/>
          <w:bCs/>
        </w:rPr>
        <w:t xml:space="preserve">What decision does the PMO rollup drive?</w:t>
      </w:r>
      <w:r>
        <w:t xml:space="preserve"> Training budget, promotion, staffing on complex projects? The rollup's design should serve that decision. Confirm it with the Head of PMO before building the dashboard.</w:t>
      </w:r>
    </w:p>
    <w:p>
      <w:pPr>
        <w:pStyle w:val="ListParagraph"/>
        <w:numPr>
          <w:ilvl w:val="0"/>
          <w:numId w:val="5"/>
        </w:numPr>
        <w:spacing w:after="60" w:line="264"/>
      </w:pPr>
      <w:r>
        <w:rPr>
          <w:b/>
          <w:bCs/>
        </w:rPr>
        <w:t xml:space="preserve">Does the online form actually raise completion?</w:t>
      </w:r>
      <w:r>
        <w:t xml:space="preserve"> (See The Assignment.)</w:t>
      </w:r>
    </w:p>
    <w:p>
      <w:pPr>
        <w:pStyle w:val="ListParagraph"/>
        <w:numPr>
          <w:ilvl w:val="0"/>
          <w:numId w:val="5"/>
        </w:numPr>
        <w:spacing w:after="60" w:line="264"/>
      </w:pPr>
      <w:r>
        <w:rPr>
          <w:b/>
          <w:bCs/>
        </w:rPr>
        <w:t xml:space="preserve">Disagreement path.</w:t>
      </w:r>
      <w:r>
        <w:t xml:space="preserve"> The self → manager → agreed flow assumes the 1-on-1 always lands on an agreed score. What happens when it doesn't — manager override, escalation to the Head of PMO, or leave-as-gap? Decide the tie-break before build.</w:t>
      </w:r>
    </w:p>
    <w:p>
      <w:pPr>
        <w:pStyle w:val="ListParagraph"/>
        <w:numPr>
          <w:ilvl w:val="0"/>
          <w:numId w:val="5"/>
        </w:numPr>
        <w:spacing w:after="60" w:line="264"/>
      </w:pPr>
      <w:r>
        <w:rPr>
          <w:b/>
          <w:bCs/>
        </w:rPr>
        <w:t xml:space="preserve">Auth — position taken, not just flagged.</w:t>
      </w:r>
      <w:r>
        <w:t xml:space="preserve"> SSO/AD integration is a classic solo-founder time sink and the likeliest thing to blow the "usable this cycle" goal. </w:t>
      </w:r>
      <w:r>
        <w:rPr>
          <w:b/>
          <w:bCs/>
        </w:rPr>
        <w:t xml:space="preserve">Recommendation: ship the pilot on a simple allowlist of individually whitelisted email addresses (you add specific people — not limited to KIB domains), and defer SSO/AD until after the pilot proves value.</w:t>
      </w:r>
      <w:r>
        <w:t xml:space="preserve"> Overturn this only if KIB security policy forbids a non-SSO app touching this data — confirm that with the Head of PMO. Note that auth and the access-control requirement together (not either alone) are the pairing most likely to break the timeline, since "blind until agreed" must be enforced at the API layer, not just the UI.</w:t>
      </w:r>
    </w:p>
    <w:p>
      <w:pPr>
        <w:spacing w:after="120" w:line="276"/>
        <w:jc w:val="both"/>
      </w:pPr>
      <w:r>
        <w:t xml:space="preserve">(Note: access control and config-driven storage were open questions in an earlier draft; both are now settled above — access control as a Constraint requirement, storage as config-driven seed data under Recommended Approach.)</w:t>
      </w:r>
    </w:p>
    <w:p>
      <w:pPr>
        <w:pStyle w:val="Heading1"/>
        <w:spacing w:after="80" w:before="260"/>
      </w:pPr>
      <w:r>
        <w:t xml:space="preserve">Success Criteria</w:t>
      </w:r>
    </w:p>
    <w:p>
      <w:pPr>
        <w:pStyle w:val="ListParagraph"/>
        <w:numPr>
          <w:ilvl w:val="0"/>
          <w:numId w:val="1"/>
        </w:numPr>
        <w:spacing w:after="60" w:line="264"/>
      </w:pPr>
      <w:r>
        <w:t xml:space="preserve">One full assessment cycle completed </w:t>
      </w:r>
      <w:r>
        <w:rPr>
          <w:b/>
          <w:bCs/>
        </w:rPr>
        <w:t xml:space="preserve">online</w:t>
      </w:r>
      <w:r>
        <w:t xml:space="preserve"> by the KIB PM pilot cohort: self-score → manager score → agreed score, for every active control.</w:t>
      </w:r>
    </w:p>
    <w:p>
      <w:pPr>
        <w:pStyle w:val="ListParagraph"/>
        <w:numPr>
          <w:ilvl w:val="0"/>
          <w:numId w:val="1"/>
        </w:numPr>
        <w:spacing w:after="60" w:line="264"/>
      </w:pPr>
      <w:r>
        <w:rPr>
          <w:b/>
          <w:bCs/>
        </w:rPr>
        <w:t xml:space="preserve">Completion:</w:t>
      </w:r>
      <w:r>
        <w:t xml:space="preserve"> measurably higher share of invited PMs finish without chasing, versus the Excel baseline (record the baseline first).</w:t>
      </w:r>
    </w:p>
    <w:p>
      <w:pPr>
        <w:pStyle w:val="ListParagraph"/>
        <w:numPr>
          <w:ilvl w:val="0"/>
          <w:numId w:val="1"/>
        </w:numPr>
        <w:spacing w:after="60" w:line="264"/>
      </w:pPr>
      <w:r>
        <w:rPr>
          <w:b/>
          <w:bCs/>
        </w:rPr>
        <w:t xml:space="preserve">PMO rollup:</w:t>
      </w:r>
      <w:r>
        <w:t xml:space="preserve"> the Head of PMO sees the live 28-CE capability profile (Role-Ready / Minor-Gap / Capability-Deficit) with no manual file merging.</w:t>
      </w:r>
    </w:p>
    <w:p>
      <w:pPr>
        <w:pStyle w:val="ListParagraph"/>
        <w:numPr>
          <w:ilvl w:val="0"/>
          <w:numId w:val="1"/>
        </w:numPr>
        <w:spacing w:after="60" w:line="264"/>
      </w:pPr>
      <w:r>
        <w:rPr>
          <w:b/>
          <w:bCs/>
        </w:rPr>
        <w:t xml:space="preserve">Time-to-insight:</w:t>
      </w:r>
      <w:r>
        <w:t xml:space="preserve"> from "assessment window closes" to "PMO sees results" drops from days of chasing-and-merging to near-real-time.</w:t>
      </w:r>
    </w:p>
    <w:p>
      <w:pPr>
        <w:pStyle w:val="Heading1"/>
        <w:spacing w:after="80" w:before="260"/>
      </w:pPr>
      <w:r>
        <w:t xml:space="preserve">Distribution Plan</w:t>
      </w:r>
    </w:p>
    <w:p>
      <w:pPr>
        <w:spacing w:after="120" w:line="276"/>
        <w:jc w:val="both"/>
      </w:pPr>
      <w:r>
        <w:t xml:space="preserve">Internal web service for the pilot (single tenant, KIB PMO). Deployment pipeline to be defined at build time — likely a single hosted app, access controlled by an allowlist of individually whitelisted email addresses. Multi-tenant SaaS and public subscription are out of scope for the prototype, gated behind a delighted pilot.</w:t>
      </w:r>
    </w:p>
    <w:p>
      <w:pPr>
        <w:pStyle w:val="Heading1"/>
        <w:spacing w:after="80" w:before="260"/>
      </w:pPr>
      <w:r>
        <w:t xml:space="preserve">Dependencies</w:t>
      </w:r>
    </w:p>
    <w:p>
      <w:pPr>
        <w:pStyle w:val="ListParagraph"/>
        <w:numPr>
          <w:ilvl w:val="0"/>
          <w:numId w:val="1"/>
        </w:numPr>
        <w:spacing w:after="60" w:line="264"/>
      </w:pPr>
      <w:r>
        <w:t xml:space="preserve">The ICB4 framework content (the "Framework" sheet) as the seed dataset: 28 competence elements and </w:t>
      </w:r>
      <w:r>
        <w:rPr>
          <w:b/>
          <w:bCs/>
        </w:rPr>
        <w:t xml:space="preserve">133 KCIs total — 132 active, 1 inactive</w:t>
      </w:r>
      <w:r>
        <w:t xml:space="preserve"> (the seed must include the inactive control so the inactive-handling logic has data to operate on; inactive controls contribute nothing to any rollup or gap). Plus the APM 0–5 scale, per-CE targets, the Measures reference set, and the Results rollup rules.</w:t>
      </w:r>
    </w:p>
    <w:p>
      <w:pPr>
        <w:pStyle w:val="ListParagraph"/>
        <w:numPr>
          <w:ilvl w:val="0"/>
          <w:numId w:val="1"/>
        </w:numPr>
        <w:spacing w:after="60" w:line="264"/>
      </w:pPr>
      <w:r>
        <w:t xml:space="preserve">Confirmation from the Head of PMO on what the rollup is used to decide.</w:t>
      </w:r>
    </w:p>
    <w:p>
      <w:pPr>
        <w:pStyle w:val="ListParagraph"/>
        <w:numPr>
          <w:ilvl w:val="0"/>
          <w:numId w:val="1"/>
        </w:numPr>
        <w:spacing w:after="60" w:line="264"/>
      </w:pPr>
      <w:r>
        <w:t xml:space="preserve">A named pilot cohort of PMs and their managers.</w:t>
      </w:r>
    </w:p>
    <w:p>
      <w:pPr>
        <w:pStyle w:val="Heading1"/>
        <w:spacing w:after="80" w:before="260"/>
      </w:pPr>
      <w:r>
        <w:t xml:space="preserve">The Assignment</w:t>
      </w:r>
    </w:p>
    <w:p>
      <w:pPr>
        <w:spacing w:after="120" w:line="276"/>
        <w:jc w:val="both"/>
      </w:pPr>
      <w:r>
        <w:t xml:space="preserve">Don't run a throwaway Excel exercise with your PMs — that double-works them and wastes their time. The online cycle </w:t>
      </w:r>
      <w:r>
        <w:rPr>
          <w:i/>
          <w:iCs/>
        </w:rPr>
        <w:t xml:space="preserve">is</w:t>
      </w:r>
      <w:r>
        <w:t xml:space="preserve"> the test. Two low-cost steps instead:</w:t>
      </w:r>
    </w:p>
    <w:p>
      <w:pPr>
        <w:pStyle w:val="ListParagraph"/>
        <w:numPr>
          <w:ilvl w:val="0"/>
          <w:numId w:val="6"/>
        </w:numPr>
        <w:spacing w:after="60" w:line="264"/>
      </w:pPr>
      <w:r>
        <w:rPr>
          <w:b/>
          <w:bCs/>
        </w:rPr>
        <w:t xml:space="preserve">Instrument the prototype to measure completion for real.</w:t>
      </w:r>
      <w:r>
        <w:t xml:space="preserve"> Build the app so cycle 1 captures, per PM: whether they finished, and median time-to-complete. No parallel Excel run needed — the numbers come from the tool itself.</w:t>
      </w:r>
    </w:p>
    <w:p>
      <w:pPr>
        <w:pStyle w:val="ListParagraph"/>
        <w:numPr>
          <w:ilvl w:val="0"/>
          <w:numId w:val="6"/>
        </w:numPr>
        <w:spacing w:after="60" w:line="264"/>
      </w:pPr>
      <w:r>
        <w:rPr>
          <w:b/>
          <w:bCs/>
        </w:rPr>
        <w:t xml:space="preserve">Set a cheap baseline from what you already know</w:t>
      </w:r>
      <w:r>
        <w:t xml:space="preserve"> (5 minutes at your desk, zero PM time): has any prior assessment or form-filling exercise with this team had completion or lateness problems? If yes, completion is a real wedge worth building for. If people generally finish what you send them, your wedge is the PMO rollup and the structured self/manager/agreed flow, not completion — and that tells you where to put effort first.</w:t>
      </w:r>
    </w:p>
    <w:p>
      <w:pPr>
        <w:spacing w:after="120" w:line="276"/>
        <w:jc w:val="both"/>
      </w:pPr>
      <w:r>
        <w:t xml:space="preserve">The point isn't the spreadsheet; it's knowing </w:t>
      </w:r>
      <w:r>
        <w:rPr>
          <w:i/>
          <w:iCs/>
        </w:rPr>
        <w:t xml:space="preserve">before you over-invest</w:t>
      </w:r>
      <w:r>
        <w:t xml:space="preserve"> whether completion is the problem the software is solving here, or whether the rollup is.</w:t>
      </w:r>
    </w:p>
    <w:p>
      <w:pPr>
        <w:pStyle w:val="Heading1"/>
        <w:spacing w:after="80" w:before="260"/>
      </w:pPr>
      <w:r>
        <w:t xml:space="preserve">What I noticed about how you think</w:t>
      </w:r>
    </w:p>
    <w:p>
      <w:pPr>
        <w:pStyle w:val="ListParagraph"/>
        <w:numPr>
          <w:ilvl w:val="0"/>
          <w:numId w:val="1"/>
        </w:numPr>
        <w:spacing w:after="60" w:line="264"/>
      </w:pPr>
      <w:r>
        <w:t xml:space="preserve">You paired a big long-term vision with a deliberately small first step ("the end goal is much bigger… but would need to test it with a prototype"). That is the hard combination to hold: most people either over-scope to the grand vision and never ship, or start small and never aim high. You did both at once.</w:t>
      </w:r>
    </w:p>
    <w:p>
      <w:pPr>
        <w:pStyle w:val="ListParagraph"/>
        <w:numPr>
          <w:ilvl w:val="0"/>
          <w:numId w:val="1"/>
        </w:numPr>
        <w:spacing w:after="60" w:line="264"/>
      </w:pPr>
      <w:r>
        <w:t xml:space="preserve">Offered the more impressive option — a generic import engine — you chose "single framework, hardcoded" without hesitating. You resisted the architecture that would have felt like building "a platform." That instinct is the whole game this early.</w:t>
      </w:r>
    </w:p>
    <w:p>
      <w:pPr>
        <w:pStyle w:val="ListParagraph"/>
        <w:numPr>
          <w:ilvl w:val="0"/>
          <w:numId w:val="1"/>
        </w:numPr>
        <w:spacing w:after="60" w:line="264"/>
      </w:pPr>
      <w:r>
        <w:t xml:space="preserve">Your sharpest product insight was behavioral, not technical: "doing the assessment online will help the project managers finish it vs sitting and filling out an excel sheet at their desk." That's the real thesis. Right now it's a hunch — which is exactly why it's this session's assignment.</w:t>
      </w:r>
    </w:p>
    <w:sectPr>
      <w:pgSz w:w="12240" w:h="15840" w:orient="portrait"/>
      <w:pgMar w:top="1180" w:right="1440" w:bottom="11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60" w:hanging="260"/>
      </w:pPr>
    </w:lvl>
  </w:abstractNum>
  <w:abstractNum w:abstractNumId="3" w15:restartNumberingAfterBreak="0">
    <w:multiLevelType w:val="hybridMultilevel"/>
    <w:lvl w:ilvl="0" w15:tentative="1">
      <w:start w:val="1"/>
      <w:numFmt w:val="decimal"/>
      <w:lvlText w:val="%1."/>
      <w:lvlJc w:val="start"/>
      <w:pPr>
        <w:ind w:left="460" w:hanging="260"/>
      </w:pPr>
    </w:lvl>
  </w:abstractNum>
  <w:abstractNum w:abstractNumId="4" w15:restartNumberingAfterBreak="0">
    <w:multiLevelType w:val="hybridMultilevel"/>
    <w:lvl w:ilvl="0" w15:tentative="1">
      <w:start w:val="1"/>
      <w:numFmt w:val="decimal"/>
      <w:lvlText w:val="%1."/>
      <w:lvlJc w:val="start"/>
      <w:pPr>
        <w:ind w:left="460" w:hanging="260"/>
      </w:pPr>
    </w:lvl>
  </w:abstractNum>
  <w:abstractNum w:abstractNumId="5" w15:restartNumberingAfterBreak="0">
    <w:multiLevelType w:val="hybridMultilevel"/>
    <w:lvl w:ilvl="0" w15:tentative="1">
      <w:start w:val="1"/>
      <w:numFmt w:val="decimal"/>
      <w:lvlText w:val="%1."/>
      <w:lvlJc w:val="start"/>
      <w:pPr>
        <w:ind w:left="460" w:hanging="260"/>
      </w:pPr>
    </w:lvl>
  </w:abstractNum>
  <w:abstractNum w:abstractNumId="6" w15:restartNumberingAfterBreak="0">
    <w:multiLevelType w:val="hybridMultilevel"/>
    <w:lvl w:ilvl="0" w15:tentative="1">
      <w:start w:val="1"/>
      <w:numFmt w:val="decimal"/>
      <w:lvlText w:val="%1."/>
      <w:lvlJc w:val="start"/>
      <w:pPr>
        <w:ind w:left="460" w:hanging="260"/>
      </w:pPr>
    </w:lvl>
  </w:abstractNum>
  <w:abstractNum w:abstractNumId="7" w15:restartNumberingAfterBreak="0">
    <w:multiLevelType w:val="hybridMultilevel"/>
    <w:lvl w:ilvl="0" w15:tentative="1">
      <w:start w:val="1"/>
      <w:numFmt w:val="decimal"/>
      <w:lvlText w:val="%1."/>
      <w:lvlJc w:val="start"/>
      <w:pPr>
        <w:ind w:left="460" w:hanging="260"/>
      </w:pPr>
    </w:lvl>
  </w:abstractNum>
  <w:abstractNum w:abstractNumId="8" w15:restartNumberingAfterBreak="0">
    <w:multiLevelType w:val="hybridMultilevel"/>
    <w:lvl w:ilvl="0" w15:tentative="1">
      <w:start w:val="1"/>
      <w:numFmt w:val="decimal"/>
      <w:lvlText w:val="%1."/>
      <w:lvlJc w:val="start"/>
      <w:pPr>
        <w:ind w:left="460" w:hanging="260"/>
      </w:pPr>
    </w:lvl>
  </w:abstractNum>
  <w:abstractNum w:abstractNumId="9" w15:restartNumberingAfterBreak="0">
    <w:multiLevelType w:val="hybridMultilevel"/>
    <w:lvl w:ilvl="0" w15:tentative="1">
      <w:start w:val="1"/>
      <w:numFmt w:val="decimal"/>
      <w:lvlText w:val="%1."/>
      <w:lvlJc w:val="start"/>
      <w:pPr>
        <w:ind w:left="460" w:hanging="260"/>
      </w:pPr>
    </w:lvl>
  </w:abstractNum>
  <w:abstractNum w:abstractNumId="10" w15:restartNumberingAfterBreak="0">
    <w:multiLevelType w:val="hybridMultilevel"/>
    <w:lvl w:ilvl="0" w15:tentative="1">
      <w:start w:val="1"/>
      <w:numFmt w:val="decimal"/>
      <w:lvlText w:val="%1."/>
      <w:lvlJc w:val="start"/>
      <w:pPr>
        <w:ind w:left="460" w:hanging="260"/>
      </w:pPr>
    </w:lvl>
  </w:abstractNum>
  <w:abstractNum w:abstractNumId="11" w15:restartNumberingAfterBreak="0">
    <w:multiLevelType w:val="hybridMultilevel"/>
    <w:lvl w:ilvl="0" w15:tentative="1">
      <w:start w:val="1"/>
      <w:numFmt w:val="decimal"/>
      <w:lvlText w:val="%1."/>
      <w:lvlJc w:val="start"/>
      <w:pPr>
        <w:ind w:left="460" w:hanging="260"/>
      </w:pPr>
    </w:lvl>
  </w:abstractNum>
  <w:abstractNum w:abstractNumId="12" w15:restartNumberingAfterBreak="0">
    <w:multiLevelType w:val="hybridMultilevel"/>
    <w:lvl w:ilvl="0" w15:tentative="1">
      <w:start w:val="1"/>
      <w:numFmt w:val="decimal"/>
      <w:lvlText w:val="%1."/>
      <w:lvlJc w:val="start"/>
      <w:pPr>
        <w:ind w:left="460" w:hanging="260"/>
      </w:pPr>
    </w:lvl>
  </w:abstractNum>
  <w:abstractNum w:abstractNumId="13" w15:restartNumberingAfterBreak="0">
    <w:multiLevelType w:val="hybridMultilevel"/>
    <w:lvl w:ilvl="0" w15:tentative="1">
      <w:start w:val="1"/>
      <w:numFmt w:val="decimal"/>
      <w:lvlText w:val="%1."/>
      <w:lvlJc w:val="start"/>
      <w:pPr>
        <w:ind w:left="460" w:hanging="260"/>
      </w:pPr>
    </w:lvl>
  </w:abstractNum>
  <w:abstractNum w:abstractNumId="14" w15:restartNumberingAfterBreak="0">
    <w:multiLevelType w:val="hybridMultilevel"/>
    <w:lvl w:ilvl="0" w15:tentative="1">
      <w:start w:val="1"/>
      <w:numFmt w:val="decimal"/>
      <w:lvlText w:val="%1."/>
      <w:lvlJc w:val="start"/>
      <w:pPr>
        <w:ind w:left="460" w:hanging="260"/>
      </w:pPr>
    </w:lvl>
  </w:abstractNum>
  <w:abstractNum w:abstractNumId="15" w15:restartNumberingAfterBreak="0">
    <w:multiLevelType w:val="hybridMultilevel"/>
    <w:lvl w:ilvl="0" w15:tentative="1">
      <w:start w:val="1"/>
      <w:numFmt w:val="decimal"/>
      <w:lvlText w:val="%1."/>
      <w:lvlJc w:val="start"/>
      <w:pPr>
        <w:ind w:left="460" w:hanging="260"/>
      </w:pPr>
    </w:lvl>
  </w:abstractNum>
  <w:abstractNum w:abstractNumId="16" w15:restartNumberingAfterBreak="0">
    <w:multiLevelType w:val="hybridMultilevel"/>
    <w:lvl w:ilvl="0" w15:tentative="1">
      <w:start w:val="1"/>
      <w:numFmt w:val="decimal"/>
      <w:lvlText w:val="%1."/>
      <w:lvlJc w:val="start"/>
      <w:pPr>
        <w:ind w:left="460" w:hanging="260"/>
      </w:pPr>
    </w:lvl>
  </w:abstractNum>
  <w:abstractNum w:abstractNumId="17" w15:restartNumberingAfterBreak="0">
    <w:multiLevelType w:val="hybridMultilevel"/>
    <w:lvl w:ilvl="0" w15:tentative="1">
      <w:start w:val="1"/>
      <w:numFmt w:val="decimal"/>
      <w:lvlText w:val="%1."/>
      <w:lvlJc w:val="start"/>
      <w:pPr>
        <w:ind w:left="460" w:hanging="260"/>
      </w:pPr>
    </w:lvl>
  </w:abstractNum>
  <w:abstractNum w:abstractNumId="18" w15:restartNumberingAfterBreak="0">
    <w:multiLevelType w:val="hybridMultilevel"/>
    <w:lvl w:ilvl="0" w15:tentative="1">
      <w:start w:val="1"/>
      <w:numFmt w:val="decimal"/>
      <w:lvlText w:val="%1."/>
      <w:lvlJc w:val="start"/>
      <w:pPr>
        <w:ind w:left="460" w:hanging="260"/>
      </w:pPr>
    </w:lvl>
  </w:abstractNum>
  <w:abstractNum w:abstractNumId="19" w15:restartNumberingAfterBreak="0">
    <w:multiLevelType w:val="hybridMultilevel"/>
    <w:lvl w:ilvl="0" w15:tentative="1">
      <w:start w:val="1"/>
      <w:numFmt w:val="decimal"/>
      <w:lvlText w:val="%1."/>
      <w:lvlJc w:val="start"/>
      <w:pPr>
        <w:ind w:left="460" w:hanging="260"/>
      </w:pPr>
    </w:lvl>
  </w:abstractNum>
  <w:abstractNum w:abstractNumId="20" w15:restartNumberingAfterBreak="0">
    <w:multiLevelType w:val="hybridMultilevel"/>
    <w:lvl w:ilvl="0" w15:tentative="1">
      <w:start w:val="1"/>
      <w:numFmt w:val="decimal"/>
      <w:lvlText w:val="%1."/>
      <w:lvlJc w:val="start"/>
      <w:pPr>
        <w:ind w:left="460" w:hanging="260"/>
      </w:pPr>
    </w:lvl>
  </w:abstractNum>
  <w:abstractNum w:abstractNumId="21" w15:restartNumberingAfterBreak="0">
    <w:multiLevelType w:val="hybridMultilevel"/>
    <w:lvl w:ilvl="0" w15:tentative="1">
      <w:start w:val="1"/>
      <w:numFmt w:val="decimal"/>
      <w:lvlText w:val="%1."/>
      <w:lvlJc w:val="start"/>
      <w:pPr>
        <w:ind w:left="460" w:hanging="260"/>
      </w:pPr>
    </w:lvl>
  </w:abstractNum>
  <w:abstractNum w:abstractNumId="22" w15:restartNumberingAfterBreak="0">
    <w:multiLevelType w:val="hybridMultilevel"/>
    <w:lvl w:ilvl="0" w15:tentative="1">
      <w:start w:val="1"/>
      <w:numFmt w:val="decimal"/>
      <w:lvlText w:val="%1."/>
      <w:lvlJc w:val="start"/>
      <w:pPr>
        <w:ind w:left="460" w:hanging="260"/>
      </w:pPr>
    </w:lvl>
  </w:abstractNum>
  <w:abstractNum w:abstractNumId="23" w15:restartNumberingAfterBreak="0">
    <w:multiLevelType w:val="hybridMultilevel"/>
    <w:lvl w:ilvl="0" w15:tentative="1">
      <w:start w:val="1"/>
      <w:numFmt w:val="decimal"/>
      <w:lvlText w:val="%1."/>
      <w:lvlJc w:val="start"/>
      <w:pPr>
        <w:ind w:left="460" w:hanging="260"/>
      </w:pPr>
    </w:lvl>
  </w:abstractNum>
  <w:abstractNum w:abstractNumId="24" w15:restartNumberingAfterBreak="0">
    <w:multiLevelType w:val="hybridMultilevel"/>
    <w:lvl w:ilvl="0" w15:tentative="1">
      <w:start w:val="1"/>
      <w:numFmt w:val="decimal"/>
      <w:lvlText w:val="%1."/>
      <w:lvlJc w:val="start"/>
      <w:pPr>
        <w:ind w:left="460" w:hanging="260"/>
      </w:pPr>
    </w:lvl>
  </w:abstractNum>
  <w:abstractNum w:abstractNumId="25" w15:restartNumberingAfterBreak="0">
    <w:multiLevelType w:val="hybridMultilevel"/>
    <w:lvl w:ilvl="0" w15:tentative="1">
      <w:start w:val="1"/>
      <w:numFmt w:val="decimal"/>
      <w:lvlText w:val="%1."/>
      <w:lvlJc w:val="start"/>
      <w:pPr>
        <w:ind w:left="460" w:hanging="260"/>
      </w:pPr>
    </w:lvl>
  </w:abstractNum>
  <w:abstractNum w:abstractNumId="26" w15:restartNumberingAfterBreak="0">
    <w:multiLevelType w:val="hybridMultilevel"/>
    <w:lvl w:ilvl="0" w15:tentative="1">
      <w:start w:val="1"/>
      <w:numFmt w:val="decimal"/>
      <w:lvlText w:val="%1."/>
      <w:lvlJc w:val="start"/>
      <w:pPr>
        <w:ind w:left="460" w:hanging="260"/>
      </w:pPr>
    </w:lvl>
  </w:abstractNum>
  <w:abstractNum w:abstractNumId="27" w15:restartNumberingAfterBreak="0">
    <w:multiLevelType w:val="hybridMultilevel"/>
    <w:lvl w:ilvl="0" w15:tentative="1">
      <w:start w:val="1"/>
      <w:numFmt w:val="decimal"/>
      <w:lvlText w:val="%1."/>
      <w:lvlJc w:val="start"/>
      <w:pPr>
        <w:ind w:left="460" w:hanging="260"/>
      </w:pPr>
    </w:lvl>
  </w:abstractNum>
  <w:abstractNum w:abstractNumId="28" w15:restartNumberingAfterBreak="0">
    <w:multiLevelType w:val="hybridMultilevel"/>
    <w:lvl w:ilvl="0" w15:tentative="1">
      <w:start w:val="1"/>
      <w:numFmt w:val="decimal"/>
      <w:lvlText w:val="%1."/>
      <w:lvlJc w:val="start"/>
      <w:pPr>
        <w:ind w:left="460" w:hanging="260"/>
      </w:pPr>
    </w:lvl>
  </w:abstractNum>
  <w:abstractNum w:abstractNumId="29" w15:restartNumberingAfterBreak="0">
    <w:multiLevelType w:val="hybridMultilevel"/>
    <w:lvl w:ilvl="0" w15:tentative="1">
      <w:start w:val="1"/>
      <w:numFmt w:val="decimal"/>
      <w:lvlText w:val="%1."/>
      <w:lvlJc w:val="start"/>
      <w:pPr>
        <w:ind w:left="460" w:hanging="260"/>
      </w:pPr>
    </w:lvl>
  </w:abstractNum>
  <w:abstractNum w:abstractNumId="30" w15:restartNumberingAfterBreak="0">
    <w:multiLevelType w:val="hybridMultilevel"/>
    <w:lvl w:ilvl="0" w15:tentative="1">
      <w:start w:val="1"/>
      <w:numFmt w:val="decimal"/>
      <w:lvlText w:val="%1."/>
      <w:lvlJc w:val="start"/>
      <w:pPr>
        <w:ind w:left="460" w:hanging="260"/>
      </w:pPr>
    </w:lvl>
  </w:abstractNum>
  <w:abstractNum w:abstractNumId="31" w15:restartNumberingAfterBreak="0">
    <w:multiLevelType w:val="hybridMultilevel"/>
    <w:lvl w:ilvl="0" w15:tentative="1">
      <w:start w:val="1"/>
      <w:numFmt w:val="decimal"/>
      <w:lvlText w:val="%1."/>
      <w:lvlJc w:val="star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D9E2EF" w:sz="6" w:space="2"/>
      </w:pBdr>
      <w:spacing w:after="80" w:before="260"/>
    </w:pPr>
    <w:rPr>
      <w:rFonts w:ascii="Calibri" w:cs="Calibri" w:eastAsia="Calibri" w:hAnsi="Calibri"/>
      <w:b/>
      <w:bCs/>
      <w:color w:val="1F4E78"/>
      <w:sz w:val="28"/>
      <w:szCs w:val="28"/>
    </w:rPr>
  </w:style>
  <w:style w:type="paragraph" w:styleId="Heading2">
    <w:name w:val="Heading 2"/>
    <w:basedOn w:val="Normal"/>
    <w:next w:val="Normal"/>
    <w:qFormat/>
    <w:pPr>
      <w:keepNext/>
      <w:spacing w:after="40" w:before="180"/>
    </w:pPr>
    <w:rPr>
      <w:rFonts w:ascii="Calibri" w:cs="Calibri" w:eastAsia="Calibri" w:hAnsi="Calibri"/>
      <w:b/>
      <w:bCs/>
      <w:color w:val="2E74B5"/>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Competency Assessment Platform — ICB4 PM Prototype Design</dc:title>
  <dc:creator>office-hours</dc:creator>
  <cp:lastModifiedBy>Un-named</cp:lastModifiedBy>
  <cp:revision>1</cp:revision>
  <dcterms:created xsi:type="dcterms:W3CDTF">2026-08-03T01:03:45.698Z</dcterms:created>
  <dcterms:modified xsi:type="dcterms:W3CDTF">2026-08-03T01:03:45.698Z</dcterms:modified>
</cp:coreProperties>
</file>

<file path=docProps/custom.xml><?xml version="1.0" encoding="utf-8"?>
<Properties xmlns="http://schemas.openxmlformats.org/officeDocument/2006/custom-properties" xmlns:vt="http://schemas.openxmlformats.org/officeDocument/2006/docPropsVTypes"/>
</file>