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Architectures. We consider the following architectures: VGG-16, DenseNet-161, ResNet-18, ResNet-50, ResNet-152 and GoogLeNet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Parameter number rank: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VGG16 &gt; RenNet-152 &gt; DenseNet-161 ~= RenNet-50 &gt; GoogLeNet &gt;  RenNet-18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ImageNet-1k performance for various architectures,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ref: Benchmark Analysis of Representative Deep Neural Network Architectures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114300</wp:posOffset>
            </wp:positionV>
            <wp:extent cx="7397806" cy="374632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7806" cy="374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 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ResNet-18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1.8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ResNet-50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3.8b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ResNet-152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58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11.3b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DenseNet-161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 Million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 Billion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110.37 MB (Pytorch)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VGG-16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138 million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15.3 billion FLOPs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Ref: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https://towardsdatascience.com/the-w3h-of-alexnet-vggnet-resnet-and-inception-7baaaecccc96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569290" cy="22067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290" cy="220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towardsdatascience.com/the-w3h-of-alexnet-vggnet-resnet-and-inception-7baaaecccc96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