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02">
      <w:pPr>
        <w:spacing w:after="0" w:before="0"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03">
      <w:pPr>
        <w:spacing w:after="0" w:before="0"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04">
      <w:pPr>
        <w:spacing w:after="0" w:before="0"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05">
      <w:pPr>
        <w:spacing w:after="0" w:before="0"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06">
      <w:pPr>
        <w:spacing w:after="0" w:before="0"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07">
      <w:pPr>
        <w:spacing w:after="0" w:before="0"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08">
      <w:pPr>
        <w:spacing w:after="0" w:before="0"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09">
      <w:pPr>
        <w:spacing w:after="0" w:before="0"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0A">
      <w:pPr>
        <w:spacing w:after="0" w:before="0"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0B">
      <w:pPr>
        <w:spacing w:after="0" w:before="0" w:line="276" w:lineRule="auto"/>
        <w:jc w:val="center"/>
        <w:rPr>
          <w:b w:val="1"/>
          <w:bCs w:val="1"/>
          <w:sz w:val="34"/>
          <w:szCs w:val="34"/>
        </w:rPr>
      </w:pPr>
      <w:r w:rsidDel="00000000" w:rsidR="00000000" w:rsidRPr="00000000">
        <w:rPr>
          <w:b w:val="1"/>
          <w:bCs w:val="1"/>
          <w:sz w:val="34"/>
          <w:szCs w:val="34"/>
          <w:rtl w:val="0"/>
        </w:rPr>
        <w:t xml:space="preserve">Proyecto #1: Sistema Inteligente Adaptativo para la Predicción de Reingreso Hospitalario en Pacientes Diabéticos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0" w:before="0" w:line="276" w:lineRule="auto"/>
        <w:jc w:val="both"/>
        <w:rPr/>
      </w:pPr>
      <w:r w:rsidDel="00000000" w:rsidR="00000000" w:rsidRPr="00000000">
        <w:rPr>
          <w:b w:val="1"/>
          <w:bCs w:val="1"/>
          <w:rtl w:val="0"/>
        </w:rPr>
        <w:t xml:space="preserve">Curso:</w:t>
      </w:r>
      <w:r w:rsidDel="00000000" w:rsidR="00000000" w:rsidRPr="00000000">
        <w:rPr>
          <w:rtl w:val="0"/>
        </w:rPr>
        <w:t xml:space="preserve"> Planificación y Toma de Decisiones en IA (UTEC 2026-I)</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0" w:before="0" w:line="276" w:lineRule="auto"/>
        <w:jc w:val="both"/>
        <w:rPr/>
      </w:pPr>
      <w:r w:rsidDel="00000000" w:rsidR="00000000" w:rsidRPr="00000000">
        <w:rPr>
          <w:b w:val="1"/>
          <w:bCs w:val="1"/>
          <w:rtl w:val="0"/>
        </w:rPr>
        <w:t xml:space="preserve">Profesores:</w:t>
      </w:r>
      <w:r w:rsidDel="00000000" w:rsidR="00000000" w:rsidRPr="00000000">
        <w:rPr>
          <w:rtl w:val="0"/>
        </w:rPr>
        <w:t xml:space="preserve"> Dra. Aurea Soriano-Vargas &amp; Mg. Robert Buleje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0" w:before="0" w:line="276" w:lineRule="auto"/>
        <w:jc w:val="both"/>
        <w:rPr/>
      </w:pPr>
      <w:r w:rsidDel="00000000" w:rsidR="00000000" w:rsidRPr="00000000">
        <w:rPr>
          <w:b w:val="1"/>
          <w:bCs w:val="1"/>
          <w:rtl w:val="0"/>
        </w:rPr>
        <w:t xml:space="preserve">Dataset Seleccionado:</w:t>
      </w:r>
      <w:r w:rsidDel="00000000" w:rsidR="00000000" w:rsidRPr="00000000">
        <w:rPr>
          <w:rtl w:val="0"/>
        </w:rPr>
        <w:t xml:space="preserve"> Diabetes 130-US hospitals for years 1999-2008 (UCI Machine Learning Repository)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0" w:before="0" w:line="276" w:lineRule="auto"/>
        <w:jc w:val="both"/>
        <w:rPr/>
      </w:pPr>
      <w:r w:rsidDel="00000000" w:rsidR="00000000" w:rsidRPr="00000000">
        <w:rPr>
          <w:b w:val="1"/>
          <w:bCs w:val="1"/>
          <w:rtl w:val="0"/>
        </w:rPr>
        <w:t xml:space="preserve">Etapa:</w:t>
      </w:r>
      <w:r w:rsidDel="00000000" w:rsidR="00000000" w:rsidRPr="00000000">
        <w:rPr>
          <w:rtl w:val="0"/>
        </w:rPr>
        <w:t xml:space="preserve"> Entrega 1 - Avance de Diseño del Sistema, Objetivos, Restricciones y Plan de Monitoreo</w:t>
      </w:r>
      <w:r w:rsidDel="00000000" w:rsidR="00000000" w:rsidRPr="00000000">
        <w:br w:type="page"/>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0" w:before="0" w:line="276" w:lineRule="auto"/>
        <w:jc w:val="both"/>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0" w:before="0" w:line="276" w:lineRule="auto"/>
        <w:jc w:val="both"/>
        <w:rPr>
          <w:b w:val="1"/>
          <w:bCs w:val="1"/>
          <w:sz w:val="28"/>
          <w:szCs w:val="28"/>
        </w:rPr>
      </w:pPr>
      <w:r w:rsidDel="00000000" w:rsidR="00000000" w:rsidRPr="00000000">
        <w:rPr>
          <w:b w:val="1"/>
          <w:bCs w:val="1"/>
          <w:sz w:val="28"/>
          <w:szCs w:val="28"/>
          <w:rtl w:val="0"/>
        </w:rPr>
        <w:t xml:space="preserve">Índice </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0" w:before="0" w:line="276" w:lineRule="auto"/>
        <w:jc w:val="both"/>
        <w:rPr>
          <w:b w:val="1"/>
          <w:bCs w:val="1"/>
          <w:sz w:val="28"/>
          <w:szCs w:val="28"/>
        </w:rPr>
      </w:pPr>
      <w:r w:rsidDel="00000000" w:rsidR="00000000" w:rsidRPr="00000000">
        <w:rPr>
          <w:rtl w:val="0"/>
        </w:rPr>
      </w:r>
    </w:p>
    <w:sdt>
      <w:sdtPr>
        <w:id w:val="1818813171"/>
        <w:docPartObj>
          <w:docPartGallery w:val="Table of Contents"/>
          <w:docPartUnique w:val="1"/>
        </w:docPartObj>
      </w:sdtPr>
      <w:sdtContent>
        <w:p w:rsidR="00000000" w:rsidDel="00000000" w:rsidP="00000000" w:rsidRDefault="00000000" w:rsidRPr="00000000" w14:paraId="00000013">
          <w:pPr>
            <w:tabs>
              <w:tab w:val="right" w:leader="dot" w:pos="12000"/>
            </w:tabs>
            <w:spacing w:before="60" w:lineRule="auto"/>
            <w:rP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Descripción del Problema y Caso de Uso</w:t>
              <w:tab/>
              <w:t xml:space="preserve">2</w:t>
            </w:r>
          </w:hyperlink>
          <w:r w:rsidDel="00000000" w:rsidR="00000000" w:rsidRPr="00000000">
            <w:rPr>
              <w:rtl w:val="0"/>
            </w:rPr>
          </w:r>
        </w:p>
        <w:p w:rsidR="00000000" w:rsidDel="00000000" w:rsidP="00000000" w:rsidRDefault="00000000" w:rsidRPr="00000000" w14:paraId="0000001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      </w:t>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Descripción del Problema</w:t>
              <w:tab/>
              <w:t xml:space="preserve">2</w:t>
            </w:r>
          </w:hyperlink>
          <w:r w:rsidDel="00000000" w:rsidR="00000000" w:rsidRPr="00000000">
            <w:rPr>
              <w:rtl w:val="0"/>
            </w:rPr>
          </w:r>
        </w:p>
        <w:p w:rsidR="00000000" w:rsidDel="00000000" w:rsidP="00000000" w:rsidRDefault="00000000" w:rsidRPr="00000000" w14:paraId="0000001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Definición de Objetivos</w:t>
              <w:tab/>
              <w:t xml:space="preserve">2</w:t>
            </w:r>
          </w:hyperlink>
          <w:r w:rsidDel="00000000" w:rsidR="00000000" w:rsidRPr="00000000">
            <w:rPr>
              <w:rtl w:val="0"/>
            </w:rPr>
          </w:r>
        </w:p>
        <w:p w:rsidR="00000000" w:rsidDel="00000000" w:rsidP="00000000" w:rsidRDefault="00000000" w:rsidRPr="00000000" w14:paraId="0000001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Objetivo General</w:t>
              <w:tab/>
              <w:t xml:space="preserve">2</w:t>
            </w:r>
          </w:hyperlink>
          <w:r w:rsidDel="00000000" w:rsidR="00000000" w:rsidRPr="00000000">
            <w:rPr>
              <w:rtl w:val="0"/>
            </w:rPr>
          </w:r>
        </w:p>
        <w:p w:rsidR="00000000" w:rsidDel="00000000" w:rsidP="00000000" w:rsidRDefault="00000000" w:rsidRPr="00000000" w14:paraId="0000001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Objetivos Específicos</w:t>
              <w:tab/>
              <w:t xml:space="preserve">3</w:t>
            </w:r>
          </w:hyperlink>
          <w:r w:rsidDel="00000000" w:rsidR="00000000" w:rsidRPr="00000000">
            <w:rPr>
              <w:rtl w:val="0"/>
            </w:rPr>
          </w:r>
        </w:p>
        <w:p w:rsidR="00000000" w:rsidDel="00000000" w:rsidP="00000000" w:rsidRDefault="00000000" w:rsidRPr="00000000" w14:paraId="0000001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Definición de Restricciones</w:t>
              <w:tab/>
              <w:t xml:space="preserve">3</w:t>
            </w:r>
          </w:hyperlink>
          <w:r w:rsidDel="00000000" w:rsidR="00000000" w:rsidRPr="00000000">
            <w:rPr>
              <w:rtl w:val="0"/>
            </w:rPr>
          </w:r>
        </w:p>
        <w:p w:rsidR="00000000" w:rsidDel="00000000" w:rsidP="00000000" w:rsidRDefault="00000000" w:rsidRPr="00000000" w14:paraId="0000001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Métricas de Éxito</w:t>
              <w:tab/>
              <w:t xml:space="preserve">5</w:t>
            </w:r>
          </w:hyperlink>
          <w:r w:rsidDel="00000000" w:rsidR="00000000" w:rsidRPr="00000000">
            <w:rPr>
              <w:rtl w:val="0"/>
            </w:rPr>
          </w:r>
        </w:p>
        <w:p w:rsidR="00000000" w:rsidDel="00000000" w:rsidP="00000000" w:rsidRDefault="00000000" w:rsidRPr="00000000" w14:paraId="0000001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Diseño del Sistema de IA y Arquitectura</w:t>
              <w:tab/>
              <w:t xml:space="preserve">8</w:t>
            </w:r>
          </w:hyperlink>
          <w:r w:rsidDel="00000000" w:rsidR="00000000" w:rsidRPr="00000000">
            <w:rPr>
              <w:rtl w:val="0"/>
            </w:rPr>
          </w:r>
        </w:p>
        <w:p w:rsidR="00000000" w:rsidDel="00000000" w:rsidP="00000000" w:rsidRDefault="00000000" w:rsidRPr="00000000" w14:paraId="0000001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Esquema de la Arquitectura del Sistema</w:t>
              <w:tab/>
              <w:t xml:space="preserve">9</w:t>
            </w:r>
          </w:hyperlink>
          <w:r w:rsidDel="00000000" w:rsidR="00000000" w:rsidRPr="00000000">
            <w:rPr>
              <w:rtl w:val="0"/>
            </w:rPr>
          </w:r>
        </w:p>
        <w:p w:rsidR="00000000" w:rsidDel="00000000" w:rsidP="00000000" w:rsidRDefault="00000000" w:rsidRPr="00000000" w14:paraId="0000001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Mini Plan de Trabajo para el Proyecto</w:t>
              <w:tab/>
              <w:t xml:space="preserve">9</w:t>
            </w:r>
          </w:hyperlink>
          <w:r w:rsidDel="00000000" w:rsidR="00000000" w:rsidRPr="00000000">
            <w:rPr>
              <w:rtl w:val="0"/>
            </w:rPr>
          </w:r>
        </w:p>
        <w:p w:rsidR="00000000" w:rsidDel="00000000" w:rsidP="00000000" w:rsidRDefault="00000000" w:rsidRPr="00000000" w14:paraId="0000001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      </w:t>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Modelos Mapeados para Comparación</w:t>
              <w:tab/>
              <w:t xml:space="preserve">9</w:t>
            </w:r>
          </w:hyperlink>
          <w:r w:rsidDel="00000000" w:rsidR="00000000" w:rsidRPr="00000000">
            <w:rPr>
              <w:rtl w:val="0"/>
            </w:rPr>
          </w:r>
        </w:p>
        <w:p w:rsidR="00000000" w:rsidDel="00000000" w:rsidP="00000000" w:rsidRDefault="00000000" w:rsidRPr="00000000" w14:paraId="0000001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 Estrategia de Monitoreo de Data/Concept Drift mediante Ventanas Fijas</w:t>
              <w:tab/>
              <w:t xml:space="preserve">9</w:t>
            </w:r>
          </w:hyperlink>
          <w:r w:rsidDel="00000000" w:rsidR="00000000" w:rsidRPr="00000000">
            <w:rPr>
              <w:rtl w:val="0"/>
            </w:rPr>
          </w:r>
        </w:p>
        <w:p w:rsidR="00000000" w:rsidDel="00000000" w:rsidP="00000000" w:rsidRDefault="00000000" w:rsidRPr="00000000" w14:paraId="0000001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6.3. Cronograma de Actividades (Roadmap)</w:t>
              <w:tab/>
              <w:t xml:space="preserve">10</w:t>
            </w:r>
          </w:hyperlink>
          <w:r w:rsidDel="00000000" w:rsidR="00000000" w:rsidRPr="00000000">
            <w:rPr>
              <w:rtl w:val="0"/>
            </w:rPr>
          </w:r>
        </w:p>
        <w:p w:rsidR="00000000" w:rsidDel="00000000" w:rsidP="00000000" w:rsidRDefault="00000000" w:rsidRPr="00000000" w14:paraId="0000002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ywj1pd70he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Propuesta preliminar de despliegue y riesgos</w:t>
              <w:tab/>
              <w:t xml:space="preserve">11</w:t>
            </w:r>
          </w:hyperlink>
          <w:r w:rsidDel="00000000" w:rsidR="00000000" w:rsidRPr="00000000">
            <w:rPr>
              <w:rtl w:val="0"/>
            </w:rPr>
          </w:r>
        </w:p>
        <w:p w:rsidR="00000000" w:rsidDel="00000000" w:rsidP="00000000" w:rsidRDefault="00000000" w:rsidRPr="00000000" w14:paraId="0000002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b8c5nqk2ur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Bibliografía</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0" w:before="0" w:line="276"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2"/>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hanging="360"/>
        <w:jc w:val="both"/>
        <w:rPr>
          <w:sz w:val="22"/>
          <w:szCs w:val="22"/>
          <w:u w:val="none"/>
        </w:rPr>
      </w:pPr>
      <w:r w:rsidDel="00000000" w:rsidR="00000000" w:rsidRPr="00000000">
        <w:rPr>
          <w:sz w:val="22"/>
          <w:szCs w:val="22"/>
          <w:rtl w:val="0"/>
        </w:rPr>
        <w:t xml:space="preserve">Descripción del Problema y Caso de Uso</w:t>
      </w:r>
    </w:p>
    <w:p w:rsidR="00000000" w:rsidDel="00000000" w:rsidP="00000000" w:rsidRDefault="00000000" w:rsidRPr="00000000" w14:paraId="00000024">
      <w:pPr>
        <w:pStyle w:val="Heading2"/>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hanging="360"/>
        <w:jc w:val="both"/>
        <w:rPr>
          <w:sz w:val="22"/>
          <w:szCs w:val="22"/>
          <w:u w:val="none"/>
        </w:rPr>
      </w:pPr>
      <w:r w:rsidDel="00000000" w:rsidR="00000000" w:rsidRPr="00000000">
        <w:rPr>
          <w:sz w:val="22"/>
          <w:szCs w:val="22"/>
          <w:rtl w:val="0"/>
        </w:rPr>
        <w:t xml:space="preserve">Descripción del Problema</w:t>
      </w:r>
      <w:r w:rsidDel="00000000" w:rsidR="00000000" w:rsidRPr="00000000">
        <w:rPr>
          <w:rtl w:val="0"/>
        </w:rPr>
      </w:r>
    </w:p>
    <w:p w:rsidR="00000000" w:rsidDel="00000000" w:rsidP="00000000" w:rsidRDefault="00000000" w:rsidRPr="00000000" w14:paraId="00000025">
      <w:pPr>
        <w:spacing w:after="240" w:before="240" w:line="276" w:lineRule="auto"/>
        <w:jc w:val="both"/>
        <w:rPr/>
      </w:pPr>
      <w:r w:rsidDel="00000000" w:rsidR="00000000" w:rsidRPr="00000000">
        <w:rPr>
          <w:rtl w:val="0"/>
        </w:rPr>
        <w:t xml:space="preserve">Cuando un paciente con diabetes sale del hospital, existe la posibilidad de que tenga que volver antes de 30 días. A esto se le llama reingreso hospitalario no planificado, y es un problema serio para cualquier sistema de salud, ya que afecta la calidad de vida del paciente, satura los servicios de emergencia y le cuesta caro a las instituciones. En Estados Unidos, el Hospital Readmissions Reduction Program (HRRP, vigente desde 2012) penaliza económicamente a los hospitales con exceso de reingresos en condiciones específicas, como insuficiencia cardiaca, infarto agudo de miocardio y neumonía. La diabetes no es una condición objetivo del programa, pero es una comorbilidad muy frecuente en esas poblaciones, por lo que su manejo influye directamente en las tasas penalizadas.</w:t>
      </w:r>
    </w:p>
    <w:p w:rsidR="00000000" w:rsidDel="00000000" w:rsidP="00000000" w:rsidRDefault="00000000" w:rsidRPr="00000000" w14:paraId="00000026">
      <w:pPr>
        <w:spacing w:after="240" w:before="240" w:line="276" w:lineRule="auto"/>
        <w:jc w:val="both"/>
        <w:rPr/>
      </w:pPr>
      <w:r w:rsidDel="00000000" w:rsidR="00000000" w:rsidRPr="00000000">
        <w:rPr>
          <w:rtl w:val="0"/>
        </w:rPr>
        <w:t xml:space="preserve">Aunque con frecuencia se asume que la responsabilidad recae únicamente en el paciente, por descuido o falta de adherencia al tratamiento, una revisión sistemática encontró que la proporción mediana de reingresos considerados evitables es de 27.1%, aunque con gran variación entre estudios (5% a 79%) (van Walraven et al., 2011). Esta cifra sugiere que el reingreso no depende de un único factor, sino de una combinación entre las condiciones propias del paciente (comorbilidades, adherencia al tratamiento, entorno socioeconómico) y aspectos del proceso de atención hospitalaria (conciliación de medicamentos, claridad de las indicaciones al alta). Distinguir qué peso tiene cada uno de estos factores permite diseñar intervenciones más precisas, tanto de soporte al paciente como de mejora en el proceso clínico. Anticipar el riesgo permite no solo vigilar al paciente vulnerable, sino también corregir oportunamente las brechas que puedan existir en la atención clínica.</w:t>
      </w:r>
    </w:p>
    <w:p w:rsidR="00000000" w:rsidDel="00000000" w:rsidP="00000000" w:rsidRDefault="00000000" w:rsidRPr="00000000" w14:paraId="00000027">
      <w:pPr>
        <w:spacing w:after="240" w:before="240" w:line="276" w:lineRule="auto"/>
        <w:jc w:val="both"/>
        <w:rPr/>
      </w:pPr>
      <w:r w:rsidDel="00000000" w:rsidR="00000000" w:rsidRPr="00000000">
        <w:rPr>
          <w:rtl w:val="0"/>
        </w:rPr>
        <w:t xml:space="preserve">Este proyecto trabaja con datos históricos de más de 100,000 hospitalizaciones de pacientes diabéticos, registradas en 130 hospitales de Estados Unidos entre 1999 y 2008. Una década es mucho tiempo en medicina: la forma de tratar la diabetes cambió, la manera de registrar los diagnósticos cambió, y los medicamentos que se recetan (metformina, insulina) también. Un patrón que servía para predecir el riesgo de un paciente en 1999 puede no servir diez años después.</w:t>
      </w:r>
    </w:p>
    <w:p w:rsidR="00000000" w:rsidDel="00000000" w:rsidP="00000000" w:rsidRDefault="00000000" w:rsidRPr="00000000" w14:paraId="00000028">
      <w:pPr>
        <w:spacing w:after="240" w:before="240" w:line="276" w:lineRule="auto"/>
        <w:jc w:val="both"/>
        <w:rPr/>
      </w:pPr>
      <w:r w:rsidDel="00000000" w:rsidR="00000000" w:rsidRPr="00000000">
        <w:rPr>
          <w:rtl w:val="0"/>
        </w:rPr>
        <w:t xml:space="preserve">Este cambio progresivo plantea una pregunta que buscaremos responder con el análisis de la información: ¿es posible identificar en la propia data el momento o la magnitud en que estos cambios se hacen notorios? De ser así, esa evidencia podría orientar decisiones metodológicas más adelante, como el tamaño de ventana temporal más adecuado para monitorear el sistema.</w:t>
      </w:r>
    </w:p>
    <w:p w:rsidR="00000000" w:rsidDel="00000000" w:rsidP="00000000" w:rsidRDefault="00000000" w:rsidRPr="00000000" w14:paraId="00000029">
      <w:pPr>
        <w:spacing w:after="240" w:before="240" w:line="276" w:lineRule="auto"/>
        <w:jc w:val="both"/>
        <w:rPr/>
      </w:pPr>
      <w:r w:rsidDel="00000000" w:rsidR="00000000" w:rsidRPr="00000000">
        <w:rPr>
          <w:rtl w:val="0"/>
        </w:rPr>
        <w:t xml:space="preserve">Por eso, el objetivo no es solo predecir el riesgo de reingreso en el momento del alta. Es también detectar cuándo esas predicciones dejan de ser confiables por los cambios en el tiempo, y corregirlas antes de que eso afecte a un paciente real.</w:t>
      </w:r>
    </w:p>
    <w:p w:rsidR="00000000" w:rsidDel="00000000" w:rsidP="00000000" w:rsidRDefault="00000000" w:rsidRPr="00000000" w14:paraId="0000002A">
      <w:pPr>
        <w:spacing w:after="240" w:before="240" w:line="276" w:lineRule="auto"/>
        <w:jc w:val="both"/>
        <w:rPr/>
      </w:pPr>
      <w:r w:rsidDel="00000000" w:rsidR="00000000" w:rsidRPr="00000000">
        <w:rPr>
          <w:rtl w:val="0"/>
        </w:rPr>
        <w:t xml:space="preserve">Pensemos en un caso concreto. Un paciente diabético lleva varios días internado, le ajustaron el tratamiento de insulina, y ya tuvo hospitalizaciones anteriores. Está por recibir el alta. En ese momento, el sistema calcula qué tan probable es que vuelva al hospital en los próximos 30 días y lo traduce en una categoría simple: riesgo Bajo, Moderado o Alto. Muestra al médico qué factores pesaron más en esa predicción y sugiere un plan de seguimiento según el nivel de riesgo. Si el riesgo es alto, por ejemplo, sugiere una cita presencial prioritaria y una revisión urgente de los medicamentos.</w:t>
      </w:r>
    </w:p>
    <w:p w:rsidR="00000000" w:rsidDel="00000000" w:rsidP="00000000" w:rsidRDefault="00000000" w:rsidRPr="00000000" w14:paraId="0000002B">
      <w:pPr>
        <w:spacing w:after="240" w:before="240" w:line="276" w:lineRule="auto"/>
        <w:jc w:val="both"/>
        <w:rPr/>
      </w:pPr>
      <w:r w:rsidDel="00000000" w:rsidR="00000000" w:rsidRPr="00000000">
        <w:rPr>
          <w:rtl w:val="0"/>
        </w:rPr>
        <w:t xml:space="preserve">El médico es quien decide. El sistema nunca da de alta ni cambia un tratamiento por su cuenta; solo recomienda, y el personal médico acepta, ajusta o descarta esa recomendación. Y de fondo, el sistema se revisa a sí mismo cada cierto tiempo: si sus predicciones empiezan a fallar más de lo esperado, porque los patrones clínicos cambiaron, se dispara un proceso para actualizarlo con datos más recientes, de modo que siga siendo útil con el paso de los años.</w:t>
      </w:r>
      <w:r w:rsidDel="00000000" w:rsidR="00000000" w:rsidRPr="00000000">
        <w:rPr>
          <w:rtl w:val="0"/>
        </w:rPr>
      </w:r>
    </w:p>
    <w:p w:rsidR="00000000" w:rsidDel="00000000" w:rsidP="00000000" w:rsidRDefault="00000000" w:rsidRPr="00000000" w14:paraId="0000002C">
      <w:pPr>
        <w:pStyle w:val="Heading2"/>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hanging="360"/>
        <w:jc w:val="both"/>
        <w:rPr>
          <w:sz w:val="22"/>
          <w:szCs w:val="22"/>
          <w:u w:val="none"/>
        </w:rPr>
      </w:pPr>
      <w:r w:rsidDel="00000000" w:rsidR="00000000" w:rsidRPr="00000000">
        <w:rPr>
          <w:sz w:val="22"/>
          <w:szCs w:val="22"/>
          <w:rtl w:val="0"/>
        </w:rPr>
        <w:t xml:space="preserve">Definición de Objetivos</w:t>
      </w:r>
    </w:p>
    <w:p w:rsidR="00000000" w:rsidDel="00000000" w:rsidP="00000000" w:rsidRDefault="00000000" w:rsidRPr="00000000" w14:paraId="0000002D">
      <w:pPr>
        <w:pStyle w:val="Heading2"/>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hanging="360"/>
        <w:jc w:val="both"/>
        <w:rPr>
          <w:sz w:val="22"/>
          <w:szCs w:val="22"/>
          <w:u w:val="none"/>
        </w:rPr>
      </w:pPr>
      <w:r w:rsidDel="00000000" w:rsidR="00000000" w:rsidRPr="00000000">
        <w:rPr>
          <w:sz w:val="22"/>
          <w:szCs w:val="22"/>
          <w:rtl w:val="0"/>
        </w:rPr>
        <w:t xml:space="preserve">Objetivo General</w:t>
      </w:r>
    </w:p>
    <w:p w:rsidR="00000000" w:rsidDel="00000000" w:rsidP="00000000" w:rsidRDefault="00000000" w:rsidRPr="00000000" w14:paraId="0000002E">
      <w:pPr>
        <w:spacing w:after="240" w:before="240" w:line="276" w:lineRule="auto"/>
        <w:jc w:val="both"/>
        <w:rPr/>
      </w:pPr>
      <w:r w:rsidDel="00000000" w:rsidR="00000000" w:rsidRPr="00000000">
        <w:rPr>
          <w:rtl w:val="0"/>
        </w:rPr>
        <w:t xml:space="preserve">Implementar un sistema predictivo que evalúe a pacientes diabéticos para identificar su riesgo de reingreso hospitalario a 30 días, con el fin de disminuir esta cifra y mantener su desempeño confiable a lo largo del tiempo.</w:t>
      </w:r>
      <w:r w:rsidDel="00000000" w:rsidR="00000000" w:rsidRPr="00000000">
        <w:rPr>
          <w:rtl w:val="0"/>
        </w:rPr>
      </w:r>
    </w:p>
    <w:p w:rsidR="00000000" w:rsidDel="00000000" w:rsidP="00000000" w:rsidRDefault="00000000" w:rsidRPr="00000000" w14:paraId="0000002F">
      <w:pPr>
        <w:pStyle w:val="Heading3"/>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hanging="360"/>
        <w:jc w:val="both"/>
        <w:rPr>
          <w:sz w:val="22"/>
          <w:szCs w:val="22"/>
          <w:u w:val="none"/>
        </w:rPr>
      </w:pPr>
      <w:r w:rsidDel="00000000" w:rsidR="00000000" w:rsidRPr="00000000">
        <w:rPr>
          <w:sz w:val="22"/>
          <w:szCs w:val="22"/>
          <w:rtl w:val="0"/>
        </w:rPr>
        <w:t xml:space="preserve">Objetivos Específicos</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after="0" w:before="0" w:line="276" w:lineRule="auto"/>
        <w:ind w:left="600" w:hanging="360"/>
        <w:jc w:val="both"/>
        <w:rPr/>
      </w:pPr>
      <w:r w:rsidDel="00000000" w:rsidR="00000000" w:rsidRPr="00000000">
        <w:rPr>
          <w:b w:val="1"/>
          <w:bCs w:val="1"/>
          <w:rtl w:val="0"/>
        </w:rPr>
        <w:t xml:space="preserve">Diseñar e implementar el flujo de ingesta y preprocesamiento de datos </w:t>
      </w:r>
      <w:r w:rsidDel="00000000" w:rsidR="00000000" w:rsidRPr="00000000">
        <w:rPr>
          <w:rtl w:val="0"/>
        </w:rPr>
        <w:t xml:space="preserve">del historial de atención, preservando la secuencialidad estricta de las admisiones para evitar la fuga de información durante el proceso de validación e inferencia.</w:t>
      </w:r>
      <w:r w:rsidDel="00000000" w:rsidR="00000000" w:rsidRPr="00000000">
        <w:rPr>
          <w:rtl w:val="0"/>
        </w:rPr>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after="0" w:before="0" w:line="276" w:lineRule="auto"/>
        <w:ind w:left="600" w:hanging="360"/>
        <w:jc w:val="both"/>
        <w:rPr/>
      </w:pPr>
      <w:r w:rsidDel="00000000" w:rsidR="00000000" w:rsidRPr="00000000">
        <w:rPr>
          <w:b w:val="1"/>
          <w:bCs w:val="1"/>
          <w:rtl w:val="0"/>
        </w:rPr>
        <w:t xml:space="preserve">Construir y comparar modelos de clasificación supervisada</w:t>
      </w:r>
      <w:r w:rsidDel="00000000" w:rsidR="00000000" w:rsidRPr="00000000">
        <w:rPr>
          <w:rtl w:val="0"/>
        </w:rPr>
        <w:t xml:space="preserve"> para predecir el riesgo de reingreso hospitalario a 30 días, evaluando su capacidad discriminativa inicial sobre los registros secuenciales.</w:t>
      </w:r>
    </w:p>
    <w:p w:rsidR="00000000" w:rsidDel="00000000" w:rsidP="00000000" w:rsidRDefault="00000000" w:rsidRPr="00000000" w14:paraId="00000032">
      <w:pPr>
        <w:numPr>
          <w:ilvl w:val="0"/>
          <w:numId w:val="2"/>
        </w:numPr>
        <w:spacing w:line="276" w:lineRule="auto"/>
        <w:ind w:left="600" w:hanging="360"/>
        <w:jc w:val="both"/>
        <w:rPr/>
      </w:pPr>
      <w:r w:rsidDel="00000000" w:rsidR="00000000" w:rsidRPr="00000000">
        <w:rPr>
          <w:b w:val="1"/>
          <w:bCs w:val="1"/>
          <w:rtl w:val="0"/>
        </w:rPr>
        <w:t xml:space="preserve">Desarrollar un componente de calibración de probabilidades y estimación de incertidumbre</w:t>
      </w:r>
      <w:r w:rsidDel="00000000" w:rsidR="00000000" w:rsidRPr="00000000">
        <w:rPr>
          <w:rtl w:val="0"/>
        </w:rPr>
        <w:t xml:space="preserve"> que evalúe el nivel de confianza de cada pronóstico, marcando para revisión médica aquellos casos donde dicha confianza sea insuficiente. </w:t>
      </w:r>
    </w:p>
    <w:p w:rsidR="00000000" w:rsidDel="00000000" w:rsidP="00000000" w:rsidRDefault="00000000" w:rsidRPr="00000000" w14:paraId="00000033">
      <w:pPr>
        <w:numPr>
          <w:ilvl w:val="0"/>
          <w:numId w:val="2"/>
        </w:numPr>
        <w:spacing w:line="276" w:lineRule="auto"/>
        <w:ind w:left="600" w:hanging="360"/>
        <w:jc w:val="both"/>
        <w:rPr/>
      </w:pPr>
      <w:r w:rsidDel="00000000" w:rsidR="00000000" w:rsidRPr="00000000">
        <w:rPr>
          <w:b w:val="1"/>
          <w:bCs w:val="1"/>
          <w:rtl w:val="0"/>
        </w:rPr>
        <w:t xml:space="preserve">Diseñar la arquitectura del sistema y su esquema de despliegue, </w:t>
      </w:r>
      <w:r w:rsidDel="00000000" w:rsidR="00000000" w:rsidRPr="00000000">
        <w:rPr>
          <w:rtl w:val="0"/>
        </w:rPr>
        <w:t xml:space="preserve">integrando un motor de decisión basado en matrices de utilidad y costos ponderados del error que categorice el nivel de riesgo y ajuste dinámicamente sus umbrales según el contexto operativo del hospital. </w:t>
      </w:r>
    </w:p>
    <w:p w:rsidR="00000000" w:rsidDel="00000000" w:rsidP="00000000" w:rsidRDefault="00000000" w:rsidRPr="00000000" w14:paraId="00000034">
      <w:pPr>
        <w:numPr>
          <w:ilvl w:val="0"/>
          <w:numId w:val="2"/>
        </w:numPr>
        <w:spacing w:line="276" w:lineRule="auto"/>
        <w:ind w:left="600" w:hanging="360"/>
        <w:jc w:val="both"/>
        <w:rPr/>
      </w:pPr>
      <w:r w:rsidDel="00000000" w:rsidR="00000000" w:rsidRPr="00000000">
        <w:rPr>
          <w:b w:val="1"/>
          <w:bCs w:val="1"/>
          <w:rtl w:val="0"/>
        </w:rPr>
        <w:t xml:space="preserve">Establecer una estrategia de monitoreo por ventanas fijas secuenciales </w:t>
      </w:r>
      <w:r w:rsidDel="00000000" w:rsidR="00000000" w:rsidRPr="00000000">
        <w:rPr>
          <w:rtl w:val="0"/>
        </w:rPr>
        <w:t xml:space="preserve">que permita detectar oportunamente la degradación del modelo y activar protocolos de reentrenamiento ante posibles cambios en los patrones de los datos a lo largo del tiempo. </w:t>
      </w:r>
    </w:p>
    <w:p w:rsidR="00000000" w:rsidDel="00000000" w:rsidP="00000000" w:rsidRDefault="00000000" w:rsidRPr="00000000" w14:paraId="00000035">
      <w:pPr>
        <w:numPr>
          <w:ilvl w:val="0"/>
          <w:numId w:val="2"/>
        </w:numPr>
        <w:spacing w:line="276" w:lineRule="auto"/>
        <w:ind w:left="600" w:hanging="360"/>
        <w:jc w:val="both"/>
        <w:rPr>
          <w:u w:val="none"/>
        </w:rPr>
      </w:pPr>
      <w:r w:rsidDel="00000000" w:rsidR="00000000" w:rsidRPr="00000000">
        <w:rPr>
          <w:b w:val="1"/>
          <w:bCs w:val="1"/>
          <w:rtl w:val="0"/>
        </w:rPr>
        <w:t xml:space="preserve">Evaluar el desempeño del sistema bajo distintos escenarios de monitoreo</w:t>
      </w:r>
      <w:r w:rsidDel="00000000" w:rsidR="00000000" w:rsidRPr="00000000">
        <w:rPr>
          <w:rtl w:val="0"/>
        </w:rPr>
        <w:t xml:space="preserve">, y definir los protocolos de acción clínica asociados a cada nivel de riesgo, en línea con el esquema Human-in-the-Loop. </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0" w:before="0" w:line="276" w:lineRule="auto"/>
        <w:ind w:left="600" w:firstLine="0"/>
        <w:jc w:val="both"/>
        <w:rPr/>
      </w:pPr>
      <w:r w:rsidDel="00000000" w:rsidR="00000000" w:rsidRPr="00000000">
        <w:rPr>
          <w:rtl w:val="0"/>
        </w:rPr>
      </w:r>
    </w:p>
    <w:p w:rsidR="00000000" w:rsidDel="00000000" w:rsidP="00000000" w:rsidRDefault="00000000" w:rsidRPr="00000000" w14:paraId="00000037">
      <w:pPr>
        <w:pStyle w:val="Heading2"/>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hanging="360"/>
        <w:jc w:val="both"/>
        <w:rPr>
          <w:sz w:val="22"/>
          <w:szCs w:val="22"/>
          <w:u w:val="none"/>
        </w:rPr>
      </w:pPr>
      <w:r w:rsidDel="00000000" w:rsidR="00000000" w:rsidRPr="00000000">
        <w:rPr>
          <w:sz w:val="22"/>
          <w:szCs w:val="22"/>
          <w:rtl w:val="0"/>
        </w:rPr>
        <w:t xml:space="preserve">Definición de Restricciones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0" w:before="0" w:line="276" w:lineRule="auto"/>
        <w:jc w:val="both"/>
        <w:rPr/>
      </w:pPr>
      <w:r w:rsidDel="00000000" w:rsidR="00000000" w:rsidRPr="00000000">
        <w:rPr>
          <w:rtl w:val="0"/>
        </w:rPr>
        <w:t xml:space="preserve">El diseño del sistema responde a limitaciones operacionales, computacionales, éticas y de datos descritas a continuación:</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0" w:before="0" w:line="276" w:lineRule="auto"/>
              <w:jc w:val="both"/>
              <w:rPr>
                <w:shd w:fill="auto" w:val="clear"/>
              </w:rPr>
            </w:pPr>
            <w:r w:rsidDel="00000000" w:rsidR="00000000" w:rsidRPr="00000000">
              <w:rPr>
                <w:shd w:fill="auto" w:val="clear"/>
                <w:rtl w:val="0"/>
              </w:rPr>
              <w:t xml:space="preserve">Categoría de Restricción</w:t>
            </w:r>
          </w:p>
        </w:tc>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0" w:before="0" w:line="276" w:lineRule="auto"/>
              <w:jc w:val="both"/>
              <w:rPr>
                <w:shd w:fill="auto" w:val="clear"/>
              </w:rPr>
            </w:pPr>
            <w:r w:rsidDel="00000000" w:rsidR="00000000" w:rsidRPr="00000000">
              <w:rPr>
                <w:shd w:fill="auto" w:val="clear"/>
                <w:rtl w:val="0"/>
              </w:rPr>
              <w:t xml:space="preserve">Descripción de la Limitación</w:t>
            </w:r>
          </w:p>
        </w:tc>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0" w:before="0" w:line="276" w:lineRule="auto"/>
              <w:jc w:val="both"/>
              <w:rPr>
                <w:shd w:fill="auto" w:val="clear"/>
              </w:rPr>
            </w:pPr>
            <w:r w:rsidDel="00000000" w:rsidR="00000000" w:rsidRPr="00000000">
              <w:rPr>
                <w:shd w:fill="auto" w:val="clear"/>
                <w:rtl w:val="0"/>
              </w:rPr>
              <w:t xml:space="preserve">Impacto en el Sistema de IA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0" w:before="0" w:line="276" w:lineRule="auto"/>
              <w:jc w:val="both"/>
              <w:rPr>
                <w:b w:val="1"/>
                <w:bCs w:val="1"/>
              </w:rPr>
            </w:pPr>
            <w:r w:rsidDel="00000000" w:rsidR="00000000" w:rsidRPr="00000000">
              <w:rPr>
                <w:b w:val="1"/>
                <w:bCs w:val="1"/>
                <w:rtl w:val="0"/>
              </w:rPr>
              <w:t xml:space="preserve">Secuencialidad Temporal</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0" w:before="0" w:line="276" w:lineRule="auto"/>
              <w:jc w:val="both"/>
              <w:rPr/>
            </w:pPr>
            <w:r w:rsidDel="00000000" w:rsidR="00000000" w:rsidRPr="00000000">
              <w:rPr>
                <w:rtl w:val="0"/>
              </w:rPr>
              <w:t xml:space="preserve">No se permite mezclar aleatoriamente el dataset (K-Fold cross-validation convencional está prohibido).</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0" w:before="0" w:line="276" w:lineRule="auto"/>
              <w:jc w:val="both"/>
              <w:rPr/>
            </w:pPr>
            <w:r w:rsidDel="00000000" w:rsidR="00000000" w:rsidRPr="00000000">
              <w:rPr>
                <w:rtl w:val="0"/>
              </w:rPr>
              <w:t xml:space="preserve">La validación debe ser división temporal estricta o rolling window para evitar fuga de información del futuro.</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0" w:before="0" w:line="276" w:lineRule="auto"/>
              <w:jc w:val="both"/>
              <w:rPr>
                <w:b w:val="1"/>
                <w:bCs w:val="1"/>
              </w:rPr>
            </w:pPr>
            <w:r w:rsidDel="00000000" w:rsidR="00000000" w:rsidRPr="00000000">
              <w:rPr>
                <w:b w:val="1"/>
                <w:bCs w:val="1"/>
                <w:rtl w:val="0"/>
              </w:rPr>
              <w:t xml:space="preserve">Autonomía y Decisión Clínica</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0" w:before="0" w:line="276" w:lineRule="auto"/>
              <w:jc w:val="both"/>
              <w:rPr/>
            </w:pPr>
            <w:r w:rsidDel="00000000" w:rsidR="00000000" w:rsidRPr="00000000">
              <w:rPr>
                <w:rtl w:val="0"/>
              </w:rPr>
              <w:t xml:space="preserve">El sistema no puede modificar prescripciones médicas ni emitir bajas o altas médicas de forma 100% autónoma.</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0" w:before="0" w:line="276" w:lineRule="auto"/>
              <w:jc w:val="both"/>
              <w:rPr/>
            </w:pPr>
            <w:r w:rsidDel="00000000" w:rsidR="00000000" w:rsidRPr="00000000">
              <w:rPr>
                <w:rtl w:val="0"/>
              </w:rPr>
              <w:t xml:space="preserve">Opera bajo esquema Human-in-the-Loop (HITL), recomendando planes de seguimiento al médico tratante.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0" w:before="0" w:line="276" w:lineRule="auto"/>
              <w:jc w:val="both"/>
              <w:rPr>
                <w:b w:val="1"/>
                <w:bCs w:val="1"/>
              </w:rPr>
            </w:pPr>
            <w:r w:rsidDel="00000000" w:rsidR="00000000" w:rsidRPr="00000000">
              <w:rPr>
                <w:b w:val="1"/>
                <w:bCs w:val="1"/>
                <w:rtl w:val="0"/>
              </w:rPr>
              <w:t xml:space="preserve">Latencia de Inferencia </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0" w:before="0" w:line="276" w:lineRule="auto"/>
              <w:jc w:val="both"/>
              <w:rPr/>
            </w:pPr>
            <w:r w:rsidDel="00000000" w:rsidR="00000000" w:rsidRPr="00000000">
              <w:rPr>
                <w:rtl w:val="0"/>
              </w:rPr>
              <w:t xml:space="preserve">La predicción debe calcularse en tiempo de preparación del alta médica. Literatura sobre sistemas de soporte a decisión clínica (CDSS) reporta que la evaluación de reglas clínicas sobre datos del paciente debe completarse en menos de 2 segundos para no afectar el flujo de trabajo clínico (Nawaz, 2026). </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0" w:before="0" w:line="276" w:lineRule="auto"/>
              <w:jc w:val="both"/>
              <w:rPr/>
            </w:pPr>
            <w:r w:rsidDel="00000000" w:rsidR="00000000" w:rsidRPr="00000000">
              <w:rPr>
                <w:rtl w:val="0"/>
              </w:rPr>
              <w:t xml:space="preserve">Limita la complejidad de ensambles en tiempo de inferencia directa sobre el sistema hospitalario. Esta restricción responde a que la inferencia se ejecuta en tiempo real dentro del flujo de alta médica: el sistema debe calcular el riesgo automáticamente en el momento en que el médico revisa el resumen de alta en el EHR, sin introducir demoras perceptibles en un proceso clínico que ya opera bajo presión de tiempo.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0" w:before="0" w:line="276" w:lineRule="auto"/>
              <w:jc w:val="both"/>
              <w:rPr>
                <w:b w:val="1"/>
                <w:bCs w:val="1"/>
              </w:rPr>
            </w:pPr>
            <w:r w:rsidDel="00000000" w:rsidR="00000000" w:rsidRPr="00000000">
              <w:rPr>
                <w:b w:val="1"/>
                <w:bCs w:val="1"/>
                <w:rtl w:val="0"/>
              </w:rPr>
              <w:t xml:space="preserve">Privacidad y Normativa (HIPAA, Regla HTI-1 de la ONC)</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0" w:before="0" w:line="276" w:lineRule="auto"/>
              <w:jc w:val="both"/>
              <w:rPr/>
            </w:pPr>
            <w:r w:rsidDel="00000000" w:rsidR="00000000" w:rsidRPr="00000000">
              <w:rPr>
                <w:rtl w:val="0"/>
              </w:rPr>
              <w:t xml:space="preserve">HIPAA: </w:t>
            </w:r>
            <w:r w:rsidDel="00000000" w:rsidR="00000000" w:rsidRPr="00000000">
              <w:rPr>
                <w:rtl w:val="0"/>
              </w:rPr>
              <w:t xml:space="preserve">Manejo de datos sensibles de salud protegidos por normativas de privacidad.</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0" w:before="0" w:line="276" w:lineRule="auto"/>
              <w:jc w:val="both"/>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0" w:before="0" w:line="276" w:lineRule="auto"/>
              <w:jc w:val="both"/>
              <w:rPr/>
            </w:pPr>
            <w:r w:rsidDel="00000000" w:rsidR="00000000" w:rsidRPr="00000000">
              <w:rPr>
                <w:rtl w:val="0"/>
              </w:rPr>
              <w:t xml:space="preserve">ONC: transparencia para la inteligencia artificial (IA) en software médico.</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0" w:before="0" w:line="276" w:lineRule="auto"/>
              <w:jc w:val="both"/>
              <w:rPr/>
            </w:pPr>
            <w:r w:rsidDel="00000000" w:rsidR="00000000" w:rsidRPr="00000000">
              <w:rPr>
                <w:rtl w:val="0"/>
              </w:rPr>
              <w:t xml:space="preserve">El pipeline productivo debe replicar los controles de anonimización ya aplicados en el dataset UCI (eliminación de identificadores directos, agregación de fechas) antes de que cualquier dato ingrese al módulo predictivo, dado que un despliegue real dentro del EHR manejaría datos identificables previos a la desidentificación, sujetos a HIPAA</w:t>
            </w:r>
          </w:p>
        </w:tc>
      </w:tr>
    </w:tbl>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0" w:before="0" w:line="276" w:lineRule="auto"/>
        <w:jc w:val="both"/>
        <w:rPr>
          <w:sz w:val="22"/>
          <w:szCs w:val="22"/>
        </w:rPr>
        <w:sectPr>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4C">
      <w:pPr>
        <w:pStyle w:val="Heading2"/>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hanging="360"/>
        <w:jc w:val="both"/>
        <w:rPr>
          <w:sz w:val="22"/>
          <w:szCs w:val="22"/>
          <w:u w:val="none"/>
        </w:rPr>
      </w:pPr>
      <w:r w:rsidDel="00000000" w:rsidR="00000000" w:rsidRPr="00000000">
        <w:rPr>
          <w:sz w:val="22"/>
          <w:szCs w:val="22"/>
          <w:rtl w:val="0"/>
        </w:rPr>
        <w:t xml:space="preserve">Métricas de Éxito</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0" w:before="0" w:line="276" w:lineRule="auto"/>
        <w:jc w:val="both"/>
        <w:rPr/>
      </w:pPr>
      <w:r w:rsidDel="00000000" w:rsidR="00000000" w:rsidRPr="00000000">
        <w:rPr>
          <w:rtl w:val="0"/>
        </w:rPr>
        <w:t xml:space="preserve">Para evaluar el desempeño holístico del sistema adaptativo, se establecen tres dimensiones de métricas:</w:t>
      </w:r>
    </w:p>
    <w:tbl>
      <w:tblPr>
        <w:tblStyle w:val="Table2"/>
        <w:tblW w:w="13920.0" w:type="dxa"/>
        <w:jc w:val="left"/>
        <w:tblInd w:w="-510.0" w:type="dxa"/>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800"/>
        <w:gridCol w:w="1995"/>
        <w:gridCol w:w="3210"/>
        <w:gridCol w:w="3060"/>
        <w:gridCol w:w="3855"/>
        <w:tblGridChange w:id="0">
          <w:tblGrid>
            <w:gridCol w:w="1800"/>
            <w:gridCol w:w="1995"/>
            <w:gridCol w:w="3210"/>
            <w:gridCol w:w="3060"/>
            <w:gridCol w:w="3855"/>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0" w:before="0" w:line="276" w:lineRule="auto"/>
              <w:jc w:val="center"/>
              <w:rPr>
                <w:b w:val="1"/>
                <w:bCs w:val="1"/>
                <w:sz w:val="20"/>
                <w:szCs w:val="20"/>
                <w:shd w:fill="auto" w:val="clear"/>
              </w:rPr>
            </w:pPr>
            <w:r w:rsidDel="00000000" w:rsidR="00000000" w:rsidRPr="00000000">
              <w:rPr>
                <w:b w:val="1"/>
                <w:bCs w:val="1"/>
                <w:sz w:val="20"/>
                <w:szCs w:val="20"/>
                <w:shd w:fill="auto" w:val="clear"/>
                <w:rtl w:val="0"/>
              </w:rPr>
              <w:t xml:space="preserve">Dimensión</w:t>
            </w:r>
          </w:p>
        </w:tc>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0" w:before="0" w:line="276" w:lineRule="auto"/>
              <w:jc w:val="center"/>
              <w:rPr>
                <w:b w:val="1"/>
                <w:bCs w:val="1"/>
                <w:sz w:val="20"/>
                <w:szCs w:val="20"/>
                <w:shd w:fill="auto" w:val="clear"/>
              </w:rPr>
            </w:pPr>
            <w:r w:rsidDel="00000000" w:rsidR="00000000" w:rsidRPr="00000000">
              <w:rPr>
                <w:b w:val="1"/>
                <w:bCs w:val="1"/>
                <w:sz w:val="20"/>
                <w:szCs w:val="20"/>
                <w:shd w:fill="auto" w:val="clear"/>
                <w:rtl w:val="0"/>
              </w:rPr>
              <w:t xml:space="preserve">Métrica</w:t>
            </w:r>
          </w:p>
        </w:tc>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0" w:before="0" w:line="276" w:lineRule="auto"/>
              <w:jc w:val="center"/>
              <w:rPr>
                <w:b w:val="1"/>
                <w:bCs w:val="1"/>
                <w:sz w:val="20"/>
                <w:szCs w:val="20"/>
                <w:shd w:fill="auto" w:val="clear"/>
              </w:rPr>
            </w:pPr>
            <w:r w:rsidDel="00000000" w:rsidR="00000000" w:rsidRPr="00000000">
              <w:rPr>
                <w:b w:val="1"/>
                <w:bCs w:val="1"/>
                <w:sz w:val="20"/>
                <w:szCs w:val="20"/>
                <w:shd w:fill="auto" w:val="clear"/>
                <w:rtl w:val="0"/>
              </w:rPr>
              <w:t xml:space="preserve">Criterio de Aprobación</w:t>
            </w:r>
          </w:p>
        </w:tc>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0" w:before="0" w:line="276" w:lineRule="auto"/>
              <w:jc w:val="center"/>
              <w:rPr>
                <w:b w:val="1"/>
                <w:bCs w:val="1"/>
                <w:sz w:val="20"/>
                <w:szCs w:val="20"/>
                <w:shd w:fill="auto" w:val="clear"/>
              </w:rPr>
            </w:pPr>
            <w:r w:rsidDel="00000000" w:rsidR="00000000" w:rsidRPr="00000000">
              <w:rPr>
                <w:b w:val="1"/>
                <w:bCs w:val="1"/>
                <w:sz w:val="20"/>
                <w:szCs w:val="20"/>
                <w:rtl w:val="0"/>
              </w:rPr>
              <w:t xml:space="preserve">Justificación</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0" w:before="0" w:line="276" w:lineRule="auto"/>
              <w:jc w:val="center"/>
              <w:rPr>
                <w:b w:val="1"/>
                <w:bCs w:val="1"/>
                <w:sz w:val="20"/>
                <w:szCs w:val="20"/>
              </w:rPr>
            </w:pPr>
            <w:r w:rsidDel="00000000" w:rsidR="00000000" w:rsidRPr="00000000">
              <w:rPr>
                <w:b w:val="1"/>
                <w:bCs w:val="1"/>
                <w:sz w:val="20"/>
                <w:szCs w:val="20"/>
                <w:rtl w:val="0"/>
              </w:rPr>
              <w:t xml:space="preserve">Literatura</w:t>
            </w:r>
            <w:r w:rsidDel="00000000" w:rsidR="00000000" w:rsidRPr="00000000">
              <w:rPr>
                <w:b w:val="1"/>
                <w:bCs w:val="1"/>
                <w:sz w:val="20"/>
                <w:szCs w:val="20"/>
                <w:rtl w:val="0"/>
              </w:rPr>
              <w:t xml:space="preserve"> </w:t>
            </w:r>
          </w:p>
        </w:tc>
      </w:tr>
      <w:tr>
        <w:trPr>
          <w:cantSplit w:val="0"/>
          <w:trHeight w:val="500" w:hRule="atLeast"/>
          <w:tblHeader w:val="0"/>
        </w:trPr>
        <w:tc>
          <w:tcPr>
            <w:vMerge w:val="restart"/>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0" w:before="0" w:line="276" w:lineRule="auto"/>
              <w:jc w:val="both"/>
              <w:rPr>
                <w:b w:val="1"/>
                <w:bCs w:val="1"/>
              </w:rPr>
            </w:pPr>
            <w:r w:rsidDel="00000000" w:rsidR="00000000" w:rsidRPr="00000000">
              <w:rPr>
                <w:b w:val="1"/>
                <w:bCs w:val="1"/>
                <w:sz w:val="20"/>
                <w:szCs w:val="20"/>
                <w:rtl w:val="0"/>
              </w:rPr>
              <w:t xml:space="preserve">Técnicas</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0" w:before="0" w:line="276" w:lineRule="auto"/>
              <w:jc w:val="both"/>
              <w:rPr>
                <w:sz w:val="20"/>
                <w:szCs w:val="20"/>
              </w:rPr>
            </w:pPr>
            <w:r w:rsidDel="00000000" w:rsidR="00000000" w:rsidRPr="00000000">
              <w:rPr>
                <w:sz w:val="20"/>
                <w:szCs w:val="20"/>
                <w:rtl w:val="0"/>
              </w:rPr>
              <w:t xml:space="preserve">ROC-AUC</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0" w:before="0" w:line="276"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sz w:val="21"/>
                <w:szCs w:val="21"/>
                <w:rtl w:val="0"/>
              </w:rPr>
              <w:t xml:space="preserve">0.66 (promedio de ventanas de prueba, con IC95%)</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0" w:before="0" w:line="276" w:lineRule="auto"/>
              <w:jc w:val="both"/>
              <w:rPr>
                <w:sz w:val="20"/>
                <w:szCs w:val="20"/>
              </w:rPr>
            </w:pPr>
            <w:r w:rsidDel="00000000" w:rsidR="00000000" w:rsidRPr="00000000">
              <w:rPr>
                <w:sz w:val="21"/>
                <w:szCs w:val="21"/>
                <w:rtl w:val="0"/>
              </w:rPr>
              <w:t xml:space="preserve">Mide la discriminación del modelo, independiente del umbral.</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0" w:before="0" w:line="276" w:lineRule="auto"/>
              <w:jc w:val="both"/>
              <w:rPr>
                <w:sz w:val="20"/>
                <w:szCs w:val="20"/>
              </w:rPr>
            </w:pPr>
            <w:r w:rsidDel="00000000" w:rsidR="00000000" w:rsidRPr="00000000">
              <w:rPr>
                <w:sz w:val="20"/>
                <w:szCs w:val="20"/>
                <w:rtl w:val="0"/>
              </w:rPr>
              <w:t xml:space="preserve">Investigaciones recientes con este mismo </w:t>
            </w:r>
            <w:r w:rsidDel="00000000" w:rsidR="00000000" w:rsidRPr="00000000">
              <w:rPr>
                <w:i w:val="1"/>
                <w:iCs w:val="1"/>
                <w:sz w:val="20"/>
                <w:szCs w:val="20"/>
                <w:rtl w:val="0"/>
              </w:rPr>
              <w:t xml:space="preserve">dataset</w:t>
            </w:r>
            <w:r w:rsidDel="00000000" w:rsidR="00000000" w:rsidRPr="00000000">
              <w:rPr>
                <w:sz w:val="20"/>
                <w:szCs w:val="20"/>
                <w:rtl w:val="0"/>
              </w:rPr>
              <w:t xml:space="preserve"> reportan un techo de 0.667 con XGBoost y 0.642 con Regresión Logística (Emi-Johnson &amp; Nkrumah, 2025). Kansagara et al. (2011) demostraron que los modelos basados en datos administrativos raramente superan el 0.65-0.70. </w:t>
            </w:r>
          </w:p>
        </w:tc>
      </w:tr>
      <w:tr>
        <w:trPr>
          <w:cantSplit w:val="0"/>
          <w:trHeight w:val="520" w:hRule="atLeast"/>
          <w:tblHeader w:val="0"/>
        </w:trPr>
        <w:tc>
          <w:tcPr>
            <w:vMerge w:val="continue"/>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0" w:before="0" w:line="240" w:lineRule="auto"/>
              <w:ind w:left="0" w:firstLine="0"/>
              <w:jc w:val="both"/>
              <w:rPr>
                <w:b w:val="1"/>
                <w:bCs w:val="1"/>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0" w:before="0" w:line="276" w:lineRule="auto"/>
              <w:jc w:val="both"/>
              <w:rPr>
                <w:sz w:val="20"/>
                <w:szCs w:val="20"/>
              </w:rPr>
            </w:pPr>
            <w:r w:rsidDel="00000000" w:rsidR="00000000" w:rsidRPr="00000000">
              <w:rPr>
                <w:sz w:val="20"/>
                <w:szCs w:val="20"/>
                <w:rtl w:val="0"/>
              </w:rPr>
              <w:t xml:space="preserve">PR-AUC (AUPRC)</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A">
            <w:pPr>
              <w:spacing w:after="240" w:line="276"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0.20</w:t>
            </w:r>
          </w:p>
          <w:p w:rsidR="00000000" w:rsidDel="00000000" w:rsidP="00000000" w:rsidRDefault="00000000" w:rsidRPr="00000000" w14:paraId="0000005B">
            <w:pPr>
              <w:spacing w:after="240" w:line="276" w:lineRule="auto"/>
              <w:jc w:val="both"/>
              <w:rPr>
                <w:i w:val="1"/>
                <w:iCs w:val="1"/>
                <w:sz w:val="20"/>
                <w:szCs w:val="20"/>
              </w:rPr>
            </w:pPr>
            <w:r w:rsidDel="00000000" w:rsidR="00000000" w:rsidRPr="00000000">
              <w:rPr>
                <w:i w:val="1"/>
                <w:iCs w:val="1"/>
                <w:sz w:val="20"/>
                <w:szCs w:val="20"/>
                <w:rtl w:val="0"/>
              </w:rPr>
              <w:t xml:space="preserve">(con un lift </w:t>
            </w: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i w:val="1"/>
                <w:iCs w:val="1"/>
                <w:sz w:val="20"/>
                <w:szCs w:val="20"/>
                <w:rtl w:val="0"/>
              </w:rPr>
              <w:t xml:space="preserve"> 1.8 x sobre prevalencia)</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0" w:before="0" w:line="276" w:lineRule="auto"/>
              <w:jc w:val="both"/>
              <w:rPr>
                <w:sz w:val="20"/>
                <w:szCs w:val="20"/>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0" w:before="0" w:line="276" w:lineRule="auto"/>
              <w:jc w:val="both"/>
              <w:rPr>
                <w:sz w:val="20"/>
                <w:szCs w:val="20"/>
              </w:rPr>
            </w:pPr>
            <w:r w:rsidDel="00000000" w:rsidR="00000000" w:rsidRPr="00000000">
              <w:rPr>
                <w:sz w:val="21"/>
                <w:szCs w:val="21"/>
                <w:rtl w:val="0"/>
              </w:rPr>
              <w:t xml:space="preserve">En datos desbalanceados, la curva precisión-recall es más informativa que la ROC.</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0" w:before="0" w:line="276" w:lineRule="auto"/>
              <w:jc w:val="both"/>
              <w:rPr>
                <w:sz w:val="20"/>
                <w:szCs w:val="20"/>
              </w:rPr>
            </w:pPr>
            <w:r w:rsidDel="00000000" w:rsidR="00000000" w:rsidRPr="00000000">
              <w:rPr>
                <w:rFonts w:ascii="Arial Unicode MS" w:cs="Arial Unicode MS" w:eastAsia="Arial Unicode MS" w:hAnsi="Arial Unicode MS"/>
                <w:sz w:val="21"/>
                <w:szCs w:val="21"/>
                <w:rtl w:val="0"/>
              </w:rPr>
              <w:t xml:space="preserve">La línea base de un modelo sin capacidad predictiva es igual a la prevalencia (Saito &amp; Rehmsmeier, 2015) . 0.112 × 1.8 ≈ 0.20</w:t>
            </w:r>
            <w:r w:rsidDel="00000000" w:rsidR="00000000" w:rsidRPr="00000000">
              <w:rPr>
                <w:rtl w:val="0"/>
              </w:rPr>
            </w:r>
          </w:p>
        </w:tc>
      </w:tr>
      <w:tr>
        <w:trPr>
          <w:cantSplit w:val="0"/>
          <w:trHeight w:val="520" w:hRule="atLeast"/>
          <w:tblHeader w:val="0"/>
        </w:trPr>
        <w:tc>
          <w:tcPr>
            <w:vMerge w:val="continue"/>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0" w:before="0" w:line="240" w:lineRule="auto"/>
              <w:ind w:left="0" w:firstLine="0"/>
              <w:jc w:val="both"/>
              <w:rPr>
                <w:b w:val="1"/>
                <w:bCs w:val="1"/>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0" w:before="0" w:line="276" w:lineRule="auto"/>
              <w:jc w:val="both"/>
              <w:rPr>
                <w:sz w:val="20"/>
                <w:szCs w:val="20"/>
              </w:rPr>
            </w:pPr>
            <w:r w:rsidDel="00000000" w:rsidR="00000000" w:rsidRPr="00000000">
              <w:rPr>
                <w:sz w:val="21"/>
                <w:szCs w:val="21"/>
                <w:rtl w:val="0"/>
              </w:rPr>
              <w:t xml:space="preserve">Brier score</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1">
            <w:pPr>
              <w:spacing w:after="240" w:line="276" w:lineRule="auto"/>
              <w:jc w:val="both"/>
              <w:rPr>
                <w:sz w:val="20"/>
                <w:szCs w:val="20"/>
              </w:rPr>
            </w:pPr>
            <w:r w:rsidDel="00000000" w:rsidR="00000000" w:rsidRPr="00000000">
              <w:rPr>
                <w:rFonts w:ascii="Arial Unicode MS" w:cs="Arial Unicode MS" w:eastAsia="Arial Unicode MS" w:hAnsi="Arial Unicode MS"/>
                <w:sz w:val="21"/>
                <w:szCs w:val="21"/>
                <w:rtl w:val="0"/>
              </w:rPr>
              <w:t xml:space="preserve">≤ 0.095 (equivale a un Brier skill score ≥ 0.045)</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0" w:before="0" w:line="276" w:lineRule="auto"/>
              <w:jc w:val="both"/>
              <w:rPr>
                <w:sz w:val="20"/>
                <w:szCs w:val="20"/>
              </w:rPr>
            </w:pPr>
            <w:r w:rsidDel="00000000" w:rsidR="00000000" w:rsidRPr="00000000">
              <w:rPr>
                <w:sz w:val="21"/>
                <w:szCs w:val="21"/>
                <w:rtl w:val="0"/>
              </w:rPr>
              <w:t xml:space="preserve">Mide a la vez la exactitud y la calibración de las probabilidades.</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0" w:before="0" w:line="276" w:lineRule="auto"/>
              <w:jc w:val="both"/>
              <w:rPr>
                <w:sz w:val="20"/>
                <w:szCs w:val="20"/>
              </w:rPr>
            </w:pPr>
            <w:r w:rsidDel="00000000" w:rsidR="00000000" w:rsidRPr="00000000">
              <w:rPr>
                <w:rFonts w:ascii="Arial Unicode MS" w:cs="Arial Unicode MS" w:eastAsia="Arial Unicode MS" w:hAnsi="Arial Unicode MS"/>
                <w:sz w:val="21"/>
                <w:szCs w:val="21"/>
                <w:rtl w:val="0"/>
              </w:rPr>
              <w:t xml:space="preserve">Predecir siempre la prevalencia da Brier = 0.112 × 0.888 ≈ 0.0995. Con este dataset y validación cruzada anidada se reportó Brier = 0.094 tras calibración de Platt (Salim &amp; Ibrahim, Research Square, 2026)</w:t>
            </w:r>
            <w:r w:rsidDel="00000000" w:rsidR="00000000" w:rsidRPr="00000000">
              <w:rPr>
                <w:rtl w:val="0"/>
              </w:rPr>
            </w:r>
          </w:p>
        </w:tc>
      </w:tr>
      <w:tr>
        <w:trPr>
          <w:cantSplit w:val="0"/>
          <w:trHeight w:val="500" w:hRule="atLeast"/>
          <w:tblHeader w:val="0"/>
        </w:trPr>
        <w:tc>
          <w:tcPr>
            <w:vMerge w:val="restart"/>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4">
            <w:pPr>
              <w:spacing w:line="276" w:lineRule="auto"/>
              <w:jc w:val="both"/>
              <w:rPr>
                <w:b w:val="1"/>
                <w:bCs w:val="1"/>
              </w:rPr>
            </w:pPr>
            <w:r w:rsidDel="00000000" w:rsidR="00000000" w:rsidRPr="00000000">
              <w:rPr>
                <w:b w:val="1"/>
                <w:bCs w:val="1"/>
                <w:sz w:val="20"/>
                <w:szCs w:val="20"/>
                <w:rtl w:val="0"/>
              </w:rPr>
              <w:t xml:space="preserve">De Decisión</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0" w:before="0" w:line="276" w:lineRule="auto"/>
              <w:jc w:val="both"/>
              <w:rPr>
                <w:sz w:val="20"/>
                <w:szCs w:val="20"/>
              </w:rPr>
            </w:pPr>
            <w:r w:rsidDel="00000000" w:rsidR="00000000" w:rsidRPr="00000000">
              <w:rPr>
                <w:sz w:val="21"/>
                <w:szCs w:val="21"/>
                <w:rtl w:val="0"/>
              </w:rPr>
              <w:t xml:space="preserve">Beneficio neto (análisis de curva de decisión, DCA)</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0" w:before="0" w:line="276" w:lineRule="auto"/>
              <w:jc w:val="both"/>
              <w:rPr>
                <w:sz w:val="20"/>
                <w:szCs w:val="20"/>
              </w:rPr>
            </w:pPr>
            <w:r w:rsidDel="00000000" w:rsidR="00000000" w:rsidRPr="00000000">
              <w:rPr>
                <w:sz w:val="21"/>
                <w:szCs w:val="21"/>
                <w:rtl w:val="0"/>
              </w:rPr>
              <w:t xml:space="preserve">Beneficio neto del modelo &gt; máx(intervenir a todos, no intervenir) para umbrales entre 0.05 y 0.30</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0" w:before="0" w:line="276" w:lineRule="auto"/>
              <w:jc w:val="both"/>
              <w:rPr>
                <w:sz w:val="20"/>
                <w:szCs w:val="20"/>
              </w:rPr>
            </w:pPr>
            <w:r w:rsidDel="00000000" w:rsidR="00000000" w:rsidRPr="00000000">
              <w:rPr>
                <w:sz w:val="21"/>
                <w:szCs w:val="21"/>
                <w:rtl w:val="0"/>
              </w:rPr>
              <w:t xml:space="preserve">Comprueba si usar el modelo aporta más valor clínico que las políticas por defecto.</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0" w:before="0" w:line="276" w:lineRule="auto"/>
              <w:jc w:val="both"/>
              <w:rPr>
                <w:sz w:val="20"/>
                <w:szCs w:val="20"/>
              </w:rPr>
            </w:pPr>
            <w:r w:rsidDel="00000000" w:rsidR="00000000" w:rsidRPr="00000000">
              <w:rPr>
                <w:sz w:val="21"/>
                <w:szCs w:val="21"/>
                <w:rtl w:val="0"/>
              </w:rPr>
              <w:t xml:space="preserve">Método de Vickers &amp; Elkin (2006). El rango de umbrales cubre p* bajo todas las eficacias del análisis de sensibilidad (0.09 a 0.29) </w:t>
            </w:r>
            <w:r w:rsidDel="00000000" w:rsidR="00000000" w:rsidRPr="00000000">
              <w:rPr>
                <w:rtl w:val="0"/>
              </w:rPr>
            </w:r>
          </w:p>
        </w:tc>
      </w:tr>
      <w:tr>
        <w:trPr>
          <w:cantSplit w:val="0"/>
          <w:trHeight w:val="500" w:hRule="atLeast"/>
          <w:tblHeader w:val="0"/>
        </w:trPr>
        <w:tc>
          <w:tcPr>
            <w:vMerge w:val="continue"/>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0" w:before="0" w:line="240" w:lineRule="auto"/>
              <w:ind w:left="0" w:firstLine="0"/>
              <w:jc w:val="both"/>
              <w:rPr>
                <w:b w:val="1"/>
                <w:bCs w:val="1"/>
                <w:sz w:val="20"/>
                <w:szCs w:val="20"/>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0" w:before="0" w:line="276" w:lineRule="auto"/>
              <w:jc w:val="both"/>
              <w:rPr>
                <w:sz w:val="20"/>
                <w:szCs w:val="20"/>
              </w:rPr>
            </w:pPr>
            <w:r w:rsidDel="00000000" w:rsidR="00000000" w:rsidRPr="00000000">
              <w:rPr>
                <w:sz w:val="20"/>
                <w:szCs w:val="20"/>
                <w:rtl w:val="0"/>
              </w:rPr>
              <w:t xml:space="preserve">Costo esperado por cada 1,000 altas</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B">
            <w:pPr>
              <w:spacing w:after="240" w:line="276" w:lineRule="auto"/>
              <w:jc w:val="both"/>
              <w:rPr>
                <w:sz w:val="20"/>
                <w:szCs w:val="20"/>
              </w:rPr>
            </w:pPr>
            <w:r w:rsidDel="00000000" w:rsidR="00000000" w:rsidRPr="00000000">
              <w:rPr>
                <w:sz w:val="20"/>
                <w:szCs w:val="20"/>
                <w:rtl w:val="0"/>
              </w:rPr>
              <w:t xml:space="preserve">C_modelo</w:t>
            </w:r>
            <w:r w:rsidDel="00000000" w:rsidR="00000000" w:rsidRPr="00000000">
              <w:rPr>
                <w:sz w:val="20"/>
                <w:szCs w:val="20"/>
                <w:rtl w:val="0"/>
              </w:rPr>
              <w:t xml:space="preserve"> &lt; </w:t>
            </w:r>
            <w:r w:rsidDel="00000000" w:rsidR="00000000" w:rsidRPr="00000000">
              <w:rPr>
                <w:sz w:val="20"/>
                <w:szCs w:val="20"/>
                <w:rtl w:val="0"/>
              </w:rPr>
              <w:t xml:space="preserve">min</w:t>
            </w:r>
            <w:r w:rsidDel="00000000" w:rsidR="00000000" w:rsidRPr="00000000">
              <w:rPr>
                <w:sz w:val="20"/>
                <w:szCs w:val="20"/>
                <w:rtl w:val="0"/>
              </w:rPr>
              <w:t xml:space="preserve">(</w:t>
            </w:r>
            <w:r w:rsidDel="00000000" w:rsidR="00000000" w:rsidRPr="00000000">
              <w:rPr>
                <w:sz w:val="20"/>
                <w:szCs w:val="20"/>
                <w:rtl w:val="0"/>
              </w:rPr>
              <w:t xml:space="preserve">C_intervenir</w:t>
            </w:r>
            <w:r w:rsidDel="00000000" w:rsidR="00000000" w:rsidRPr="00000000">
              <w:rPr>
                <w:sz w:val="20"/>
                <w:szCs w:val="20"/>
                <w:rtl w:val="0"/>
              </w:rPr>
              <w:t xml:space="preserve"> a_todos, C_no intervenir), en el caso base (e = 0.18) y reportado para e = 0.12 y e = 0.38</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0" w:before="0" w:line="276" w:lineRule="auto"/>
              <w:jc w:val="both"/>
              <w:rPr>
                <w:sz w:val="20"/>
                <w:szCs w:val="20"/>
              </w:rPr>
            </w:pPr>
            <w:r w:rsidDel="00000000" w:rsidR="00000000" w:rsidRPr="00000000">
              <w:rPr>
                <w:sz w:val="20"/>
                <w:szCs w:val="20"/>
                <w:rtl w:val="0"/>
              </w:rPr>
              <w:t xml:space="preserve">Traduce los errores del modelo en impacto económico usando la fórmula de costo esperado.</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0" w:before="0" w:line="276" w:lineRule="auto"/>
              <w:jc w:val="both"/>
              <w:rPr>
                <w:sz w:val="20"/>
                <w:szCs w:val="20"/>
              </w:rPr>
            </w:pPr>
            <w:r w:rsidDel="00000000" w:rsidR="00000000" w:rsidRPr="00000000">
              <w:rPr>
                <w:sz w:val="20"/>
                <w:szCs w:val="20"/>
                <w:rtl w:val="0"/>
              </w:rPr>
              <w:t xml:space="preserve">C_r: Ghabowen et al. (2024). e: Leppin et al. (2014) y Drincic et al. (2017). C_i</w:t>
            </w:r>
          </w:p>
        </w:tc>
      </w:tr>
      <w:tr>
        <w:trPr>
          <w:cantSplit w:val="0"/>
          <w:trHeight w:val="520" w:hRule="atLeast"/>
          <w:tblHeader w:val="0"/>
        </w:trPr>
        <w:tc>
          <w:tcPr>
            <w:vMerge w:val="continue"/>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0" w:before="0" w:line="240" w:lineRule="auto"/>
              <w:ind w:left="0" w:firstLine="0"/>
              <w:jc w:val="both"/>
              <w:rPr>
                <w:b w:val="1"/>
                <w:bCs w:val="1"/>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0" w:before="0" w:line="276" w:lineRule="auto"/>
              <w:jc w:val="both"/>
              <w:rPr>
                <w:sz w:val="20"/>
                <w:szCs w:val="20"/>
              </w:rPr>
            </w:pPr>
            <w:r w:rsidDel="00000000" w:rsidR="00000000" w:rsidRPr="00000000">
              <w:rPr>
                <w:sz w:val="20"/>
                <w:szCs w:val="20"/>
                <w:rtl w:val="0"/>
              </w:rPr>
              <w:t xml:space="preserve">Tasa de alertas de Alto Riesgo</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0" w:before="0" w:line="276"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K_alto = 15% de las altas por ventana</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0" w:before="0" w:line="276" w:lineRule="auto"/>
              <w:jc w:val="both"/>
              <w:rPr>
                <w:sz w:val="20"/>
                <w:szCs w:val="20"/>
              </w:rPr>
            </w:pPr>
            <w:r w:rsidDel="00000000" w:rsidR="00000000" w:rsidRPr="00000000">
              <w:rPr>
                <w:sz w:val="20"/>
                <w:szCs w:val="20"/>
                <w:rtl w:val="0"/>
              </w:rPr>
              <w:t xml:space="preserve">Un exceso de alertas genera fatiga de alertas.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0" w:before="0" w:line="276" w:lineRule="auto"/>
              <w:jc w:val="both"/>
              <w:rPr>
                <w:sz w:val="20"/>
                <w:szCs w:val="20"/>
              </w:rPr>
            </w:pPr>
            <w:r w:rsidDel="00000000" w:rsidR="00000000" w:rsidRPr="00000000">
              <w:rPr>
                <w:sz w:val="20"/>
                <w:szCs w:val="20"/>
                <w:rtl w:val="0"/>
              </w:rPr>
              <w:t xml:space="preserve">Las tasas de omisión (override) reportadas para alertas de medicación van de 49% a 96% (van der Sijs et al., 2006), y la carga de alertas se asocia a fatiga (Ancker et al., 2017). </w:t>
            </w:r>
          </w:p>
        </w:tc>
      </w:tr>
      <w:tr>
        <w:trPr>
          <w:cantSplit w:val="0"/>
          <w:trHeight w:val="500" w:hRule="atLeast"/>
          <w:tblHeader w:val="0"/>
        </w:trPr>
        <w:tc>
          <w:tcPr>
            <w:vMerge w:val="restart"/>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0" w:before="0" w:line="276" w:lineRule="auto"/>
              <w:jc w:val="both"/>
              <w:rPr>
                <w:b w:val="1"/>
                <w:bCs w:val="1"/>
              </w:rPr>
            </w:pPr>
            <w:r w:rsidDel="00000000" w:rsidR="00000000" w:rsidRPr="00000000">
              <w:rPr>
                <w:b w:val="1"/>
                <w:bCs w:val="1"/>
                <w:sz w:val="20"/>
                <w:szCs w:val="20"/>
                <w:rtl w:val="0"/>
              </w:rPr>
              <w:t xml:space="preserve">Sociales / Éticas</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0" w:before="0" w:line="276" w:lineRule="auto"/>
              <w:jc w:val="both"/>
              <w:rPr>
                <w:sz w:val="20"/>
                <w:szCs w:val="20"/>
              </w:rPr>
            </w:pPr>
            <w:r w:rsidDel="00000000" w:rsidR="00000000" w:rsidRPr="00000000">
              <w:rPr>
                <w:sz w:val="20"/>
                <w:szCs w:val="20"/>
                <w:rtl w:val="0"/>
              </w:rPr>
              <w:t xml:space="preserve">Igualdad de oportunidad (razón de tasas de falsos negativos)</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0" w:before="0" w:line="276" w:lineRule="auto"/>
              <w:ind w:left="0" w:firstLine="0"/>
              <w:jc w:val="both"/>
              <w:rPr>
                <w:sz w:val="20"/>
                <w:szCs w:val="20"/>
              </w:rPr>
            </w:pPr>
            <w:r w:rsidDel="00000000" w:rsidR="00000000" w:rsidRPr="00000000">
              <w:rPr>
                <w:rFonts w:ascii="Arial Unicode MS" w:cs="Arial Unicode MS" w:eastAsia="Arial Unicode MS" w:hAnsi="Arial Unicode MS"/>
                <w:sz w:val="20"/>
                <w:szCs w:val="20"/>
                <w:rtl w:val="0"/>
              </w:rPr>
              <w:t xml:space="preserve">Razón de FNR entre grupos entre 0.87 y 1.15. Grupos: edad ≥ 70 vs. &lt; 70, y cada categoría de race vs. Caucasian. Solo se evalúa en grupos con ≥ 100 reingresos (agregando ventanas si hace falta) y se reporta con IC95%.</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0" w:before="0" w:line="276" w:lineRule="auto"/>
              <w:jc w:val="both"/>
              <w:rPr>
                <w:sz w:val="20"/>
                <w:szCs w:val="20"/>
              </w:rPr>
            </w:pPr>
            <w:r w:rsidDel="00000000" w:rsidR="00000000" w:rsidRPr="00000000">
              <w:rPr>
                <w:sz w:val="20"/>
                <w:szCs w:val="20"/>
                <w:rtl w:val="0"/>
              </w:rPr>
              <w:t xml:space="preserve">Busca que el modelo no deje pasar más pacientes que sí reingresan en un grupo que en otro. La FNR se calcula solo sobre los pacientes que reingresan; por eso el mínimo se cuenta en reingresos.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0" w:before="0" w:line="276" w:lineRule="auto"/>
              <w:jc w:val="both"/>
              <w:rPr>
                <w:sz w:val="20"/>
                <w:szCs w:val="20"/>
              </w:rPr>
            </w:pPr>
            <w:r w:rsidDel="00000000" w:rsidR="00000000" w:rsidRPr="00000000">
              <w:rPr>
                <w:sz w:val="20"/>
                <w:szCs w:val="20"/>
                <w:rtl w:val="0"/>
              </w:rPr>
              <w:t xml:space="preserve">Criterio de igualdad de oportunidad (Hardt et al., 2016). 0.87 = 1/1.15; el valor 1.15 es decisión del equipo</w:t>
            </w:r>
          </w:p>
        </w:tc>
      </w:tr>
      <w:tr>
        <w:trPr>
          <w:cantSplit w:val="0"/>
          <w:trHeight w:val="520" w:hRule="atLeast"/>
          <w:tblHeader w:val="0"/>
        </w:trPr>
        <w:tc>
          <w:tcPr>
            <w:vMerge w:val="continue"/>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0" w:before="0" w:line="240" w:lineRule="auto"/>
              <w:ind w:left="0" w:firstLine="0"/>
              <w:jc w:val="both"/>
              <w:rPr>
                <w:b w:val="1"/>
                <w:bCs w:val="1"/>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0" w:before="0" w:line="276" w:lineRule="auto"/>
              <w:jc w:val="both"/>
              <w:rPr>
                <w:sz w:val="20"/>
                <w:szCs w:val="20"/>
              </w:rPr>
            </w:pPr>
            <w:r w:rsidDel="00000000" w:rsidR="00000000" w:rsidRPr="00000000">
              <w:rPr>
                <w:sz w:val="20"/>
                <w:szCs w:val="20"/>
                <w:rtl w:val="0"/>
              </w:rPr>
              <w:t xml:space="preserve">Disparate Impact (Regla del 80%)</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0" w:before="0" w:line="276" w:lineRule="auto"/>
              <w:jc w:val="both"/>
              <w:rPr>
                <w:sz w:val="20"/>
                <w:szCs w:val="20"/>
              </w:rPr>
            </w:pPr>
            <w:r w:rsidDel="00000000" w:rsidR="00000000" w:rsidRPr="00000000">
              <w:rPr>
                <w:sz w:val="20"/>
                <w:szCs w:val="20"/>
                <w:rtl w:val="0"/>
              </w:rPr>
              <w:t xml:space="preserve">Ratio de la </w:t>
            </w:r>
            <w:r w:rsidDel="00000000" w:rsidR="00000000" w:rsidRPr="00000000">
              <w:rPr>
                <w:b w:val="1"/>
                <w:bCs w:val="1"/>
                <w:sz w:val="20"/>
                <w:szCs w:val="20"/>
                <w:rtl w:val="0"/>
              </w:rPr>
              <w:t xml:space="preserve">tasa de selección</w:t>
            </w:r>
            <w:r w:rsidDel="00000000" w:rsidR="00000000" w:rsidRPr="00000000">
              <w:rPr>
                <w:sz w:val="20"/>
                <w:szCs w:val="20"/>
                <w:rtl w:val="0"/>
              </w:rPr>
              <w:t xml:space="preserve"> (porcentaje de pacientes marcados con alerta preventiva) entre grupos </w:t>
            </w:r>
            <w:r w:rsidDel="00000000" w:rsidR="00000000" w:rsidRPr="00000000">
              <w:rPr>
                <w:b w:val="1"/>
                <w:bCs w:val="1"/>
                <w:sz w:val="20"/>
                <w:szCs w:val="20"/>
                <w:rtl w:val="0"/>
              </w:rPr>
              <w:t xml:space="preserve">&gt;= 0.80</w:t>
            </w:r>
            <w:r w:rsidDel="00000000" w:rsidR="00000000" w:rsidRPr="00000000">
              <w:rPr>
                <w:sz w:val="20"/>
                <w:szCs w:val="20"/>
                <w:rtl w:val="0"/>
              </w:rPr>
              <w:t xml:space="preserv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0" w:before="0" w:line="276" w:lineRule="auto"/>
              <w:jc w:val="both"/>
              <w:rPr>
                <w:sz w:val="20"/>
                <w:szCs w:val="20"/>
              </w:rPr>
            </w:pPr>
            <w:r w:rsidDel="00000000" w:rsidR="00000000" w:rsidRPr="00000000">
              <w:rPr>
                <w:sz w:val="20"/>
                <w:szCs w:val="20"/>
                <w:rtl w:val="0"/>
              </w:rPr>
              <w:t xml:space="preserve">Asegura equidad en el acceso a los recursos del hospital. Verifica que el sistema no esté excluyendo sistemáticamente a un grupo demográfico de recibir atención preventiva prioritaria.</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0" w:before="0" w:line="276" w:lineRule="auto"/>
              <w:jc w:val="both"/>
              <w:rPr>
                <w:sz w:val="20"/>
                <w:szCs w:val="20"/>
              </w:rPr>
            </w:pPr>
            <w:r w:rsidDel="00000000" w:rsidR="00000000" w:rsidRPr="00000000">
              <w:rPr>
                <w:sz w:val="20"/>
                <w:szCs w:val="20"/>
                <w:rtl w:val="0"/>
              </w:rPr>
              <w:t xml:space="preserve">Es el estándar legal basado en la regla de los 4/5 de la EEOC en EE. UU. A diferencia del error común, esta métrica se aplica sobre quién recibe la "alerta", no sobre la tasa de error del modelo.</w:t>
            </w:r>
          </w:p>
        </w:tc>
      </w:tr>
      <w:tr>
        <w:trPr>
          <w:cantSplit w:val="0"/>
          <w:trHeight w:val="520" w:hRule="atLeast"/>
          <w:tblHeader w:val="0"/>
        </w:trPr>
        <w:tc>
          <w:tcPr>
            <w:vMerge w:val="continue"/>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0" w:before="0" w:line="240" w:lineRule="auto"/>
              <w:ind w:left="0" w:firstLine="0"/>
              <w:jc w:val="both"/>
              <w:rPr>
                <w:b w:val="1"/>
                <w:bCs w:val="1"/>
              </w:rPr>
            </w:pP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0" w:before="0" w:line="276" w:lineRule="auto"/>
              <w:jc w:val="both"/>
              <w:rPr>
                <w:sz w:val="20"/>
                <w:szCs w:val="20"/>
              </w:rPr>
            </w:pPr>
            <w:r w:rsidDel="00000000" w:rsidR="00000000" w:rsidRPr="00000000">
              <w:rPr>
                <w:sz w:val="20"/>
                <w:szCs w:val="20"/>
                <w:rtl w:val="0"/>
              </w:rPr>
              <w:t xml:space="preserve">Calibración por Subgrupo</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0" w:before="0" w:line="276" w:lineRule="auto"/>
              <w:jc w:val="both"/>
              <w:rPr>
                <w:sz w:val="20"/>
                <w:szCs w:val="20"/>
              </w:rPr>
            </w:pPr>
            <w:r w:rsidDel="00000000" w:rsidR="00000000" w:rsidRPr="00000000">
              <w:rPr>
                <w:sz w:val="20"/>
                <w:szCs w:val="20"/>
                <w:rtl w:val="0"/>
              </w:rPr>
              <w:t xml:space="preserve">Curva de calibración (</w:t>
            </w:r>
            <w:r w:rsidDel="00000000" w:rsidR="00000000" w:rsidRPr="00000000">
              <w:rPr>
                <w:i w:val="1"/>
                <w:iCs w:val="1"/>
                <w:sz w:val="20"/>
                <w:szCs w:val="20"/>
                <w:rtl w:val="0"/>
              </w:rPr>
              <w:t xml:space="preserve">slope</w:t>
            </w:r>
            <w:r w:rsidDel="00000000" w:rsidR="00000000" w:rsidRPr="00000000">
              <w:rPr>
                <w:sz w:val="20"/>
                <w:szCs w:val="20"/>
                <w:rtl w:val="0"/>
              </w:rPr>
              <w:t xml:space="preserve"> &amp; </w:t>
            </w:r>
            <w:r w:rsidDel="00000000" w:rsidR="00000000" w:rsidRPr="00000000">
              <w:rPr>
                <w:i w:val="1"/>
                <w:iCs w:val="1"/>
                <w:sz w:val="20"/>
                <w:szCs w:val="20"/>
                <w:rtl w:val="0"/>
              </w:rPr>
              <w:t xml:space="preserve">intercept</w:t>
            </w:r>
            <w:r w:rsidDel="00000000" w:rsidR="00000000" w:rsidRPr="00000000">
              <w:rPr>
                <w:sz w:val="20"/>
                <w:szCs w:val="20"/>
                <w:rtl w:val="0"/>
              </w:rPr>
              <w:t xml:space="preserve">) aceptable dentro de cada grupo (edad, raza).</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0" w:before="0" w:line="276" w:lineRule="auto"/>
              <w:jc w:val="both"/>
              <w:rPr>
                <w:sz w:val="20"/>
                <w:szCs w:val="20"/>
              </w:rPr>
            </w:pPr>
            <w:r w:rsidDel="00000000" w:rsidR="00000000" w:rsidRPr="00000000">
              <w:rPr>
                <w:sz w:val="20"/>
                <w:szCs w:val="20"/>
                <w:rtl w:val="0"/>
              </w:rPr>
              <w:t xml:space="preserve">Un modelo puede parecer perfecto a nivel global, pero estar subestimando el riesgo específicamente en pacientes de una raza minoritaria, lo cual es clínicamente inaceptable.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0" w:before="0" w:line="276" w:lineRule="auto"/>
              <w:jc w:val="both"/>
              <w:rPr>
                <w:sz w:val="20"/>
                <w:szCs w:val="20"/>
              </w:rPr>
            </w:pPr>
            <w:r w:rsidDel="00000000" w:rsidR="00000000" w:rsidRPr="00000000">
              <w:rPr>
                <w:sz w:val="20"/>
                <w:szCs w:val="20"/>
                <w:rtl w:val="0"/>
              </w:rPr>
              <w:t xml:space="preserve">Van Calster et al. (2019) y Chouldechova (2017) señalan que auditar la calibración dentro de cada subgrupo es crítico. Es imposible satisfacer equidad y calibración perfectamente al mismo tiempo si las tasas base difieren, por lo que monitorear ambas expone los verdaderos sesgos del sistema.</w:t>
            </w:r>
          </w:p>
        </w:tc>
      </w:tr>
    </w:tbl>
    <w:p w:rsidR="00000000" w:rsidDel="00000000" w:rsidP="00000000" w:rsidRDefault="00000000" w:rsidRPr="00000000" w14:paraId="00000082">
      <w:pPr>
        <w:spacing w:after="0" w:before="0" w:line="276" w:lineRule="auto"/>
        <w:jc w:val="both"/>
        <w:rPr>
          <w:sz w:val="22"/>
          <w:szCs w:val="22"/>
        </w:rPr>
        <w:sectPr>
          <w:type w:val="nextPage"/>
          <w:pgSz w:h="12240" w:w="15840" w:orient="landscape"/>
          <w:pgMar w:bottom="1440" w:top="1440" w:left="1440" w:right="1440" w:header="0" w:footer="720"/>
        </w:sectPr>
      </w:pPr>
      <w:r w:rsidDel="00000000" w:rsidR="00000000" w:rsidRPr="00000000">
        <w:rPr>
          <w:rtl w:val="0"/>
        </w:rPr>
      </w:r>
    </w:p>
    <w:p w:rsidR="00000000" w:rsidDel="00000000" w:rsidP="00000000" w:rsidRDefault="00000000" w:rsidRPr="00000000" w14:paraId="00000083">
      <w:pPr>
        <w:pStyle w:val="Heading2"/>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hanging="360"/>
        <w:jc w:val="both"/>
        <w:rPr>
          <w:sz w:val="22"/>
          <w:szCs w:val="22"/>
          <w:u w:val="none"/>
        </w:rPr>
      </w:pPr>
      <w:r w:rsidDel="00000000" w:rsidR="00000000" w:rsidRPr="00000000">
        <w:rPr>
          <w:sz w:val="22"/>
          <w:szCs w:val="22"/>
          <w:rtl w:val="0"/>
        </w:rPr>
        <w:t xml:space="preserve">Diseño del Sistema de IA y Arquitectura</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0" w:before="0" w:line="276" w:lineRule="auto"/>
        <w:jc w:val="both"/>
        <w:rPr/>
      </w:pPr>
      <w:r w:rsidDel="00000000" w:rsidR="00000000" w:rsidRPr="00000000">
        <w:rPr>
          <w:rtl w:val="0"/>
        </w:rPr>
        <w:t xml:space="preserve">El sistema está diseñado para operar como una herramienta de soporte integrada dentro del flujo de trabajo clínico existente, no como una aplicación independiente. El </w:t>
      </w:r>
      <w:r w:rsidDel="00000000" w:rsidR="00000000" w:rsidRPr="00000000">
        <w:rPr>
          <w:b w:val="1"/>
          <w:bCs w:val="1"/>
          <w:rtl w:val="0"/>
        </w:rPr>
        <w:t xml:space="preserve">usuario principal es el médico tratante </w:t>
      </w:r>
      <w:r w:rsidDel="00000000" w:rsidR="00000000" w:rsidRPr="00000000">
        <w:rPr>
          <w:rtl w:val="0"/>
        </w:rPr>
        <w:t xml:space="preserve">o el equipo de enfermería responsable del alta, quienes interactúan con el sistema en el momento exacto en que completan el proceso de alta médica dentro del sistema EHR. Al finalizar la evaluación clínica del paciente, el módulo predictivo se activa automáticamente y despliega el nivel de riesgo estimado (junto con las variables explicativas principales) directamente en la pantalla de "Resumen de Alta", sin requerir una solicitud manual por parte del personal médico. </w:t>
      </w:r>
      <w:r w:rsidDel="00000000" w:rsidR="00000000" w:rsidRPr="00000000">
        <w:rPr>
          <w:b w:val="1"/>
          <w:bCs w:val="1"/>
          <w:rtl w:val="0"/>
        </w:rPr>
        <w:t xml:space="preserve">El sistema sugiere un protocolo de seguimiento según el riesgo calculado</w:t>
      </w:r>
      <w:r w:rsidDel="00000000" w:rsidR="00000000" w:rsidRPr="00000000">
        <w:rPr>
          <w:rtl w:val="0"/>
        </w:rPr>
        <w:t xml:space="preserve">, pero es el médico quien aprueba, modifica o descarta la recomendación, en línea con el esquema Human-in-the-Loop definido en las restricciones.</w:t>
      </w:r>
      <w:r w:rsidDel="00000000" w:rsidR="00000000" w:rsidRPr="00000000">
        <w:rPr>
          <w:rtl w:val="0"/>
        </w:rPr>
      </w:r>
    </w:p>
    <w:p w:rsidR="00000000" w:rsidDel="00000000" w:rsidP="00000000" w:rsidRDefault="00000000" w:rsidRPr="00000000" w14:paraId="00000085">
      <w:pPr>
        <w:spacing w:after="240" w:before="240" w:line="276" w:lineRule="auto"/>
        <w:jc w:val="both"/>
        <w:rPr/>
      </w:pPr>
      <w:r w:rsidDel="00000000" w:rsidR="00000000" w:rsidRPr="00000000">
        <w:rPr>
          <w:rtl w:val="0"/>
        </w:rPr>
        <w:t xml:space="preserve">El sistema se concibe como un pipeline continuo adaptativo compuesto por </w:t>
      </w:r>
      <w:r w:rsidDel="00000000" w:rsidR="00000000" w:rsidRPr="00000000">
        <w:rPr>
          <w:b w:val="1"/>
          <w:bCs w:val="1"/>
          <w:rtl w:val="0"/>
        </w:rPr>
        <w:t xml:space="preserve">6 módulos</w:t>
      </w:r>
      <w:r w:rsidDel="00000000" w:rsidR="00000000" w:rsidRPr="00000000">
        <w:rPr>
          <w:rtl w:val="0"/>
        </w:rPr>
        <w:t xml:space="preserve"> principales interconectados:</w:t>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spacing w:after="0" w:before="0" w:line="276" w:lineRule="auto"/>
        <w:ind w:left="600" w:hanging="360"/>
        <w:jc w:val="both"/>
        <w:rPr/>
      </w:pPr>
      <w:r w:rsidDel="00000000" w:rsidR="00000000" w:rsidRPr="00000000">
        <w:rPr>
          <w:b w:val="1"/>
          <w:bCs w:val="1"/>
          <w:rtl w:val="0"/>
        </w:rPr>
        <w:t xml:space="preserve">Módulo de Adquisición e Integración de Datos:</w:t>
      </w:r>
    </w:p>
    <w:p w:rsidR="00000000" w:rsidDel="00000000" w:rsidP="00000000" w:rsidRDefault="00000000" w:rsidRPr="00000000" w14:paraId="00000087">
      <w:pPr>
        <w:numPr>
          <w:ilvl w:val="1"/>
          <w:numId w:val="4"/>
        </w:numPr>
        <w:pBdr>
          <w:top w:space="0" w:sz="0" w:val="nil"/>
          <w:left w:space="0" w:sz="0" w:val="nil"/>
          <w:bottom w:space="0" w:sz="0" w:val="nil"/>
          <w:right w:space="0" w:sz="0" w:val="nil"/>
          <w:between w:space="0" w:sz="0" w:val="nil"/>
        </w:pBdr>
        <w:shd w:fill="auto" w:val="clear"/>
        <w:spacing w:after="0" w:before="0" w:line="276" w:lineRule="auto"/>
        <w:ind w:left="1200" w:hanging="360"/>
        <w:jc w:val="both"/>
        <w:rPr/>
      </w:pPr>
      <w:r w:rsidDel="00000000" w:rsidR="00000000" w:rsidRPr="00000000">
        <w:rPr>
          <w:rtl w:val="0"/>
        </w:rPr>
        <w:t xml:space="preserve">Ingesta continua de registros clínicos de alta desde el sistema de Historia Clínica Electrónica (EHR).</w:t>
      </w:r>
    </w:p>
    <w:p w:rsidR="00000000" w:rsidDel="00000000" w:rsidP="00000000" w:rsidRDefault="00000000" w:rsidRPr="00000000" w14:paraId="00000088">
      <w:pPr>
        <w:numPr>
          <w:ilvl w:val="1"/>
          <w:numId w:val="4"/>
        </w:numPr>
        <w:pBdr>
          <w:top w:space="0" w:sz="0" w:val="nil"/>
          <w:left w:space="0" w:sz="0" w:val="nil"/>
          <w:bottom w:space="0" w:sz="0" w:val="nil"/>
          <w:right w:space="0" w:sz="0" w:val="nil"/>
          <w:between w:space="0" w:sz="0" w:val="nil"/>
        </w:pBdr>
        <w:shd w:fill="auto" w:val="clear"/>
        <w:spacing w:after="0" w:before="0" w:line="276" w:lineRule="auto"/>
        <w:ind w:left="1200" w:hanging="360"/>
        <w:jc w:val="both"/>
        <w:rPr/>
      </w:pPr>
      <w:r w:rsidDel="00000000" w:rsidR="00000000" w:rsidRPr="00000000">
        <w:rPr>
          <w:rtl w:val="0"/>
        </w:rPr>
        <w:t xml:space="preserve">Integración de datos demográficos (`age`, `race`), clínicos (`time_in_hospital`, `num_lab_procedures`, `num_medications`, `number_inpatient`), diagnósticos principales (`diag_1`, `diag_2`, `diag_3`) y esquemas de medicación (`metformin`, `insulin`, `change`).</w:t>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spacing w:after="0" w:before="0" w:line="276" w:lineRule="auto"/>
        <w:ind w:left="600" w:hanging="360"/>
        <w:jc w:val="both"/>
        <w:rPr/>
      </w:pPr>
      <w:r w:rsidDel="00000000" w:rsidR="00000000" w:rsidRPr="00000000">
        <w:rPr>
          <w:b w:val="1"/>
          <w:bCs w:val="1"/>
          <w:rtl w:val="0"/>
        </w:rPr>
        <w:t xml:space="preserve">Módulo Predictivo Adaptativo:</w:t>
      </w:r>
    </w:p>
    <w:p w:rsidR="00000000" w:rsidDel="00000000" w:rsidP="00000000" w:rsidRDefault="00000000" w:rsidRPr="00000000" w14:paraId="0000008A">
      <w:pPr>
        <w:numPr>
          <w:ilvl w:val="1"/>
          <w:numId w:val="5"/>
        </w:numPr>
        <w:pBdr>
          <w:top w:space="0" w:sz="0" w:val="nil"/>
          <w:left w:space="0" w:sz="0" w:val="nil"/>
          <w:bottom w:space="0" w:sz="0" w:val="nil"/>
          <w:right w:space="0" w:sz="0" w:val="nil"/>
          <w:between w:space="0" w:sz="0" w:val="nil"/>
        </w:pBdr>
        <w:shd w:fill="auto" w:val="clear"/>
        <w:spacing w:after="0" w:before="0" w:line="276" w:lineRule="auto"/>
        <w:ind w:left="1200" w:hanging="360"/>
        <w:jc w:val="both"/>
        <w:rPr/>
      </w:pPr>
      <w:r w:rsidDel="00000000" w:rsidR="00000000" w:rsidRPr="00000000">
        <w:rPr>
          <w:rtl w:val="0"/>
        </w:rPr>
        <w:t xml:space="preserve">Ejecución del preprocesamiento y transformación de variables en tiempo real.</w:t>
      </w:r>
    </w:p>
    <w:p w:rsidR="00000000" w:rsidDel="00000000" w:rsidP="00000000" w:rsidRDefault="00000000" w:rsidRPr="00000000" w14:paraId="0000008B">
      <w:pPr>
        <w:numPr>
          <w:ilvl w:val="1"/>
          <w:numId w:val="5"/>
        </w:numPr>
        <w:pBdr>
          <w:top w:space="0" w:sz="0" w:val="nil"/>
          <w:left w:space="0" w:sz="0" w:val="nil"/>
          <w:bottom w:space="0" w:sz="0" w:val="nil"/>
          <w:right w:space="0" w:sz="0" w:val="nil"/>
          <w:between w:space="0" w:sz="0" w:val="nil"/>
        </w:pBdr>
        <w:shd w:fill="auto" w:val="clear"/>
        <w:spacing w:after="0" w:before="0" w:line="276" w:lineRule="auto"/>
        <w:ind w:left="1200" w:hanging="360"/>
        <w:jc w:val="both"/>
        <w:rPr/>
      </w:pPr>
      <w:r w:rsidDel="00000000" w:rsidR="00000000" w:rsidRPr="00000000">
        <w:rPr>
          <w:rtl w:val="0"/>
        </w:rPr>
        <w:t xml:space="preserve">Inferencia mediante el modelo supervisado activo para calcular la probabilidad ajustada de reingreso dentro de los 30 días.</w:t>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spacing w:after="0" w:before="0" w:line="276" w:lineRule="auto"/>
        <w:ind w:left="600" w:hanging="360"/>
        <w:jc w:val="both"/>
        <w:rPr/>
      </w:pPr>
      <w:r w:rsidDel="00000000" w:rsidR="00000000" w:rsidRPr="00000000">
        <w:rPr>
          <w:b w:val="1"/>
          <w:bCs w:val="1"/>
          <w:rtl w:val="0"/>
        </w:rPr>
        <w:t xml:space="preserve">Módulo de Manejo de Incertidumbre:</w:t>
      </w:r>
    </w:p>
    <w:p w:rsidR="00000000" w:rsidDel="00000000" w:rsidP="00000000" w:rsidRDefault="00000000" w:rsidRPr="00000000" w14:paraId="0000008D">
      <w:pPr>
        <w:numPr>
          <w:ilvl w:val="1"/>
          <w:numId w:val="6"/>
        </w:numPr>
        <w:pBdr>
          <w:top w:space="0" w:sz="0" w:val="nil"/>
          <w:left w:space="0" w:sz="0" w:val="nil"/>
          <w:bottom w:space="0" w:sz="0" w:val="nil"/>
          <w:right w:space="0" w:sz="0" w:val="nil"/>
          <w:between w:space="0" w:sz="0" w:val="nil"/>
        </w:pBdr>
        <w:shd w:fill="auto" w:val="clear"/>
        <w:spacing w:after="0" w:before="0" w:line="276" w:lineRule="auto"/>
        <w:ind w:left="1200" w:hanging="360"/>
        <w:jc w:val="both"/>
        <w:rPr/>
      </w:pPr>
      <w:r w:rsidDel="00000000" w:rsidR="00000000" w:rsidRPr="00000000">
        <w:rPr>
          <w:rtl w:val="0"/>
        </w:rPr>
        <w:t xml:space="preserve">Calibración de probabilidades mediante Platt Scaling / Isotonic Regression.</w:t>
      </w:r>
    </w:p>
    <w:p w:rsidR="00000000" w:rsidDel="00000000" w:rsidP="00000000" w:rsidRDefault="00000000" w:rsidRPr="00000000" w14:paraId="0000008E">
      <w:pPr>
        <w:numPr>
          <w:ilvl w:val="1"/>
          <w:numId w:val="6"/>
        </w:numPr>
        <w:pBdr>
          <w:top w:space="0" w:sz="0" w:val="nil"/>
          <w:left w:space="0" w:sz="0" w:val="nil"/>
          <w:bottom w:space="0" w:sz="0" w:val="nil"/>
          <w:right w:space="0" w:sz="0" w:val="nil"/>
          <w:between w:space="0" w:sz="0" w:val="nil"/>
        </w:pBdr>
        <w:shd w:fill="auto" w:val="clear"/>
        <w:spacing w:after="0" w:before="0" w:line="276" w:lineRule="auto"/>
        <w:ind w:left="1200" w:hanging="360"/>
        <w:jc w:val="both"/>
        <w:rPr/>
      </w:pPr>
      <w:r w:rsidDel="00000000" w:rsidR="00000000" w:rsidRPr="00000000">
        <w:rPr>
          <w:rtl w:val="0"/>
        </w:rPr>
        <w:t xml:space="preserve">Cálculo de intervalos de confianza del pronóstico. Si la incertidumbre es superior al umbral definido (σ &gt; 0.35), la predicción se marca como "Incertidumbre Alta" para revisión médica obligatoria.</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spacing w:after="0" w:before="0" w:line="276" w:lineRule="auto"/>
        <w:ind w:left="600" w:hanging="360"/>
        <w:jc w:val="both"/>
        <w:rPr/>
      </w:pPr>
      <w:r w:rsidDel="00000000" w:rsidR="00000000" w:rsidRPr="00000000">
        <w:rPr>
          <w:b w:val="1"/>
          <w:bCs w:val="1"/>
          <w:rtl w:val="0"/>
        </w:rPr>
        <w:t xml:space="preserve">Módulo de Toma de Decisiones y Clasificación de Riesgo:</w:t>
      </w:r>
    </w:p>
    <w:p w:rsidR="00000000" w:rsidDel="00000000" w:rsidP="00000000" w:rsidRDefault="00000000" w:rsidRPr="00000000" w14:paraId="00000090">
      <w:pPr>
        <w:numPr>
          <w:ilvl w:val="1"/>
          <w:numId w:val="7"/>
        </w:numPr>
        <w:pBdr>
          <w:top w:space="0" w:sz="0" w:val="nil"/>
          <w:left w:space="0" w:sz="0" w:val="nil"/>
          <w:bottom w:space="0" w:sz="0" w:val="nil"/>
          <w:right w:space="0" w:sz="0" w:val="nil"/>
          <w:between w:space="0" w:sz="0" w:val="nil"/>
        </w:pBdr>
        <w:shd w:fill="auto" w:val="clear"/>
        <w:spacing w:after="0" w:before="0" w:line="276" w:lineRule="auto"/>
        <w:ind w:left="1200" w:hanging="360"/>
        <w:jc w:val="both"/>
        <w:rPr/>
      </w:pPr>
      <w:r w:rsidDel="00000000" w:rsidR="00000000" w:rsidRPr="00000000">
        <w:rPr>
          <w:rtl w:val="0"/>
        </w:rPr>
        <w:t xml:space="preserve">Matriz de Utilidad que asigna la categoría de riesgo: </w:t>
      </w:r>
      <w:r w:rsidDel="00000000" w:rsidR="00000000" w:rsidRPr="00000000">
        <w:rPr>
          <w:i w:val="1"/>
          <w:iCs w:val="1"/>
          <w:rtl w:val="0"/>
        </w:rPr>
        <w:t xml:space="preserve">Bajo Riesgo</w:t>
      </w:r>
      <w:r w:rsidDel="00000000" w:rsidR="00000000" w:rsidRPr="00000000">
        <w:rPr>
          <w:rtl w:val="0"/>
        </w:rPr>
        <w:t xml:space="preserve">, </w:t>
      </w:r>
      <w:r w:rsidDel="00000000" w:rsidR="00000000" w:rsidRPr="00000000">
        <w:rPr>
          <w:i w:val="1"/>
          <w:iCs w:val="1"/>
          <w:rtl w:val="0"/>
        </w:rPr>
        <w:t xml:space="preserve">Riesgo Moderado</w:t>
      </w:r>
      <w:r w:rsidDel="00000000" w:rsidR="00000000" w:rsidRPr="00000000">
        <w:rPr>
          <w:rtl w:val="0"/>
        </w:rPr>
        <w:t xml:space="preserve"> o </w:t>
      </w:r>
      <w:r w:rsidDel="00000000" w:rsidR="00000000" w:rsidRPr="00000000">
        <w:rPr>
          <w:i w:val="1"/>
          <w:iCs w:val="1"/>
          <w:rtl w:val="0"/>
        </w:rPr>
        <w:t xml:space="preserve">Alto Riesgo</w:t>
      </w:r>
      <w:r w:rsidDel="00000000" w:rsidR="00000000" w:rsidRPr="00000000">
        <w:rPr>
          <w:rtl w:val="0"/>
        </w:rPr>
        <w:t xml:space="preserve">.</w:t>
      </w:r>
    </w:p>
    <w:p w:rsidR="00000000" w:rsidDel="00000000" w:rsidP="00000000" w:rsidRDefault="00000000" w:rsidRPr="00000000" w14:paraId="00000091">
      <w:pPr>
        <w:numPr>
          <w:ilvl w:val="1"/>
          <w:numId w:val="7"/>
        </w:numPr>
        <w:pBdr>
          <w:top w:space="0" w:sz="0" w:val="nil"/>
          <w:left w:space="0" w:sz="0" w:val="nil"/>
          <w:bottom w:space="0" w:sz="0" w:val="nil"/>
          <w:right w:space="0" w:sz="0" w:val="nil"/>
          <w:between w:space="0" w:sz="0" w:val="nil"/>
        </w:pBdr>
        <w:shd w:fill="auto" w:val="clear"/>
        <w:spacing w:after="0" w:before="0" w:line="276" w:lineRule="auto"/>
        <w:ind w:left="1200" w:hanging="360"/>
        <w:jc w:val="both"/>
        <w:rPr/>
      </w:pPr>
      <w:r w:rsidDel="00000000" w:rsidR="00000000" w:rsidRPr="00000000">
        <w:rPr>
          <w:rtl w:val="0"/>
        </w:rPr>
        <w:t xml:space="preserve">Ajuste dinámico del umbral de decisión en función de la capacidad asistencial y la penalización económica por reingreso.</w:t>
      </w:r>
    </w:p>
    <w:p w:rsidR="00000000" w:rsidDel="00000000" w:rsidP="00000000" w:rsidRDefault="00000000" w:rsidRPr="00000000" w14:paraId="00000092">
      <w:pPr>
        <w:numPr>
          <w:ilvl w:val="1"/>
          <w:numId w:val="7"/>
        </w:numPr>
        <w:pBdr>
          <w:top w:space="0" w:sz="0" w:val="nil"/>
          <w:left w:space="0" w:sz="0" w:val="nil"/>
          <w:bottom w:space="0" w:sz="0" w:val="nil"/>
          <w:right w:space="0" w:sz="0" w:val="nil"/>
          <w:between w:space="0" w:sz="0" w:val="nil"/>
        </w:pBdr>
        <w:shd w:fill="auto" w:val="clear"/>
        <w:spacing w:after="0" w:before="0" w:line="276" w:lineRule="auto"/>
        <w:ind w:left="1200" w:hanging="360"/>
        <w:jc w:val="both"/>
        <w:rPr/>
      </w:pPr>
      <w:r w:rsidDel="00000000" w:rsidR="00000000" w:rsidRPr="00000000">
        <w:rPr>
          <w:rtl w:val="0"/>
        </w:rPr>
        <w:t xml:space="preserve">El umbral se recalibra en cada ventana fija de monitoreo (ver Sección 6.2): si la ocupación hospitalaria proyectada supera el 85% de capacidad, el umbral de "Alto Riesgo" se reduce en 0.05 puntos de probabilidad para priorizar casos con menor margen de error, restableciéndose al valor base cuando la ocupación vuelve a niveles normales.</w:t>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spacing w:after="0" w:before="0" w:line="276" w:lineRule="auto"/>
        <w:ind w:left="600" w:hanging="360"/>
        <w:jc w:val="both"/>
        <w:rPr/>
      </w:pPr>
      <w:r w:rsidDel="00000000" w:rsidR="00000000" w:rsidRPr="00000000">
        <w:rPr>
          <w:b w:val="1"/>
          <w:bCs w:val="1"/>
          <w:rtl w:val="0"/>
        </w:rPr>
        <w:t xml:space="preserve">Componente de Acción e Intervención:</w:t>
      </w:r>
    </w:p>
    <w:p w:rsidR="00000000" w:rsidDel="00000000" w:rsidP="00000000" w:rsidRDefault="00000000" w:rsidRPr="00000000" w14:paraId="00000094">
      <w:pPr>
        <w:numPr>
          <w:ilvl w:val="1"/>
          <w:numId w:val="3"/>
        </w:numPr>
        <w:spacing w:line="276" w:lineRule="auto"/>
        <w:ind w:left="1200" w:hanging="360"/>
        <w:jc w:val="both"/>
      </w:pPr>
      <w:r w:rsidDel="00000000" w:rsidR="00000000" w:rsidRPr="00000000">
        <w:rPr>
          <w:b w:val="1"/>
          <w:bCs w:val="1"/>
          <w:rtl w:val="0"/>
        </w:rPr>
        <w:t xml:space="preserve">Bajo Riesgo:</w:t>
      </w:r>
      <w:r w:rsidDel="00000000" w:rsidR="00000000" w:rsidRPr="00000000">
        <w:rPr>
          <w:rtl w:val="0"/>
        </w:rPr>
        <w:t xml:space="preserve"> Alta médica con protocolo estándar de seguimiento ambulatorio.</w:t>
      </w:r>
    </w:p>
    <w:p w:rsidR="00000000" w:rsidDel="00000000" w:rsidP="00000000" w:rsidRDefault="00000000" w:rsidRPr="00000000" w14:paraId="00000095">
      <w:pPr>
        <w:numPr>
          <w:ilvl w:val="1"/>
          <w:numId w:val="3"/>
        </w:numPr>
        <w:spacing w:line="276" w:lineRule="auto"/>
        <w:ind w:left="1200" w:hanging="360"/>
        <w:jc w:val="both"/>
      </w:pPr>
      <w:r w:rsidDel="00000000" w:rsidR="00000000" w:rsidRPr="00000000">
        <w:rPr>
          <w:b w:val="1"/>
          <w:bCs w:val="1"/>
          <w:rtl w:val="0"/>
        </w:rPr>
        <w:t xml:space="preserve">Riesgo Moderado:</w:t>
      </w:r>
      <w:r w:rsidDel="00000000" w:rsidR="00000000" w:rsidRPr="00000000">
        <w:rPr>
          <w:rtl w:val="0"/>
        </w:rPr>
        <w:t xml:space="preserve"> Generación de alerta en EHR para llamada de control a los 7 días y entrega de kit educativo para diabetes.</w:t>
      </w:r>
    </w:p>
    <w:p w:rsidR="00000000" w:rsidDel="00000000" w:rsidP="00000000" w:rsidRDefault="00000000" w:rsidRPr="00000000" w14:paraId="00000096">
      <w:pPr>
        <w:numPr>
          <w:ilvl w:val="1"/>
          <w:numId w:val="3"/>
        </w:numPr>
        <w:spacing w:after="0" w:afterAutospacing="0" w:line="276" w:lineRule="auto"/>
        <w:ind w:left="1200" w:hanging="360"/>
        <w:jc w:val="both"/>
      </w:pPr>
      <w:r w:rsidDel="00000000" w:rsidR="00000000" w:rsidRPr="00000000">
        <w:rPr>
          <w:b w:val="1"/>
          <w:bCs w:val="1"/>
          <w:rtl w:val="0"/>
        </w:rPr>
        <w:t xml:space="preserve">Alto Riesgo:</w:t>
      </w:r>
      <w:r w:rsidDel="00000000" w:rsidR="00000000" w:rsidRPr="00000000">
        <w:rPr>
          <w:rtl w:val="0"/>
        </w:rPr>
        <w:t xml:space="preserve"> Alerta prioritaria para agendar cita médica presencial dentro de los 7 días posteriores al alta, conciliación farmacológica urgente y asignación de un gestor de caso.</w:t>
      </w:r>
      <w:r w:rsidDel="00000000" w:rsidR="00000000" w:rsidRPr="00000000">
        <w:rPr>
          <w:rtl w:val="0"/>
        </w:rPr>
      </w:r>
    </w:p>
    <w:p w:rsidR="00000000" w:rsidDel="00000000" w:rsidP="00000000" w:rsidRDefault="00000000" w:rsidRPr="00000000" w14:paraId="00000097">
      <w:pPr>
        <w:numPr>
          <w:ilvl w:val="0"/>
          <w:numId w:val="12"/>
        </w:numPr>
        <w:spacing w:after="0" w:afterAutospacing="0" w:before="0" w:beforeAutospacing="0" w:line="276" w:lineRule="auto"/>
        <w:ind w:left="720" w:hanging="360"/>
        <w:rPr>
          <w:b w:val="1"/>
          <w:bCs w:val="1"/>
        </w:rPr>
      </w:pPr>
      <w:r w:rsidDel="00000000" w:rsidR="00000000" w:rsidRPr="00000000">
        <w:rPr>
          <w:b w:val="1"/>
          <w:bCs w:val="1"/>
          <w:rtl w:val="0"/>
        </w:rPr>
        <w:t xml:space="preserve">Módulo de Monitoreo de Drift:</w:t>
      </w:r>
    </w:p>
    <w:p w:rsidR="00000000" w:rsidDel="00000000" w:rsidP="00000000" w:rsidRDefault="00000000" w:rsidRPr="00000000" w14:paraId="00000098">
      <w:pPr>
        <w:numPr>
          <w:ilvl w:val="1"/>
          <w:numId w:val="8"/>
        </w:numPr>
        <w:spacing w:line="276" w:lineRule="auto"/>
        <w:ind w:left="1200" w:hanging="360"/>
        <w:jc w:val="both"/>
        <w:rPr/>
      </w:pPr>
      <w:r w:rsidDel="00000000" w:rsidR="00000000" w:rsidRPr="00000000">
        <w:rPr>
          <w:rtl w:val="0"/>
        </w:rPr>
        <w:t xml:space="preserve">Evaluación periódica del rendimiento del modelo mediante ventanas fijas secuenciales, comparando métricas clave (F1-score, ROC-AUC) y distribución de features entre la ventana de referencia y la ventana actual.</w:t>
      </w:r>
    </w:p>
    <w:p w:rsidR="00000000" w:rsidDel="00000000" w:rsidP="00000000" w:rsidRDefault="00000000" w:rsidRPr="00000000" w14:paraId="00000099">
      <w:pPr>
        <w:numPr>
          <w:ilvl w:val="1"/>
          <w:numId w:val="8"/>
        </w:numPr>
        <w:spacing w:line="276" w:lineRule="auto"/>
        <w:ind w:left="1200" w:hanging="360"/>
        <w:jc w:val="both"/>
        <w:rPr/>
      </w:pPr>
      <w:r w:rsidDel="00000000" w:rsidR="00000000" w:rsidRPr="00000000">
        <w:rPr>
          <w:rtl w:val="0"/>
        </w:rPr>
        <w:t xml:space="preserve">Activación del protocolo de reentrenamiento cuando la degradación de desempeño supera el umbral definido, retroalimentando al Módulo Predictivo Adaptativo con datos actualizados.</w:t>
      </w:r>
    </w:p>
    <w:p w:rsidR="00000000" w:rsidDel="00000000" w:rsidP="00000000" w:rsidRDefault="00000000" w:rsidRPr="00000000" w14:paraId="0000009A">
      <w:pPr>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hanging="360"/>
        <w:jc w:val="both"/>
        <w:rPr>
          <w:u w:val="none"/>
        </w:rPr>
      </w:pPr>
      <w:r w:rsidDel="00000000" w:rsidR="00000000" w:rsidRPr="00000000">
        <w:rPr>
          <w:rtl w:val="0"/>
        </w:rPr>
      </w:r>
    </w:p>
    <w:p w:rsidR="00000000" w:rsidDel="00000000" w:rsidP="00000000" w:rsidRDefault="00000000" w:rsidRPr="00000000" w14:paraId="0000009B">
      <w:pPr>
        <w:pStyle w:val="Heading3"/>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hanging="360"/>
        <w:jc w:val="both"/>
        <w:rPr>
          <w:sz w:val="22"/>
          <w:szCs w:val="22"/>
          <w:u w:val="none"/>
        </w:rPr>
      </w:pPr>
      <w:r w:rsidDel="00000000" w:rsidR="00000000" w:rsidRPr="00000000">
        <w:rPr>
          <w:sz w:val="22"/>
          <w:szCs w:val="22"/>
          <w:rtl w:val="0"/>
        </w:rPr>
        <w:t xml:space="preserve">Esquema de la Arquitectura del Sistema</w:t>
      </w:r>
      <w:r w:rsidDel="00000000" w:rsidR="00000000" w:rsidRPr="00000000">
        <w:rPr>
          <w:rtl w:val="0"/>
        </w:rPr>
      </w:r>
    </w:p>
    <w:p w:rsidR="00000000" w:rsidDel="00000000" w:rsidP="00000000" w:rsidRDefault="00000000" w:rsidRPr="00000000" w14:paraId="0000009C">
      <w:pPr>
        <w:pStyle w:val="Heading3"/>
        <w:spacing w:after="0" w:before="0" w:line="276" w:lineRule="auto"/>
        <w:ind w:left="720" w:firstLine="0"/>
        <w:jc w:val="both"/>
        <w:rPr>
          <w:sz w:val="22"/>
          <w:szCs w:val="22"/>
          <w:shd w:fill="f7fafc" w:val="clear"/>
        </w:rPr>
      </w:pPr>
      <w:bookmarkStart w:colFirst="0" w:colLast="0" w:name="_6syitsh2qxr" w:id="0"/>
      <w:bookmarkEnd w:id="0"/>
      <w:r w:rsidDel="00000000" w:rsidR="00000000" w:rsidRPr="00000000">
        <w:rPr>
          <w:rtl w:val="0"/>
        </w:rPr>
      </w:r>
    </w:p>
    <w:p w:rsidR="00000000" w:rsidDel="00000000" w:rsidP="00000000" w:rsidRDefault="00000000" w:rsidRPr="00000000" w14:paraId="0000009D">
      <w:pPr>
        <w:pStyle w:val="Heading3"/>
        <w:spacing w:after="0" w:before="0" w:line="276" w:lineRule="auto"/>
        <w:ind w:left="0" w:firstLine="0"/>
        <w:jc w:val="both"/>
        <w:rPr/>
      </w:pPr>
      <w:bookmarkStart w:colFirst="0" w:colLast="0" w:name="_95jcy0nbg2wr" w:id="1"/>
      <w:bookmarkEnd w:id="1"/>
      <w:r w:rsidDel="00000000" w:rsidR="00000000" w:rsidRPr="00000000">
        <w:rPr>
          <w:sz w:val="22"/>
          <w:szCs w:val="22"/>
          <w:shd w:fill="f7fafc" w:val="clear"/>
        </w:rPr>
        <w:drawing>
          <wp:inline distB="114300" distT="114300" distL="114300" distR="114300">
            <wp:extent cx="5943600" cy="3314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0" w:before="0" w:line="276" w:lineRule="auto"/>
        <w:jc w:val="both"/>
        <w:rPr>
          <w:b w:val="0"/>
          <w:bCs w:val="0"/>
        </w:rPr>
      </w:pPr>
      <w:r w:rsidDel="00000000" w:rsidR="00000000" w:rsidRPr="00000000">
        <w:rPr>
          <w:b w:val="1"/>
          <w:bCs w:val="1"/>
          <w:rtl w:val="0"/>
        </w:rPr>
        <w:t xml:space="preserve">Figura 1. </w:t>
      </w:r>
      <w:r w:rsidDel="00000000" w:rsidR="00000000" w:rsidRPr="00000000">
        <w:rPr>
          <w:rFonts w:ascii="Arial Unicode MS" w:cs="Arial Unicode MS" w:eastAsia="Arial Unicode MS" w:hAnsi="Arial Unicode MS"/>
          <w:b w:val="0"/>
          <w:bCs w:val="0"/>
          <w:rtl w:val="0"/>
        </w:rPr>
        <w:t xml:space="preserve">Arquitectura del sistema (6 módulos): Adquisición desde EHR → Preprocesamiento de Features → Modelo Predictivo Adaptativo → Evaluador de Incertidumbre y Calibración → Módulo de Decisión con Umbrales → Componente de Acción Clínica, con retroalimentación del Módulo de Monitoreo de Drift hacia el reentrenamiento del modelo.</w:t>
      </w:r>
    </w:p>
    <w:p w:rsidR="00000000" w:rsidDel="00000000" w:rsidP="00000000" w:rsidRDefault="00000000" w:rsidRPr="00000000" w14:paraId="0000009F">
      <w:pPr>
        <w:spacing w:after="0" w:before="0" w:line="276" w:lineRule="auto"/>
        <w:jc w:val="both"/>
        <w:rPr/>
      </w:pPr>
      <w:r w:rsidDel="00000000" w:rsidR="00000000" w:rsidRPr="00000000">
        <w:rPr>
          <w:rtl w:val="0"/>
        </w:rPr>
      </w:r>
    </w:p>
    <w:p w:rsidR="00000000" w:rsidDel="00000000" w:rsidP="00000000" w:rsidRDefault="00000000" w:rsidRPr="00000000" w14:paraId="000000A0">
      <w:pPr>
        <w:pStyle w:val="Heading2"/>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hanging="360"/>
        <w:jc w:val="both"/>
        <w:rPr>
          <w:sz w:val="22"/>
          <w:szCs w:val="22"/>
          <w:u w:val="none"/>
        </w:rPr>
      </w:pPr>
      <w:r w:rsidDel="00000000" w:rsidR="00000000" w:rsidRPr="00000000">
        <w:rPr>
          <w:sz w:val="22"/>
          <w:szCs w:val="22"/>
          <w:rtl w:val="0"/>
        </w:rPr>
        <w:t xml:space="preserve">Mini Plan de Trabajo para el Proyecto</w:t>
      </w:r>
    </w:p>
    <w:p w:rsidR="00000000" w:rsidDel="00000000" w:rsidP="00000000" w:rsidRDefault="00000000" w:rsidRPr="00000000" w14:paraId="000000A1">
      <w:pPr>
        <w:pStyle w:val="Heading2"/>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hanging="360"/>
        <w:jc w:val="both"/>
        <w:rPr>
          <w:sz w:val="22"/>
          <w:szCs w:val="22"/>
          <w:u w:val="none"/>
        </w:rPr>
      </w:pPr>
      <w:r w:rsidDel="00000000" w:rsidR="00000000" w:rsidRPr="00000000">
        <w:rPr>
          <w:sz w:val="22"/>
          <w:szCs w:val="22"/>
          <w:rtl w:val="0"/>
        </w:rPr>
        <w:t xml:space="preserve">Modelos Mapeados para Comparación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0" w:before="0" w:line="276" w:lineRule="auto"/>
        <w:jc w:val="both"/>
        <w:rPr/>
      </w:pPr>
      <w:r w:rsidDel="00000000" w:rsidR="00000000" w:rsidRPr="00000000">
        <w:rPr>
          <w:rtl w:val="0"/>
        </w:rPr>
        <w:t xml:space="preserve">Acorde a los requerimientos del curso, se han seleccionado 3 enfoques de modelado representativos:</w:t>
      </w:r>
    </w:p>
    <w:p w:rsidR="00000000" w:rsidDel="00000000" w:rsidP="00000000" w:rsidRDefault="00000000" w:rsidRPr="00000000" w14:paraId="000000A3">
      <w:pPr>
        <w:numPr>
          <w:ilvl w:val="0"/>
          <w:numId w:val="9"/>
        </w:numPr>
        <w:pBdr>
          <w:top w:space="0" w:sz="0" w:val="nil"/>
          <w:left w:space="0" w:sz="0" w:val="nil"/>
          <w:bottom w:space="0" w:sz="0" w:val="nil"/>
          <w:right w:space="0" w:sz="0" w:val="nil"/>
          <w:between w:space="0" w:sz="0" w:val="nil"/>
        </w:pBdr>
        <w:shd w:fill="auto" w:val="clear"/>
        <w:spacing w:after="0" w:before="0" w:line="276" w:lineRule="auto"/>
        <w:ind w:left="600" w:hanging="360"/>
        <w:jc w:val="both"/>
        <w:rPr/>
      </w:pPr>
      <w:r w:rsidDel="00000000" w:rsidR="00000000" w:rsidRPr="00000000">
        <w:rPr>
          <w:b w:val="1"/>
          <w:bCs w:val="1"/>
          <w:rtl w:val="0"/>
        </w:rPr>
        <w:t xml:space="preserve">Modelo Tradicional 1 - Regresión Logística Regulada (ElasticNet):</w:t>
      </w:r>
      <w:r w:rsidDel="00000000" w:rsidR="00000000" w:rsidRPr="00000000">
        <w:rPr>
          <w:rtl w:val="0"/>
        </w:rPr>
        <w:t xml:space="preserve"> Sirve como baseline interpretable de baja complejidad lineal. Facilita la medición rápida del impacto de cada variable clínica y la comparación contra modelos más complejos.</w:t>
      </w:r>
    </w:p>
    <w:p w:rsidR="00000000" w:rsidDel="00000000" w:rsidP="00000000" w:rsidRDefault="00000000" w:rsidRPr="00000000" w14:paraId="000000A4">
      <w:pPr>
        <w:numPr>
          <w:ilvl w:val="0"/>
          <w:numId w:val="9"/>
        </w:numPr>
        <w:pBdr>
          <w:top w:space="0" w:sz="0" w:val="nil"/>
          <w:left w:space="0" w:sz="0" w:val="nil"/>
          <w:bottom w:space="0" w:sz="0" w:val="nil"/>
          <w:right w:space="0" w:sz="0" w:val="nil"/>
          <w:between w:space="0" w:sz="0" w:val="nil"/>
        </w:pBdr>
        <w:shd w:fill="auto" w:val="clear"/>
        <w:spacing w:after="0" w:before="0" w:line="276" w:lineRule="auto"/>
        <w:ind w:left="600" w:hanging="360"/>
        <w:jc w:val="both"/>
        <w:rPr/>
      </w:pPr>
      <w:r w:rsidDel="00000000" w:rsidR="00000000" w:rsidRPr="00000000">
        <w:rPr>
          <w:b w:val="1"/>
          <w:bCs w:val="1"/>
          <w:rtl w:val="0"/>
        </w:rPr>
        <w:t xml:space="preserve">Modelo Tradicional 2 - LightGBM con Atributos Temporales / TabNet:</w:t>
      </w:r>
      <w:r w:rsidDel="00000000" w:rsidR="00000000" w:rsidRPr="00000000">
        <w:rPr>
          <w:rtl w:val="0"/>
        </w:rPr>
        <w:t xml:space="preserve"> Modelo de Gradient Boosting altamente optimizado para datos tabulares de gran escala con soporte eficiente para codificación ordinal temporal y ponderación de clases desbalanceadas.</w:t>
      </w:r>
      <w:r w:rsidDel="00000000" w:rsidR="00000000" w:rsidRPr="00000000">
        <w:rPr>
          <w:rtl w:val="0"/>
        </w:rPr>
      </w:r>
    </w:p>
    <w:p w:rsidR="00000000" w:rsidDel="00000000" w:rsidP="00000000" w:rsidRDefault="00000000" w:rsidRPr="00000000" w14:paraId="000000A5">
      <w:pPr>
        <w:numPr>
          <w:ilvl w:val="0"/>
          <w:numId w:val="9"/>
        </w:numPr>
        <w:pBdr>
          <w:top w:space="0" w:sz="0" w:val="nil"/>
          <w:left w:space="0" w:sz="0" w:val="nil"/>
          <w:bottom w:space="0" w:sz="0" w:val="nil"/>
          <w:right w:space="0" w:sz="0" w:val="nil"/>
          <w:between w:space="0" w:sz="0" w:val="nil"/>
        </w:pBdr>
        <w:shd w:fill="auto" w:val="clear"/>
        <w:spacing w:after="0" w:before="0" w:line="276" w:lineRule="auto"/>
        <w:ind w:left="600" w:hanging="360"/>
        <w:jc w:val="both"/>
        <w:rPr/>
      </w:pPr>
      <w:r w:rsidDel="00000000" w:rsidR="00000000" w:rsidRPr="00000000">
        <w:rPr>
          <w:b w:val="1"/>
          <w:bCs w:val="1"/>
          <w:rtl w:val="0"/>
        </w:rPr>
        <w:t xml:space="preserve">Modelo Avanzado - Random Forest / XGBoost:</w:t>
      </w:r>
      <w:r w:rsidDel="00000000" w:rsidR="00000000" w:rsidRPr="00000000">
        <w:rPr>
          <w:rtl w:val="0"/>
        </w:rPr>
        <w:t xml:space="preserve"> Algoritmo basado en árboles de decisión ensamblados para capturar interacciones no lineales entre diagnósticos, cantidad de medicamentos y permanencia hospitalaria.</w:t>
      </w:r>
      <w:r w:rsidDel="00000000" w:rsidR="00000000" w:rsidRPr="00000000">
        <w:rPr>
          <w:rtl w:val="0"/>
        </w:rPr>
      </w:r>
    </w:p>
    <w:p w:rsidR="00000000" w:rsidDel="00000000" w:rsidP="00000000" w:rsidRDefault="00000000" w:rsidRPr="00000000" w14:paraId="000000A6">
      <w:pPr>
        <w:pStyle w:val="Heading3"/>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hanging="360"/>
        <w:jc w:val="both"/>
        <w:rPr>
          <w:sz w:val="22"/>
          <w:szCs w:val="22"/>
          <w:u w:val="none"/>
        </w:rPr>
      </w:pPr>
      <w:r w:rsidDel="00000000" w:rsidR="00000000" w:rsidRPr="00000000">
        <w:rPr>
          <w:sz w:val="22"/>
          <w:szCs w:val="22"/>
          <w:rtl w:val="0"/>
        </w:rPr>
        <w:t xml:space="preserve">Estrategia de Monitoreo de Data/Concept Drift mediante Ventanas Fijas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0" w:before="0" w:line="276" w:lineRule="auto"/>
        <w:jc w:val="both"/>
        <w:rPr/>
      </w:pPr>
      <w:r w:rsidDel="00000000" w:rsidR="00000000" w:rsidRPr="00000000">
        <w:rPr>
          <w:rtl w:val="0"/>
        </w:rPr>
        <w:t xml:space="preserve">En esta etapa inicial se emplea una </w:t>
      </w:r>
      <w:r w:rsidDel="00000000" w:rsidR="00000000" w:rsidRPr="00000000">
        <w:rPr>
          <w:b w:val="1"/>
          <w:bCs w:val="1"/>
          <w:rtl w:val="0"/>
        </w:rPr>
        <w:t xml:space="preserve">estrategia de evaluación periódica por ventanas fijas deslizantes (Fixed / Sliding Windows)</w:t>
      </w:r>
      <w:r w:rsidDel="00000000" w:rsidR="00000000" w:rsidRPr="00000000">
        <w:rPr>
          <w:rtl w:val="0"/>
        </w:rPr>
        <w:t xml:space="preserve">:</w:t>
      </w:r>
    </w:p>
    <w:p w:rsidR="00000000" w:rsidDel="00000000" w:rsidP="00000000" w:rsidRDefault="00000000" w:rsidRPr="00000000" w14:paraId="000000A8">
      <w:pPr>
        <w:numPr>
          <w:ilvl w:val="0"/>
          <w:numId w:val="10"/>
        </w:numPr>
        <w:pBdr>
          <w:top w:space="0" w:sz="0" w:val="nil"/>
          <w:left w:space="0" w:sz="0" w:val="nil"/>
          <w:bottom w:space="0" w:sz="0" w:val="nil"/>
          <w:right w:space="0" w:sz="0" w:val="nil"/>
          <w:between w:space="0" w:sz="0" w:val="nil"/>
        </w:pBdr>
        <w:shd w:fill="auto" w:val="clear"/>
        <w:spacing w:after="0" w:before="0" w:line="276" w:lineRule="auto"/>
        <w:ind w:left="600" w:hanging="360"/>
        <w:jc w:val="both"/>
        <w:rPr/>
      </w:pPr>
      <w:r w:rsidDel="00000000" w:rsidR="00000000" w:rsidRPr="00000000">
        <w:rPr>
          <w:b w:val="1"/>
          <w:bCs w:val="1"/>
          <w:rtl w:val="0"/>
        </w:rPr>
        <w:t xml:space="preserve">Definición de Ventanas Temporales:</w:t>
      </w:r>
      <w:r w:rsidDel="00000000" w:rsidR="00000000" w:rsidRPr="00000000">
        <w:rPr>
          <w:rtl w:val="0"/>
        </w:rPr>
        <w:t xml:space="preserve"> E</w:t>
      </w:r>
      <w:r w:rsidDel="00000000" w:rsidR="00000000" w:rsidRPr="00000000">
        <w:rPr>
          <w:rtl w:val="0"/>
        </w:rPr>
        <w:t xml:space="preserve">l dataset, ordenado según encounter_id como proxy cronológico, se dividirá en 10 ventanas pseudo-temporales secuenciales de tamaño equivalente (simulando períodos anuales), dado que no se dispone de fecha de admisión explícita en el dataset original.</w:t>
      </w:r>
      <w:r w:rsidDel="00000000" w:rsidR="00000000" w:rsidRPr="00000000">
        <w:rPr>
          <w:rtl w:val="0"/>
        </w:rPr>
      </w:r>
    </w:p>
    <w:p w:rsidR="00000000" w:rsidDel="00000000" w:rsidP="00000000" w:rsidRDefault="00000000" w:rsidRPr="00000000" w14:paraId="000000A9">
      <w:pPr>
        <w:numPr>
          <w:ilvl w:val="0"/>
          <w:numId w:val="10"/>
        </w:numPr>
        <w:pBdr>
          <w:top w:space="0" w:sz="0" w:val="nil"/>
          <w:left w:space="0" w:sz="0" w:val="nil"/>
          <w:bottom w:space="0" w:sz="0" w:val="nil"/>
          <w:right w:space="0" w:sz="0" w:val="nil"/>
          <w:between w:space="0" w:sz="0" w:val="nil"/>
        </w:pBdr>
        <w:shd w:fill="auto" w:val="clear"/>
        <w:spacing w:after="0" w:before="0" w:line="276" w:lineRule="auto"/>
        <w:ind w:left="600" w:hanging="360"/>
        <w:jc w:val="both"/>
        <w:rPr/>
      </w:pPr>
      <w:r w:rsidDel="00000000" w:rsidR="00000000" w:rsidRPr="00000000">
        <w:rPr>
          <w:b w:val="1"/>
          <w:bCs w:val="1"/>
          <w:rtl w:val="0"/>
        </w:rPr>
        <w:t xml:space="preserve">Mapeo de Degradación de Rendimiento:</w:t>
      </w:r>
      <w:r w:rsidDel="00000000" w:rsidR="00000000" w:rsidRPr="00000000">
        <w:rPr>
          <w:rtl w:val="0"/>
        </w:rPr>
        <w:t xml:space="preserve"> </w:t>
      </w:r>
      <w:r w:rsidDel="00000000" w:rsidR="00000000" w:rsidRPr="00000000">
        <w:rPr>
          <w:rtl w:val="0"/>
        </w:rPr>
        <w:t xml:space="preserve">Se evaluarán las métricas clave (F1-score, ROC-AUC) en cada ventana fija subsiguiente sin reentrenar el modelo base inicial (ventanas 1-2) para cuantificar la pérdida de desempeño producto del drift temporal.</w:t>
      </w:r>
      <w:r w:rsidDel="00000000" w:rsidR="00000000" w:rsidRPr="00000000">
        <w:rPr>
          <w:rtl w:val="0"/>
        </w:rPr>
      </w:r>
    </w:p>
    <w:p w:rsidR="00000000" w:rsidDel="00000000" w:rsidP="00000000" w:rsidRDefault="00000000" w:rsidRPr="00000000" w14:paraId="000000AA">
      <w:pPr>
        <w:numPr>
          <w:ilvl w:val="0"/>
          <w:numId w:val="10"/>
        </w:numPr>
        <w:pBdr>
          <w:top w:space="0" w:sz="0" w:val="nil"/>
          <w:left w:space="0" w:sz="0" w:val="nil"/>
          <w:bottom w:space="0" w:sz="0" w:val="nil"/>
          <w:right w:space="0" w:sz="0" w:val="nil"/>
          <w:between w:space="0" w:sz="0" w:val="nil"/>
        </w:pBdr>
        <w:shd w:fill="auto" w:val="clear"/>
        <w:spacing w:after="0" w:before="0" w:line="276" w:lineRule="auto"/>
        <w:ind w:left="600" w:hanging="360"/>
        <w:jc w:val="both"/>
        <w:rPr/>
      </w:pPr>
      <w:r w:rsidDel="00000000" w:rsidR="00000000" w:rsidRPr="00000000">
        <w:rPr>
          <w:b w:val="1"/>
          <w:bCs w:val="1"/>
          <w:rtl w:val="0"/>
        </w:rPr>
        <w:t xml:space="preserve">Monitoreo de Distribución de Features (Data Drift Básico):</w:t>
      </w:r>
      <w:r w:rsidDel="00000000" w:rsidR="00000000" w:rsidRPr="00000000">
        <w:rPr>
          <w:rtl w:val="0"/>
        </w:rPr>
        <w:t xml:space="preserve"> Comparación de histogramas y proporciones de las variables clave (ej. frecuencia de uso de Insulina o número de diagnósticos) entre la ventana de referencia y la ventana actual.</w:t>
      </w:r>
    </w:p>
    <w:p w:rsidR="00000000" w:rsidDel="00000000" w:rsidP="00000000" w:rsidRDefault="00000000" w:rsidRPr="00000000" w14:paraId="000000AB">
      <w:pPr>
        <w:numPr>
          <w:ilvl w:val="0"/>
          <w:numId w:val="10"/>
        </w:numPr>
        <w:pBdr>
          <w:top w:space="0" w:sz="0" w:val="nil"/>
          <w:left w:space="0" w:sz="0" w:val="nil"/>
          <w:bottom w:space="0" w:sz="0" w:val="nil"/>
          <w:right w:space="0" w:sz="0" w:val="nil"/>
          <w:between w:space="0" w:sz="0" w:val="nil"/>
        </w:pBdr>
        <w:shd w:fill="auto" w:val="clear"/>
        <w:spacing w:after="0" w:before="0" w:line="276" w:lineRule="auto"/>
        <w:ind w:left="600" w:hanging="360"/>
        <w:jc w:val="both"/>
        <w:rPr/>
      </w:pPr>
      <w:r w:rsidDel="00000000" w:rsidR="00000000" w:rsidRPr="00000000">
        <w:rPr>
          <w:b w:val="1"/>
          <w:bCs w:val="1"/>
          <w:rtl w:val="0"/>
        </w:rPr>
        <w:t xml:space="preserve">Protocolo de Reentrenamiento Fijo:</w:t>
      </w:r>
      <w:r w:rsidDel="00000000" w:rsidR="00000000" w:rsidRPr="00000000">
        <w:rPr>
          <w:rtl w:val="0"/>
        </w:rPr>
        <w:t xml:space="preserve"> S</w:t>
      </w:r>
      <w:r w:rsidDel="00000000" w:rsidR="00000000" w:rsidRPr="00000000">
        <w:rPr>
          <w:rtl w:val="0"/>
        </w:rPr>
        <w:t xml:space="preserve">imulación de reentrenamiento programado desplazando la ventana fija de entrenamiento (Sliding Window de tamaño fijo de 3 ventanas) para verificar si la actualización periódica recupera el rendimiento deseado. El disparo del reentrenamiento se activará cuando el F1-score de la ventana evaluada caiga más de 0.05 puntos respecto al F1-score obtenido en la ventana de referencia (baseline: ventanas 1-2), sirviendo como criterio operativo simple de degradación.</w:t>
      </w:r>
    </w:p>
    <w:p w:rsidR="00000000" w:rsidDel="00000000" w:rsidP="00000000" w:rsidRDefault="00000000" w:rsidRPr="00000000" w14:paraId="000000AC">
      <w:pPr>
        <w:numPr>
          <w:ilvl w:val="0"/>
          <w:numId w:val="10"/>
        </w:numPr>
        <w:pBdr>
          <w:top w:space="0" w:sz="0" w:val="nil"/>
          <w:left w:space="0" w:sz="0" w:val="nil"/>
          <w:bottom w:space="0" w:sz="0" w:val="nil"/>
          <w:right w:space="0" w:sz="0" w:val="nil"/>
          <w:between w:space="0" w:sz="0" w:val="nil"/>
        </w:pBdr>
        <w:shd w:fill="auto" w:val="clear"/>
        <w:spacing w:after="0" w:before="0" w:line="276" w:lineRule="auto"/>
        <w:ind w:left="600" w:hanging="360"/>
        <w:jc w:val="both"/>
        <w:rPr/>
      </w:pPr>
      <w:r w:rsidDel="00000000" w:rsidR="00000000" w:rsidRPr="00000000">
        <w:rPr>
          <w:b w:val="1"/>
          <w:bCs w:val="1"/>
          <w:rtl w:val="0"/>
        </w:rPr>
        <w:t xml:space="preserve">Exploración del Tamaño de Ventana: </w:t>
      </w:r>
      <w:r w:rsidDel="00000000" w:rsidR="00000000" w:rsidRPr="00000000">
        <w:rPr>
          <w:rtl w:val="0"/>
        </w:rPr>
        <w:t xml:space="preserve">Conforme a lo indicado en la Sección 3.5 de la consigna, en la Fase 5 se evaluará el impacto del drift bajo distintos tamaños de ventana (ej. 5, 10 y 15 ventanas pseudo-temporales), además de la configuración base de 10 ventanas anuales, para determinar la granularidad óptima de monitoreo.</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0AE">
      <w:pPr>
        <w:pStyle w:val="Heading3"/>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hanging="360"/>
        <w:jc w:val="both"/>
        <w:rPr>
          <w:sz w:val="22"/>
          <w:szCs w:val="22"/>
          <w:u w:val="none"/>
        </w:rPr>
      </w:pPr>
      <w:r w:rsidDel="00000000" w:rsidR="00000000" w:rsidRPr="00000000">
        <w:rPr>
          <w:sz w:val="22"/>
          <w:szCs w:val="22"/>
          <w:rtl w:val="0"/>
        </w:rPr>
        <w:t xml:space="preserve">Cronograma de Actividades (Roadmap)</w:t>
      </w:r>
    </w:p>
    <w:tbl>
      <w:tblPr>
        <w:tblStyle w:val="Table3"/>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25"/>
        <w:gridCol w:w="2940"/>
        <w:gridCol w:w="4095"/>
        <w:tblGridChange w:id="0">
          <w:tblGrid>
            <w:gridCol w:w="2325"/>
            <w:gridCol w:w="2940"/>
            <w:gridCol w:w="4095"/>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0" w:before="0" w:line="276" w:lineRule="auto"/>
              <w:jc w:val="both"/>
              <w:rPr>
                <w:shd w:fill="auto" w:val="clear"/>
              </w:rPr>
            </w:pPr>
            <w:r w:rsidDel="00000000" w:rsidR="00000000" w:rsidRPr="00000000">
              <w:rPr>
                <w:shd w:fill="auto" w:val="clear"/>
                <w:rtl w:val="0"/>
              </w:rPr>
              <w:t xml:space="preserve">Fase</w:t>
            </w:r>
          </w:p>
        </w:tc>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0" w:before="0" w:line="276" w:lineRule="auto"/>
              <w:jc w:val="both"/>
              <w:rPr>
                <w:shd w:fill="auto" w:val="clear"/>
              </w:rPr>
            </w:pPr>
            <w:r w:rsidDel="00000000" w:rsidR="00000000" w:rsidRPr="00000000">
              <w:rPr>
                <w:shd w:fill="auto" w:val="clear"/>
                <w:rtl w:val="0"/>
              </w:rPr>
              <w:t xml:space="preserve">Hito / Entregable</w:t>
            </w:r>
          </w:p>
        </w:tc>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0" w:before="0" w:line="276" w:lineRule="auto"/>
              <w:jc w:val="both"/>
              <w:rPr>
                <w:shd w:fill="auto" w:val="clear"/>
              </w:rPr>
            </w:pPr>
            <w:r w:rsidDel="00000000" w:rsidR="00000000" w:rsidRPr="00000000">
              <w:rPr>
                <w:shd w:fill="auto" w:val="clear"/>
                <w:rtl w:val="0"/>
              </w:rPr>
              <w:t xml:space="preserve">Actividades Clave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0" w:before="0" w:line="276" w:lineRule="auto"/>
              <w:jc w:val="both"/>
              <w:rPr>
                <w:b w:val="1"/>
                <w:bCs w:val="1"/>
              </w:rPr>
            </w:pPr>
            <w:r w:rsidDel="00000000" w:rsidR="00000000" w:rsidRPr="00000000">
              <w:rPr>
                <w:b w:val="1"/>
                <w:bCs w:val="1"/>
                <w:rtl w:val="0"/>
              </w:rPr>
              <w:t xml:space="preserve">Fase 1 (Actual)</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0" w:before="0" w:line="276" w:lineRule="auto"/>
              <w:jc w:val="both"/>
              <w:rPr/>
            </w:pPr>
            <w:r w:rsidDel="00000000" w:rsidR="00000000" w:rsidRPr="00000000">
              <w:rPr>
                <w:rtl w:val="0"/>
              </w:rPr>
              <w:t xml:space="preserve">Avance 1: Planteamiento y Arquitectura</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0" w:before="0" w:line="276" w:lineRule="auto"/>
              <w:jc w:val="both"/>
              <w:rPr/>
            </w:pPr>
            <w:r w:rsidDel="00000000" w:rsidR="00000000" w:rsidRPr="00000000">
              <w:rPr>
                <w:rtl w:val="0"/>
              </w:rPr>
              <w:t xml:space="preserve">Definición de objetivos, restricciones, métricas de éxito, diseño del sistema y mini plan de monitoreo.</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0" w:before="0" w:line="276" w:lineRule="auto"/>
              <w:jc w:val="both"/>
              <w:rPr>
                <w:b w:val="1"/>
                <w:bCs w:val="1"/>
              </w:rPr>
            </w:pPr>
            <w:r w:rsidDel="00000000" w:rsidR="00000000" w:rsidRPr="00000000">
              <w:rPr>
                <w:b w:val="1"/>
                <w:bCs w:val="1"/>
                <w:rtl w:val="0"/>
              </w:rPr>
              <w:t xml:space="preserve">Fase 2</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0" w:before="0" w:line="276" w:lineRule="auto"/>
              <w:jc w:val="both"/>
              <w:rPr/>
            </w:pPr>
            <w:r w:rsidDel="00000000" w:rsidR="00000000" w:rsidRPr="00000000">
              <w:rPr>
                <w:rtl w:val="0"/>
              </w:rPr>
              <w:t xml:space="preserve">Análisis EDA &amp; Preprocesamiento Temporal</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0" w:before="0" w:line="276" w:lineRule="auto"/>
              <w:jc w:val="both"/>
              <w:rPr/>
            </w:pPr>
            <w:r w:rsidDel="00000000" w:rsidR="00000000" w:rsidRPr="00000000">
              <w:rPr>
                <w:rtl w:val="0"/>
              </w:rPr>
              <w:t xml:space="preserve">Li</w:t>
            </w:r>
            <w:r w:rsidDel="00000000" w:rsidR="00000000" w:rsidRPr="00000000">
              <w:rPr>
                <w:rtl w:val="0"/>
              </w:rPr>
              <w:t xml:space="preserve">mpieza de datos, codificación de diagnósticos, generación de features temporales, división en ventanas pseudo-cronológicas basadas en encounter_id.</w:t>
            </w: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0" w:before="0" w:line="276" w:lineRule="auto"/>
              <w:jc w:val="both"/>
              <w:rPr>
                <w:b w:val="1"/>
                <w:bCs w:val="1"/>
              </w:rPr>
            </w:pPr>
            <w:r w:rsidDel="00000000" w:rsidR="00000000" w:rsidRPr="00000000">
              <w:rPr>
                <w:b w:val="1"/>
                <w:bCs w:val="1"/>
                <w:rtl w:val="0"/>
              </w:rPr>
              <w:t xml:space="preserve">Fase 3</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0" w:before="0" w:line="276" w:lineRule="auto"/>
              <w:jc w:val="both"/>
              <w:rPr/>
            </w:pPr>
            <w:r w:rsidDel="00000000" w:rsidR="00000000" w:rsidRPr="00000000">
              <w:rPr>
                <w:rtl w:val="0"/>
              </w:rPr>
              <w:t xml:space="preserve">Modelado &amp; Evaluación Temporal</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0" w:before="0" w:line="276" w:lineRule="auto"/>
              <w:jc w:val="both"/>
              <w:rPr/>
            </w:pPr>
            <w:r w:rsidDel="00000000" w:rsidR="00000000" w:rsidRPr="00000000">
              <w:rPr>
                <w:rtl w:val="0"/>
              </w:rPr>
              <w:t xml:space="preserve">Entrenamiento de ElasticNet, XGBoost y LightGBM. Evaluación de la curva de degradación F1/AUC a lo largo de las ventanas.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0" w:before="0" w:line="276" w:lineRule="auto"/>
              <w:jc w:val="both"/>
              <w:rPr>
                <w:b w:val="1"/>
                <w:bCs w:val="1"/>
              </w:rPr>
            </w:pPr>
            <w:r w:rsidDel="00000000" w:rsidR="00000000" w:rsidRPr="00000000">
              <w:rPr>
                <w:b w:val="1"/>
                <w:bCs w:val="1"/>
                <w:rtl w:val="0"/>
              </w:rPr>
              <w:t xml:space="preserve">Fase 4</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0" w:before="0" w:line="276" w:lineRule="auto"/>
              <w:jc w:val="both"/>
              <w:rPr/>
            </w:pPr>
            <w:r w:rsidDel="00000000" w:rsidR="00000000" w:rsidRPr="00000000">
              <w:rPr>
                <w:rtl w:val="0"/>
              </w:rPr>
              <w:t xml:space="preserve">Simulación de Despliegue &amp; Ventanas Fijas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0" w:before="0" w:line="276" w:lineRule="auto"/>
              <w:jc w:val="both"/>
              <w:rPr/>
            </w:pPr>
            <w:r w:rsidDel="00000000" w:rsidR="00000000" w:rsidRPr="00000000">
              <w:rPr>
                <w:rtl w:val="0"/>
              </w:rPr>
              <w:t xml:space="preserve">Simulación de pipeline continuo, actualización por ventana deslizante y balanceo de incertidumbre.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0" w:before="0" w:line="276" w:lineRule="auto"/>
              <w:jc w:val="both"/>
              <w:rPr>
                <w:b w:val="1"/>
                <w:bCs w:val="1"/>
              </w:rPr>
            </w:pPr>
            <w:r w:rsidDel="00000000" w:rsidR="00000000" w:rsidRPr="00000000">
              <w:rPr>
                <w:b w:val="1"/>
                <w:bCs w:val="1"/>
                <w:rtl w:val="0"/>
              </w:rPr>
              <w:t xml:space="preserve">Fase 5</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0" w:before="0" w:line="276" w:lineRule="auto"/>
              <w:jc w:val="both"/>
              <w:rPr/>
            </w:pPr>
            <w:r w:rsidDel="00000000" w:rsidR="00000000" w:rsidRPr="00000000">
              <w:rPr>
                <w:rtl w:val="0"/>
              </w:rPr>
              <w:t xml:space="preserve">Entrega Final, Documento &amp; Infografía</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0" w:before="0" w:line="276" w:lineRule="auto"/>
              <w:jc w:val="both"/>
              <w:rPr/>
            </w:pPr>
            <w:r w:rsidDel="00000000" w:rsidR="00000000" w:rsidRPr="00000000">
              <w:rPr>
                <w:rtl w:val="0"/>
              </w:rPr>
              <w:t xml:space="preserve">Elaboración del informe técnico final (8 págs max), código reproducible, infografía del ciclo de vida y sustentación oral.</w:t>
            </w:r>
          </w:p>
        </w:tc>
      </w:tr>
    </w:tbl>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0" w:before="0" w:line="276" w:lineRule="auto"/>
        <w:ind w:left="600" w:firstLine="0"/>
        <w:jc w:val="both"/>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0C4">
      <w:pPr>
        <w:pStyle w:val="Heading2"/>
        <w:numPr>
          <w:ilvl w:val="0"/>
          <w:numId w:val="1"/>
        </w:numPr>
        <w:spacing w:after="0" w:before="0" w:line="276" w:lineRule="auto"/>
        <w:ind w:left="720" w:hanging="360"/>
        <w:jc w:val="both"/>
        <w:rPr>
          <w:sz w:val="22"/>
          <w:szCs w:val="22"/>
          <w:u w:val="none"/>
        </w:rPr>
      </w:pPr>
      <w:bookmarkStart w:colFirst="0" w:colLast="0" w:name="_cywj1pd70hex" w:id="2"/>
      <w:bookmarkEnd w:id="2"/>
      <w:r w:rsidDel="00000000" w:rsidR="00000000" w:rsidRPr="00000000">
        <w:rPr>
          <w:sz w:val="22"/>
          <w:szCs w:val="22"/>
          <w:rtl w:val="0"/>
        </w:rPr>
        <w:t xml:space="preserve">Propuesta preliminar de despliegue y riesgos</w:t>
      </w:r>
    </w:p>
    <w:p w:rsidR="00000000" w:rsidDel="00000000" w:rsidP="00000000" w:rsidRDefault="00000000" w:rsidRPr="00000000" w14:paraId="000000C5">
      <w:pPr>
        <w:pStyle w:val="Heading2"/>
        <w:numPr>
          <w:ilvl w:val="0"/>
          <w:numId w:val="1"/>
        </w:numPr>
        <w:spacing w:after="0" w:before="0" w:line="276" w:lineRule="auto"/>
        <w:ind w:left="720" w:hanging="360"/>
        <w:jc w:val="both"/>
        <w:rPr>
          <w:sz w:val="22"/>
          <w:szCs w:val="22"/>
          <w:u w:val="none"/>
        </w:rPr>
      </w:pPr>
      <w:bookmarkStart w:colFirst="0" w:colLast="0" w:name="_ob8c5nqk2ur2" w:id="3"/>
      <w:bookmarkEnd w:id="3"/>
      <w:r w:rsidDel="00000000" w:rsidR="00000000" w:rsidRPr="00000000">
        <w:rPr>
          <w:sz w:val="22"/>
          <w:szCs w:val="22"/>
          <w:rtl w:val="0"/>
        </w:rPr>
        <w:t xml:space="preserve">Bibliografía</w:t>
      </w:r>
    </w:p>
    <w:p w:rsidR="00000000" w:rsidDel="00000000" w:rsidP="00000000" w:rsidRDefault="00000000" w:rsidRPr="00000000" w14:paraId="000000C6">
      <w:pPr>
        <w:spacing w:after="0" w:before="0" w:line="276" w:lineRule="auto"/>
        <w:jc w:val="both"/>
        <w:rPr/>
      </w:pPr>
      <w:r w:rsidDel="00000000" w:rsidR="00000000" w:rsidRPr="00000000">
        <w:rPr>
          <w:b w:val="1"/>
          <w:bCs w:val="1"/>
          <w:rtl w:val="0"/>
        </w:rPr>
        <w:t xml:space="preserve">Drincic, A., Pfeffer, E., Luo, J., &amp; Goldner, W. S. (2017).</w:t>
      </w:r>
      <w:r w:rsidDel="00000000" w:rsidR="00000000" w:rsidRPr="00000000">
        <w:rPr>
          <w:rtl w:val="0"/>
        </w:rPr>
        <w:t xml:space="preserve"> </w:t>
      </w:r>
      <w:r w:rsidDel="00000000" w:rsidR="00000000" w:rsidRPr="00000000">
        <w:rPr>
          <w:i w:val="1"/>
          <w:iCs w:val="1"/>
          <w:rtl w:val="0"/>
        </w:rPr>
        <w:t xml:space="preserve">The effect of diabetes case management and Diabetes Resource Nurse program on readmissions of patients with diabetes mellitus.</w:t>
      </w:r>
      <w:r w:rsidDel="00000000" w:rsidR="00000000" w:rsidRPr="00000000">
        <w:rPr>
          <w:rtl w:val="0"/>
        </w:rPr>
        <w:t xml:space="preserve"> Journal of Clinical &amp; Translational Endocrinology, 8, 29–34.</w:t>
      </w:r>
      <w:hyperlink r:id="rId7">
        <w:r w:rsidDel="00000000" w:rsidR="00000000" w:rsidRPr="00000000">
          <w:rPr>
            <w:rtl w:val="0"/>
          </w:rPr>
          <w:t xml:space="preserve"> </w:t>
        </w:r>
      </w:hyperlink>
      <w:hyperlink r:id="rId8">
        <w:r w:rsidDel="00000000" w:rsidR="00000000" w:rsidRPr="00000000">
          <w:rPr>
            <w:u w:val="single"/>
            <w:rtl w:val="0"/>
          </w:rPr>
          <w:t xml:space="preserve">https://doi.org/10.1016/j.jcte.2017.03.003</w:t>
        </w:r>
      </w:hyperlink>
      <w:r w:rsidDel="00000000" w:rsidR="00000000" w:rsidRPr="00000000">
        <w:rPr>
          <w:rtl w:val="0"/>
        </w:rPr>
      </w:r>
    </w:p>
    <w:p w:rsidR="00000000" w:rsidDel="00000000" w:rsidP="00000000" w:rsidRDefault="00000000" w:rsidRPr="00000000" w14:paraId="000000C7">
      <w:pPr>
        <w:spacing w:after="0" w:before="0" w:line="276" w:lineRule="auto"/>
        <w:jc w:val="both"/>
        <w:rPr/>
      </w:pPr>
      <w:r w:rsidDel="00000000" w:rsidR="00000000" w:rsidRPr="00000000">
        <w:rPr>
          <w:b w:val="1"/>
          <w:bCs w:val="1"/>
          <w:rtl w:val="0"/>
        </w:rPr>
        <w:t xml:space="preserve">Bhalodkar, A. et al. (2020).</w:t>
      </w:r>
      <w:r w:rsidDel="00000000" w:rsidR="00000000" w:rsidRPr="00000000">
        <w:rPr>
          <w:rtl w:val="0"/>
        </w:rPr>
        <w:t xml:space="preserve"> </w:t>
      </w:r>
      <w:r w:rsidDel="00000000" w:rsidR="00000000" w:rsidRPr="00000000">
        <w:rPr>
          <w:i w:val="1"/>
          <w:iCs w:val="1"/>
          <w:rtl w:val="0"/>
        </w:rPr>
        <w:t xml:space="preserve">The Effects of a Comprehensive Multidisciplinary Outpatient Diabetes Program on Hospital Readmission Rates in Patients with Diabetes: A Randomized Controlled Prospective Study.</w:t>
      </w:r>
      <w:r w:rsidDel="00000000" w:rsidR="00000000" w:rsidRPr="00000000">
        <w:rPr>
          <w:rtl w:val="0"/>
        </w:rPr>
        <w:t xml:space="preserve"> Endocrine Practice, 26(11), 1331-1336. PMID: 33471664.</w:t>
      </w:r>
    </w:p>
    <w:p w:rsidR="00000000" w:rsidDel="00000000" w:rsidP="00000000" w:rsidRDefault="00000000" w:rsidRPr="00000000" w14:paraId="000000C8">
      <w:pPr>
        <w:spacing w:after="0" w:before="0" w:line="276" w:lineRule="auto"/>
        <w:jc w:val="both"/>
        <w:rPr/>
      </w:pPr>
      <w:r w:rsidDel="00000000" w:rsidR="00000000" w:rsidRPr="00000000">
        <w:rPr>
          <w:b w:val="1"/>
          <w:bCs w:val="1"/>
          <w:rtl w:val="0"/>
        </w:rPr>
        <w:t xml:space="preserve">Nawaz. (2026). </w:t>
      </w:r>
      <w:r w:rsidDel="00000000" w:rsidR="00000000" w:rsidRPr="00000000">
        <w:rPr>
          <w:i w:val="1"/>
          <w:iCs w:val="1"/>
          <w:rtl w:val="0"/>
        </w:rPr>
        <w:t xml:space="preserve">How to instrument clinical decision support system response times</w:t>
      </w:r>
      <w:r w:rsidDel="00000000" w:rsidR="00000000" w:rsidRPr="00000000">
        <w:rPr>
          <w:rtl w:val="0"/>
        </w:rPr>
        <w:t xml:space="preserve">. OneUptime.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https://oneuptime.com/blog/post/2026-02-06-instrument-cdss-response-times-opentelemetry/view</w:t>
        </w:r>
      </w:hyperlink>
      <w:r w:rsidDel="00000000" w:rsidR="00000000" w:rsidRPr="00000000">
        <w:rPr>
          <w:rtl w:val="0"/>
        </w:rPr>
      </w:r>
    </w:p>
    <w:p w:rsidR="00000000" w:rsidDel="00000000" w:rsidP="00000000" w:rsidRDefault="00000000" w:rsidRPr="00000000" w14:paraId="000000C9">
      <w:pPr>
        <w:spacing w:after="0" w:before="0" w:line="276" w:lineRule="auto"/>
        <w:jc w:val="both"/>
        <w:rPr/>
      </w:pPr>
      <w:r w:rsidDel="00000000" w:rsidR="00000000" w:rsidRPr="00000000">
        <w:rPr>
          <w:b w:val="1"/>
          <w:bCs w:val="1"/>
          <w:rtl w:val="0"/>
        </w:rPr>
        <w:t xml:space="preserve">van Walraven, C., Bennett, C., Jennings, A., Austin, P. C., &amp; Forster, A. J. (2011)</w:t>
      </w:r>
      <w:r w:rsidDel="00000000" w:rsidR="00000000" w:rsidRPr="00000000">
        <w:rPr>
          <w:rtl w:val="0"/>
        </w:rPr>
        <w:t xml:space="preserve">. </w:t>
      </w:r>
      <w:r w:rsidDel="00000000" w:rsidR="00000000" w:rsidRPr="00000000">
        <w:rPr>
          <w:i w:val="1"/>
          <w:iCs w:val="1"/>
          <w:rtl w:val="0"/>
        </w:rPr>
        <w:t xml:space="preserve">Proportion of hospital readmissions deemed avoidable: a systematic review</w:t>
      </w:r>
      <w:r w:rsidDel="00000000" w:rsidR="00000000" w:rsidRPr="00000000">
        <w:rPr>
          <w:rtl w:val="0"/>
        </w:rPr>
        <w:t xml:space="preserve">. Canadian Medical Association Journal, 183(7), E391–E402. https://doi.org/10.1503/cmaj.101860</w:t>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0" w:before="0" w:line="276" w:lineRule="auto"/>
        <w:ind w:left="0" w:firstLine="0"/>
        <w:jc w:val="both"/>
        <w:rPr/>
      </w:pPr>
      <w:r w:rsidDel="00000000" w:rsidR="00000000" w:rsidRPr="00000000">
        <w:rPr>
          <w:rtl w:val="0"/>
        </w:rPr>
      </w:r>
    </w:p>
    <w:sectPr>
      <w:type w:val="nextPage"/>
      <w:pgSz w:h="15840" w:w="12240" w:orient="portrait"/>
      <w:pgMar w:bottom="1440" w:top="144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oneuptime.com/blog/post/2026-02-06-instrument-cdss-response-times-opentelemetry/view" TargetMode="External"/><Relationship Id="rId9" Type="http://schemas.openxmlformats.org/officeDocument/2006/relationships/hyperlink" Target="https://oneuptime.com/blog/post/2026-02-06-instrument-cdss-response-times-opentelemetry/view"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i.org/10.1016/j.jcte.2017.03.003" TargetMode="External"/><Relationship Id="rId8" Type="http://schemas.openxmlformats.org/officeDocument/2006/relationships/hyperlink" Target="https://doi.org/10.1016/j.jcte.2017.03.0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