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5E8C6" w14:textId="3B67D729" w:rsidR="00FC3463" w:rsidRPr="00FC3463" w:rsidRDefault="00FC3463" w:rsidP="00FC3463">
      <w:r w:rsidRPr="00FC3463">
        <w:t xml:space="preserve">Assignment </w:t>
      </w:r>
      <w:r>
        <w:t>3</w:t>
      </w:r>
      <w:r w:rsidRPr="00FC3463">
        <w:t xml:space="preserve"> – Solving a Problem Using Open Data</w:t>
      </w:r>
    </w:p>
    <w:p w14:paraId="0A7FD81D" w14:textId="77777777" w:rsidR="00FC3463" w:rsidRPr="00FC3463" w:rsidRDefault="00FC3463" w:rsidP="00FC3463">
      <w:pPr>
        <w:rPr>
          <w:b/>
          <w:bCs/>
        </w:rPr>
      </w:pPr>
      <w:r w:rsidRPr="00FC3463">
        <w:rPr>
          <w:b/>
          <w:bCs/>
        </w:rPr>
        <w:t>1. Introduction: Problem Definition</w:t>
      </w:r>
    </w:p>
    <w:p w14:paraId="65927E77" w14:textId="77777777" w:rsidR="00FC3463" w:rsidRPr="00FC3463" w:rsidRDefault="00FC3463" w:rsidP="00FC3463">
      <w:r w:rsidRPr="00FC3463">
        <w:t>Unemployment is one of the most important economic and social challenges faced by modern societies. High unemployment leads to income loss for households, increased poverty, and reduced tax revenues for governments. For Lithuania, unemployment trends are especially critical given the country’s relatively small labor market, demographic shifts, and emigration to other EU countries.</w:t>
      </w:r>
      <w:r w:rsidRPr="00FC3463">
        <w:br/>
      </w:r>
      <w:r w:rsidRPr="00FC3463">
        <w:br/>
        <w:t>The problem addressed in this study is:</w:t>
      </w:r>
      <w:r w:rsidRPr="00FC3463">
        <w:br/>
        <w:t>How has unemployment in Lithuania evolved over time, and what patterns can be identified using open data?</w:t>
      </w:r>
    </w:p>
    <w:p w14:paraId="400A8255" w14:textId="77777777" w:rsidR="00FC3463" w:rsidRPr="00FC3463" w:rsidRDefault="00FC3463" w:rsidP="00FC3463">
      <w:pPr>
        <w:rPr>
          <w:b/>
          <w:bCs/>
        </w:rPr>
      </w:pPr>
      <w:r w:rsidRPr="00FC3463">
        <w:rPr>
          <w:b/>
          <w:bCs/>
        </w:rPr>
        <w:t>2. Dataset Identification and Description</w:t>
      </w:r>
    </w:p>
    <w:p w14:paraId="6E36CE51" w14:textId="5484BF8F" w:rsidR="00FC3463" w:rsidRPr="00FC3463" w:rsidRDefault="00FC3463" w:rsidP="00FC3463">
      <w:r w:rsidRPr="00FC3463">
        <w:t>Dataset title: Total Unemployment Rate (Labour Force Survey, age 15–74, % of active population)</w:t>
      </w:r>
      <w:r w:rsidRPr="00FC3463">
        <w:br/>
        <w:t>Source: Eurostat – European Union Statistics Portal</w:t>
      </w:r>
      <w:r w:rsidRPr="00FC3463">
        <w:br/>
        <w:t>Dataset code: tps00203</w:t>
      </w:r>
      <w:r w:rsidRPr="00FC3463">
        <w:br/>
        <w:t>Portal link: https://ec.europa.eu/eurostat/databrowser/view/tps00203/default/table</w:t>
      </w:r>
      <w:r w:rsidRPr="00FC3463">
        <w:br/>
        <w:t>API endpoint: https://ec.europa.eu/eurostat/api/dissemination/statistics/1.0/data/tps00203</w:t>
      </w:r>
      <w:r w:rsidRPr="00FC3463">
        <w:br/>
      </w:r>
      <w:r w:rsidRPr="00FC3463">
        <w:br/>
        <w:t>Schema:</w:t>
      </w:r>
      <w:r w:rsidRPr="00FC3463">
        <w:br/>
        <w:t>- time: Year of observation</w:t>
      </w:r>
      <w:r w:rsidR="00D665C5">
        <w:t xml:space="preserve"> </w:t>
      </w:r>
      <w:r w:rsidR="00D665C5" w:rsidRPr="00D665C5">
        <w:t>(annual frequency)</w:t>
      </w:r>
      <w:r w:rsidRPr="00FC3463">
        <w:br/>
        <w:t>- geo: Country (Lithuania = LT)</w:t>
      </w:r>
      <w:r w:rsidRPr="00FC3463">
        <w:br/>
        <w:t>- age: Age group (15–74 years)</w:t>
      </w:r>
      <w:r w:rsidRPr="00FC3463">
        <w:br/>
        <w:t>- sex: Male, Female, or Total</w:t>
      </w:r>
      <w:r w:rsidRPr="00FC3463">
        <w:br/>
        <w:t>- unit: Unit of measure (percentage of active population)</w:t>
      </w:r>
      <w:r w:rsidRPr="00FC3463">
        <w:br/>
        <w:t>- value: Unemployment rate (%)</w:t>
      </w:r>
    </w:p>
    <w:p w14:paraId="4795F8A7" w14:textId="77777777" w:rsidR="00FC3463" w:rsidRPr="00FC3463" w:rsidRDefault="00FC3463" w:rsidP="00FC3463">
      <w:pPr>
        <w:rPr>
          <w:b/>
          <w:bCs/>
        </w:rPr>
      </w:pPr>
      <w:r w:rsidRPr="00FC3463">
        <w:rPr>
          <w:b/>
          <w:bCs/>
        </w:rPr>
        <w:t>3. Data Cleaning and Processing</w:t>
      </w:r>
    </w:p>
    <w:p w14:paraId="5F7108FD" w14:textId="77777777" w:rsidR="00FC3463" w:rsidRPr="00FC3463" w:rsidRDefault="00FC3463" w:rsidP="00FC3463">
      <w:r w:rsidRPr="00FC3463">
        <w:t>Steps taken:</w:t>
      </w:r>
      <w:r w:rsidRPr="00FC3463">
        <w:br/>
        <w:t>1. Loaded the dataset using Python requests.</w:t>
      </w:r>
      <w:r w:rsidRPr="00FC3463">
        <w:br/>
        <w:t>2. Decoded Eurostat’s compact JSON format.</w:t>
      </w:r>
      <w:r w:rsidRPr="00FC3463">
        <w:br/>
        <w:t>3. Filtered for Lithuania (geo=LT, age=Y15-74, sex=T, unit=PC_ACT, freq=A).</w:t>
      </w:r>
      <w:r w:rsidRPr="00FC3463">
        <w:br/>
        <w:t>4. Converted years to integers.</w:t>
      </w:r>
      <w:r w:rsidRPr="00FC3463">
        <w:br/>
        <w:t>5. Sorted values chronologically.</w:t>
      </w:r>
    </w:p>
    <w:p w14:paraId="0E72C873" w14:textId="77777777" w:rsidR="00FC3463" w:rsidRPr="00FC3463" w:rsidRDefault="00FC3463" w:rsidP="00FC3463">
      <w:pPr>
        <w:rPr>
          <w:b/>
          <w:bCs/>
        </w:rPr>
      </w:pPr>
      <w:r w:rsidRPr="00FC3463">
        <w:rPr>
          <w:b/>
          <w:bCs/>
        </w:rPr>
        <w:t>4. Analytical Methods</w:t>
      </w:r>
    </w:p>
    <w:p w14:paraId="6480A4E3" w14:textId="77777777" w:rsidR="00FC3463" w:rsidRPr="00FC3463" w:rsidRDefault="00FC3463" w:rsidP="00FC3463">
      <w:r w:rsidRPr="00FC3463">
        <w:lastRenderedPageBreak/>
        <w:t>The analysis was done using simple descriptive statistics:</w:t>
      </w:r>
      <w:r w:rsidRPr="00FC3463">
        <w:br/>
        <w:t>- Trend analysis with a line chart (2013–2024).</w:t>
      </w:r>
      <w:r w:rsidRPr="00FC3463">
        <w:br/>
        <w:t>- Yearly comparison of unemployment rates.</w:t>
      </w:r>
      <w:r w:rsidRPr="00FC3463">
        <w:br/>
        <w:t>- Interpretation in relation to global events (financial crisis, COVID-19).</w:t>
      </w:r>
    </w:p>
    <w:p w14:paraId="364292C0" w14:textId="77777777" w:rsidR="00FC3463" w:rsidRPr="00FC3463" w:rsidRDefault="00FC3463" w:rsidP="00FC3463">
      <w:pPr>
        <w:rPr>
          <w:b/>
          <w:bCs/>
        </w:rPr>
      </w:pPr>
      <w:r w:rsidRPr="00FC3463">
        <w:rPr>
          <w:b/>
          <w:bCs/>
        </w:rPr>
        <w:t>5. Results</w:t>
      </w:r>
    </w:p>
    <w:p w14:paraId="33049403" w14:textId="77777777" w:rsidR="00FC3463" w:rsidRPr="00FC3463" w:rsidRDefault="00FC3463" w:rsidP="00FC3463">
      <w:r w:rsidRPr="00FC3463">
        <w:t>Table 1: Lithuania unemployment rate (2013–2022)</w:t>
      </w:r>
    </w:p>
    <w:tbl>
      <w:tblPr>
        <w:tblW w:w="0" w:type="auto"/>
        <w:tblLook w:val="04A0" w:firstRow="1" w:lastRow="0" w:firstColumn="1" w:lastColumn="0" w:noHBand="0" w:noVBand="1"/>
      </w:tblPr>
      <w:tblGrid>
        <w:gridCol w:w="4320"/>
        <w:gridCol w:w="4320"/>
      </w:tblGrid>
      <w:tr w:rsidR="00FC3463" w:rsidRPr="00FC3463" w14:paraId="1F5D4928" w14:textId="77777777">
        <w:tc>
          <w:tcPr>
            <w:tcW w:w="4320" w:type="dxa"/>
            <w:hideMark/>
          </w:tcPr>
          <w:p w14:paraId="51AEFCC6" w14:textId="77777777" w:rsidR="00FC3463" w:rsidRPr="00FC3463" w:rsidRDefault="00FC3463" w:rsidP="00FC3463">
            <w:r w:rsidRPr="00FC3463">
              <w:t>Year</w:t>
            </w:r>
          </w:p>
        </w:tc>
        <w:tc>
          <w:tcPr>
            <w:tcW w:w="4320" w:type="dxa"/>
            <w:hideMark/>
          </w:tcPr>
          <w:p w14:paraId="41240EEC" w14:textId="77777777" w:rsidR="00FC3463" w:rsidRPr="00FC3463" w:rsidRDefault="00FC3463" w:rsidP="00FC3463">
            <w:r w:rsidRPr="00FC3463">
              <w:t>Unemployment Rate (%)</w:t>
            </w:r>
          </w:p>
        </w:tc>
      </w:tr>
      <w:tr w:rsidR="00FC3463" w:rsidRPr="00FC3463" w14:paraId="692D1B81" w14:textId="77777777">
        <w:tc>
          <w:tcPr>
            <w:tcW w:w="4320" w:type="dxa"/>
            <w:hideMark/>
          </w:tcPr>
          <w:p w14:paraId="58CC39B4" w14:textId="77777777" w:rsidR="00FC3463" w:rsidRPr="00FC3463" w:rsidRDefault="00FC3463" w:rsidP="00FC3463">
            <w:r w:rsidRPr="00FC3463">
              <w:t>2013</w:t>
            </w:r>
          </w:p>
        </w:tc>
        <w:tc>
          <w:tcPr>
            <w:tcW w:w="4320" w:type="dxa"/>
            <w:hideMark/>
          </w:tcPr>
          <w:p w14:paraId="2DCE94BE" w14:textId="77777777" w:rsidR="00FC3463" w:rsidRPr="00FC3463" w:rsidRDefault="00FC3463" w:rsidP="00FC3463">
            <w:r w:rsidRPr="00FC3463">
              <w:t>11.8</w:t>
            </w:r>
          </w:p>
        </w:tc>
      </w:tr>
      <w:tr w:rsidR="00FC3463" w:rsidRPr="00FC3463" w14:paraId="1E8DC27E" w14:textId="77777777">
        <w:tc>
          <w:tcPr>
            <w:tcW w:w="4320" w:type="dxa"/>
            <w:hideMark/>
          </w:tcPr>
          <w:p w14:paraId="028525F1" w14:textId="77777777" w:rsidR="00FC3463" w:rsidRPr="00FC3463" w:rsidRDefault="00FC3463" w:rsidP="00FC3463">
            <w:r w:rsidRPr="00FC3463">
              <w:t>2014</w:t>
            </w:r>
          </w:p>
        </w:tc>
        <w:tc>
          <w:tcPr>
            <w:tcW w:w="4320" w:type="dxa"/>
            <w:hideMark/>
          </w:tcPr>
          <w:p w14:paraId="490D4E9D" w14:textId="77777777" w:rsidR="00FC3463" w:rsidRPr="00FC3463" w:rsidRDefault="00FC3463" w:rsidP="00FC3463">
            <w:r w:rsidRPr="00FC3463">
              <w:t>10.7</w:t>
            </w:r>
          </w:p>
        </w:tc>
      </w:tr>
      <w:tr w:rsidR="00FC3463" w:rsidRPr="00FC3463" w14:paraId="1E1659D7" w14:textId="77777777">
        <w:tc>
          <w:tcPr>
            <w:tcW w:w="4320" w:type="dxa"/>
            <w:hideMark/>
          </w:tcPr>
          <w:p w14:paraId="3F6B2401" w14:textId="77777777" w:rsidR="00FC3463" w:rsidRPr="00FC3463" w:rsidRDefault="00FC3463" w:rsidP="00FC3463">
            <w:r w:rsidRPr="00FC3463">
              <w:t>2015</w:t>
            </w:r>
          </w:p>
        </w:tc>
        <w:tc>
          <w:tcPr>
            <w:tcW w:w="4320" w:type="dxa"/>
            <w:hideMark/>
          </w:tcPr>
          <w:p w14:paraId="0C51181A" w14:textId="77777777" w:rsidR="00FC3463" w:rsidRPr="00FC3463" w:rsidRDefault="00FC3463" w:rsidP="00FC3463">
            <w:r w:rsidRPr="00FC3463">
              <w:t>9.1</w:t>
            </w:r>
          </w:p>
        </w:tc>
      </w:tr>
      <w:tr w:rsidR="00FC3463" w:rsidRPr="00FC3463" w14:paraId="26D27857" w14:textId="77777777">
        <w:tc>
          <w:tcPr>
            <w:tcW w:w="4320" w:type="dxa"/>
            <w:hideMark/>
          </w:tcPr>
          <w:p w14:paraId="5A815004" w14:textId="77777777" w:rsidR="00FC3463" w:rsidRPr="00FC3463" w:rsidRDefault="00FC3463" w:rsidP="00FC3463">
            <w:r w:rsidRPr="00FC3463">
              <w:t>2016</w:t>
            </w:r>
          </w:p>
        </w:tc>
        <w:tc>
          <w:tcPr>
            <w:tcW w:w="4320" w:type="dxa"/>
            <w:hideMark/>
          </w:tcPr>
          <w:p w14:paraId="2DE78B29" w14:textId="77777777" w:rsidR="00FC3463" w:rsidRPr="00FC3463" w:rsidRDefault="00FC3463" w:rsidP="00FC3463">
            <w:r w:rsidRPr="00FC3463">
              <w:t>7.9</w:t>
            </w:r>
          </w:p>
        </w:tc>
      </w:tr>
      <w:tr w:rsidR="00FC3463" w:rsidRPr="00FC3463" w14:paraId="0F0201C0" w14:textId="77777777">
        <w:tc>
          <w:tcPr>
            <w:tcW w:w="4320" w:type="dxa"/>
            <w:hideMark/>
          </w:tcPr>
          <w:p w14:paraId="735F7047" w14:textId="77777777" w:rsidR="00FC3463" w:rsidRPr="00FC3463" w:rsidRDefault="00FC3463" w:rsidP="00FC3463">
            <w:r w:rsidRPr="00FC3463">
              <w:t>2017</w:t>
            </w:r>
          </w:p>
        </w:tc>
        <w:tc>
          <w:tcPr>
            <w:tcW w:w="4320" w:type="dxa"/>
            <w:hideMark/>
          </w:tcPr>
          <w:p w14:paraId="2F63495B" w14:textId="77777777" w:rsidR="00FC3463" w:rsidRPr="00FC3463" w:rsidRDefault="00FC3463" w:rsidP="00FC3463">
            <w:r w:rsidRPr="00FC3463">
              <w:t>7.1</w:t>
            </w:r>
          </w:p>
        </w:tc>
      </w:tr>
      <w:tr w:rsidR="00FC3463" w:rsidRPr="00FC3463" w14:paraId="04AC54B1" w14:textId="77777777">
        <w:tc>
          <w:tcPr>
            <w:tcW w:w="4320" w:type="dxa"/>
            <w:hideMark/>
          </w:tcPr>
          <w:p w14:paraId="5B09E67C" w14:textId="77777777" w:rsidR="00FC3463" w:rsidRPr="00FC3463" w:rsidRDefault="00FC3463" w:rsidP="00FC3463">
            <w:r w:rsidRPr="00FC3463">
              <w:t>2018</w:t>
            </w:r>
          </w:p>
        </w:tc>
        <w:tc>
          <w:tcPr>
            <w:tcW w:w="4320" w:type="dxa"/>
            <w:hideMark/>
          </w:tcPr>
          <w:p w14:paraId="25DC04AE" w14:textId="77777777" w:rsidR="00FC3463" w:rsidRPr="00FC3463" w:rsidRDefault="00FC3463" w:rsidP="00FC3463">
            <w:r w:rsidRPr="00FC3463">
              <w:t>6.2</w:t>
            </w:r>
          </w:p>
        </w:tc>
      </w:tr>
      <w:tr w:rsidR="00FC3463" w:rsidRPr="00FC3463" w14:paraId="12E49767" w14:textId="77777777">
        <w:tc>
          <w:tcPr>
            <w:tcW w:w="4320" w:type="dxa"/>
            <w:hideMark/>
          </w:tcPr>
          <w:p w14:paraId="6239B6BB" w14:textId="77777777" w:rsidR="00FC3463" w:rsidRPr="00FC3463" w:rsidRDefault="00FC3463" w:rsidP="00FC3463">
            <w:r w:rsidRPr="00FC3463">
              <w:t>2019</w:t>
            </w:r>
          </w:p>
        </w:tc>
        <w:tc>
          <w:tcPr>
            <w:tcW w:w="4320" w:type="dxa"/>
            <w:hideMark/>
          </w:tcPr>
          <w:p w14:paraId="5B24191F" w14:textId="77777777" w:rsidR="00FC3463" w:rsidRPr="00FC3463" w:rsidRDefault="00FC3463" w:rsidP="00FC3463">
            <w:r w:rsidRPr="00FC3463">
              <w:t>6.3</w:t>
            </w:r>
          </w:p>
        </w:tc>
      </w:tr>
      <w:tr w:rsidR="00FC3463" w:rsidRPr="00FC3463" w14:paraId="22E43908" w14:textId="77777777">
        <w:tc>
          <w:tcPr>
            <w:tcW w:w="4320" w:type="dxa"/>
            <w:hideMark/>
          </w:tcPr>
          <w:p w14:paraId="6690F56D" w14:textId="77777777" w:rsidR="00FC3463" w:rsidRPr="00FC3463" w:rsidRDefault="00FC3463" w:rsidP="00FC3463">
            <w:r w:rsidRPr="00FC3463">
              <w:t>2020</w:t>
            </w:r>
          </w:p>
        </w:tc>
        <w:tc>
          <w:tcPr>
            <w:tcW w:w="4320" w:type="dxa"/>
            <w:hideMark/>
          </w:tcPr>
          <w:p w14:paraId="62243A7A" w14:textId="77777777" w:rsidR="00FC3463" w:rsidRPr="00FC3463" w:rsidRDefault="00FC3463" w:rsidP="00FC3463">
            <w:r w:rsidRPr="00FC3463">
              <w:t>8.5</w:t>
            </w:r>
          </w:p>
        </w:tc>
      </w:tr>
      <w:tr w:rsidR="00FC3463" w:rsidRPr="00FC3463" w14:paraId="0D8DA596" w14:textId="77777777">
        <w:tc>
          <w:tcPr>
            <w:tcW w:w="4320" w:type="dxa"/>
            <w:hideMark/>
          </w:tcPr>
          <w:p w14:paraId="286CB229" w14:textId="77777777" w:rsidR="00FC3463" w:rsidRPr="00FC3463" w:rsidRDefault="00FC3463" w:rsidP="00FC3463">
            <w:r w:rsidRPr="00FC3463">
              <w:t>2021</w:t>
            </w:r>
          </w:p>
        </w:tc>
        <w:tc>
          <w:tcPr>
            <w:tcW w:w="4320" w:type="dxa"/>
            <w:hideMark/>
          </w:tcPr>
          <w:p w14:paraId="6CFBA8F5" w14:textId="77777777" w:rsidR="00FC3463" w:rsidRPr="00FC3463" w:rsidRDefault="00FC3463" w:rsidP="00FC3463">
            <w:r w:rsidRPr="00FC3463">
              <w:t>7.1</w:t>
            </w:r>
          </w:p>
        </w:tc>
      </w:tr>
      <w:tr w:rsidR="00FC3463" w:rsidRPr="00FC3463" w14:paraId="7255A42D" w14:textId="77777777">
        <w:tc>
          <w:tcPr>
            <w:tcW w:w="4320" w:type="dxa"/>
            <w:hideMark/>
          </w:tcPr>
          <w:p w14:paraId="0E16123C" w14:textId="77777777" w:rsidR="00FC3463" w:rsidRPr="00FC3463" w:rsidRDefault="00FC3463" w:rsidP="00FC3463">
            <w:r w:rsidRPr="00FC3463">
              <w:t>2022</w:t>
            </w:r>
          </w:p>
        </w:tc>
        <w:tc>
          <w:tcPr>
            <w:tcW w:w="4320" w:type="dxa"/>
            <w:hideMark/>
          </w:tcPr>
          <w:p w14:paraId="7FC637BF" w14:textId="77777777" w:rsidR="00FC3463" w:rsidRPr="00FC3463" w:rsidRDefault="00FC3463" w:rsidP="00FC3463">
            <w:r w:rsidRPr="00FC3463">
              <w:t>6.0</w:t>
            </w:r>
          </w:p>
        </w:tc>
      </w:tr>
    </w:tbl>
    <w:p w14:paraId="5A88540C" w14:textId="77777777" w:rsidR="00FC3463" w:rsidRPr="00FC3463" w:rsidRDefault="00FC3463" w:rsidP="00FC3463">
      <w:r w:rsidRPr="00FC3463">
        <w:t>Figure 1: Unemployment Rate in Lithuania (2013–2024).</w:t>
      </w:r>
    </w:p>
    <w:p w14:paraId="3B0D3A62" w14:textId="73DCCCF8" w:rsidR="00FC3463" w:rsidRPr="00FC3463" w:rsidRDefault="00FC3463" w:rsidP="00FC3463">
      <w:r w:rsidRPr="00FC3463">
        <w:rPr>
          <w:noProof/>
        </w:rPr>
        <w:drawing>
          <wp:inline distT="0" distB="0" distL="0" distR="0" wp14:anchorId="3586144F" wp14:editId="05102E46">
            <wp:extent cx="4579620" cy="2392680"/>
            <wp:effectExtent l="0" t="0" r="0" b="7620"/>
            <wp:docPr id="1228400946" name="Picture 2"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0946" name="Picture 2" descr="A graph with blue lines and number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79620" cy="2392680"/>
                    </a:xfrm>
                    <a:prstGeom prst="rect">
                      <a:avLst/>
                    </a:prstGeom>
                    <a:noFill/>
                    <a:ln>
                      <a:noFill/>
                    </a:ln>
                  </pic:spPr>
                </pic:pic>
              </a:graphicData>
            </a:graphic>
          </wp:inline>
        </w:drawing>
      </w:r>
    </w:p>
    <w:p w14:paraId="05859C45" w14:textId="77777777" w:rsidR="00FC3463" w:rsidRPr="00FC3463" w:rsidRDefault="00FC3463" w:rsidP="00FC3463">
      <w:pPr>
        <w:rPr>
          <w:b/>
          <w:bCs/>
        </w:rPr>
      </w:pPr>
      <w:r w:rsidRPr="00FC3463">
        <w:rPr>
          <w:b/>
          <w:bCs/>
        </w:rPr>
        <w:t>6. Discussion and Interpretation</w:t>
      </w:r>
    </w:p>
    <w:p w14:paraId="71C8AE4C" w14:textId="77777777" w:rsidR="00FC3463" w:rsidRPr="00FC3463" w:rsidRDefault="00FC3463" w:rsidP="00FC3463">
      <w:r w:rsidRPr="00FC3463">
        <w:lastRenderedPageBreak/>
        <w:t>The analysis shows that Lithuania’s unemployment rate has steadily declined since 2013, from 11.8% to around 6–7% in recent years. The data highlights:</w:t>
      </w:r>
      <w:r w:rsidRPr="00FC3463">
        <w:br/>
        <w:t>- Post-crisis recovery after 2008–2009 financial crisis.</w:t>
      </w:r>
      <w:r w:rsidRPr="00FC3463">
        <w:br/>
        <w:t>- A sharp rise in 2020 due to COVID-19.</w:t>
      </w:r>
      <w:r w:rsidRPr="00FC3463">
        <w:br/>
        <w:t>- Stabilization around 6–7% in recent years.</w:t>
      </w:r>
    </w:p>
    <w:p w14:paraId="3AD39265" w14:textId="77777777" w:rsidR="00FC3463" w:rsidRPr="00FC3463" w:rsidRDefault="00FC3463" w:rsidP="00FC3463">
      <w:pPr>
        <w:rPr>
          <w:b/>
          <w:bCs/>
        </w:rPr>
      </w:pPr>
      <w:r w:rsidRPr="00FC3463">
        <w:rPr>
          <w:b/>
          <w:bCs/>
        </w:rPr>
        <w:t>7. Policy and Societal Implications</w:t>
      </w:r>
    </w:p>
    <w:p w14:paraId="61A3FF09" w14:textId="77777777" w:rsidR="00FC3463" w:rsidRPr="00FC3463" w:rsidRDefault="00FC3463" w:rsidP="00FC3463">
      <w:r w:rsidRPr="00FC3463">
        <w:t>- Policymakers should strengthen unemployment insurance and training programs.</w:t>
      </w:r>
      <w:r w:rsidRPr="00FC3463">
        <w:br/>
        <w:t>- Monitoring unemployment can serve as an early warning for recessions.</w:t>
      </w:r>
      <w:r w:rsidRPr="00FC3463">
        <w:br/>
        <w:t>- Emigration and youth employment policies remain crucial.</w:t>
      </w:r>
    </w:p>
    <w:p w14:paraId="6B7BEE02" w14:textId="77777777" w:rsidR="00FC3463" w:rsidRPr="00FC3463" w:rsidRDefault="00FC3463" w:rsidP="00FC3463">
      <w:pPr>
        <w:rPr>
          <w:b/>
          <w:bCs/>
        </w:rPr>
      </w:pPr>
      <w:r w:rsidRPr="00FC3463">
        <w:rPr>
          <w:b/>
          <w:bCs/>
        </w:rPr>
        <w:t>8. Obstacles and Solutions</w:t>
      </w:r>
    </w:p>
    <w:p w14:paraId="0C66B898" w14:textId="77777777" w:rsidR="00FC3463" w:rsidRPr="00FC3463" w:rsidRDefault="00FC3463" w:rsidP="00FC3463">
      <w:r w:rsidRPr="00FC3463">
        <w:t>Obstacle: Eurostat JSON is not user-friendly and requires decoding.</w:t>
      </w:r>
      <w:r w:rsidRPr="00FC3463">
        <w:br/>
        <w:t>Solution: Used Python to decode indexes into readable labels.</w:t>
      </w:r>
    </w:p>
    <w:p w14:paraId="5BC4480E" w14:textId="77777777" w:rsidR="00FC3463" w:rsidRPr="00FC3463" w:rsidRDefault="00FC3463" w:rsidP="00FC3463">
      <w:pPr>
        <w:rPr>
          <w:b/>
          <w:bCs/>
        </w:rPr>
      </w:pPr>
      <w:r w:rsidRPr="00FC3463">
        <w:rPr>
          <w:b/>
          <w:bCs/>
        </w:rPr>
        <w:t>9. Licensing</w:t>
      </w:r>
    </w:p>
    <w:p w14:paraId="140D1AB4" w14:textId="77777777" w:rsidR="00FC3463" w:rsidRPr="00FC3463" w:rsidRDefault="00FC3463" w:rsidP="00FC3463">
      <w:r w:rsidRPr="00FC3463">
        <w:t>Eurostat data is open under the Creative Commons Attribution (CC-BY 4.0) license.</w:t>
      </w:r>
    </w:p>
    <w:p w14:paraId="55C62828" w14:textId="77777777" w:rsidR="00FC3463" w:rsidRPr="00FC3463" w:rsidRDefault="00FC3463" w:rsidP="00FC3463">
      <w:pPr>
        <w:rPr>
          <w:b/>
          <w:bCs/>
        </w:rPr>
      </w:pPr>
      <w:r w:rsidRPr="00FC3463">
        <w:rPr>
          <w:b/>
          <w:bCs/>
        </w:rPr>
        <w:t>10. Conclusion</w:t>
      </w:r>
    </w:p>
    <w:p w14:paraId="2DFF6C49" w14:textId="77777777" w:rsidR="00FC3463" w:rsidRPr="00FC3463" w:rsidRDefault="00FC3463" w:rsidP="00FC3463">
      <w:r w:rsidRPr="00FC3463">
        <w:t>This project demonstrates the use of open data to understand Lithuania’s unemployment trends. The analysis highlights the relationship between external shocks and the labor market. Open data provides transparency and is a valuable tool for citizens, students, and policymakers.</w:t>
      </w:r>
    </w:p>
    <w:p w14:paraId="537F7EED" w14:textId="77777777" w:rsidR="008A31CB" w:rsidRDefault="008A31CB"/>
    <w:sectPr w:rsidR="008A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50"/>
    <w:rsid w:val="002B6F45"/>
    <w:rsid w:val="00345E50"/>
    <w:rsid w:val="003676C7"/>
    <w:rsid w:val="008A31CB"/>
    <w:rsid w:val="009C4B69"/>
    <w:rsid w:val="00D665C5"/>
    <w:rsid w:val="00FC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1AFC"/>
  <w15:chartTrackingRefBased/>
  <w15:docId w15:val="{4AE02542-16FD-4BE7-B034-3774FF6C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E50"/>
    <w:rPr>
      <w:rFonts w:eastAsiaTheme="majorEastAsia" w:cstheme="majorBidi"/>
      <w:color w:val="272727" w:themeColor="text1" w:themeTint="D8"/>
    </w:rPr>
  </w:style>
  <w:style w:type="paragraph" w:styleId="Title">
    <w:name w:val="Title"/>
    <w:basedOn w:val="Normal"/>
    <w:next w:val="Normal"/>
    <w:link w:val="TitleChar"/>
    <w:uiPriority w:val="10"/>
    <w:qFormat/>
    <w:rsid w:val="00345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E50"/>
    <w:pPr>
      <w:spacing w:before="160"/>
      <w:jc w:val="center"/>
    </w:pPr>
    <w:rPr>
      <w:i/>
      <w:iCs/>
      <w:color w:val="404040" w:themeColor="text1" w:themeTint="BF"/>
    </w:rPr>
  </w:style>
  <w:style w:type="character" w:customStyle="1" w:styleId="QuoteChar">
    <w:name w:val="Quote Char"/>
    <w:basedOn w:val="DefaultParagraphFont"/>
    <w:link w:val="Quote"/>
    <w:uiPriority w:val="29"/>
    <w:rsid w:val="00345E50"/>
    <w:rPr>
      <w:i/>
      <w:iCs/>
      <w:color w:val="404040" w:themeColor="text1" w:themeTint="BF"/>
    </w:rPr>
  </w:style>
  <w:style w:type="paragraph" w:styleId="ListParagraph">
    <w:name w:val="List Paragraph"/>
    <w:basedOn w:val="Normal"/>
    <w:uiPriority w:val="34"/>
    <w:qFormat/>
    <w:rsid w:val="00345E50"/>
    <w:pPr>
      <w:ind w:left="720"/>
      <w:contextualSpacing/>
    </w:pPr>
  </w:style>
  <w:style w:type="character" w:styleId="IntenseEmphasis">
    <w:name w:val="Intense Emphasis"/>
    <w:basedOn w:val="DefaultParagraphFont"/>
    <w:uiPriority w:val="21"/>
    <w:qFormat/>
    <w:rsid w:val="00345E50"/>
    <w:rPr>
      <w:i/>
      <w:iCs/>
      <w:color w:val="0F4761" w:themeColor="accent1" w:themeShade="BF"/>
    </w:rPr>
  </w:style>
  <w:style w:type="paragraph" w:styleId="IntenseQuote">
    <w:name w:val="Intense Quote"/>
    <w:basedOn w:val="Normal"/>
    <w:next w:val="Normal"/>
    <w:link w:val="IntenseQuoteChar"/>
    <w:uiPriority w:val="30"/>
    <w:qFormat/>
    <w:rsid w:val="00345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E50"/>
    <w:rPr>
      <w:i/>
      <w:iCs/>
      <w:color w:val="0F4761" w:themeColor="accent1" w:themeShade="BF"/>
    </w:rPr>
  </w:style>
  <w:style w:type="character" w:styleId="IntenseReference">
    <w:name w:val="Intense Reference"/>
    <w:basedOn w:val="DefaultParagraphFont"/>
    <w:uiPriority w:val="32"/>
    <w:qFormat/>
    <w:rsid w:val="00345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 Hossain Nayem</dc:creator>
  <cp:keywords/>
  <dc:description/>
  <cp:lastModifiedBy>Al Amin Hossain Nayem</cp:lastModifiedBy>
  <cp:revision>4</cp:revision>
  <cp:lastPrinted>2025-09-30T17:13:00Z</cp:lastPrinted>
  <dcterms:created xsi:type="dcterms:W3CDTF">2025-09-30T17:12:00Z</dcterms:created>
  <dcterms:modified xsi:type="dcterms:W3CDTF">2025-09-30T17:15:00Z</dcterms:modified>
</cp:coreProperties>
</file>