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Judgement in Appeal Nos. 385, 387, 388, 412, 607, 608, 610 &amp; 611 of 2023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IN THE APPELLATE   TRIBUNAL  FOR  ELECTRICITY                </w:t>
        <w:br/>
        <w:t xml:space="preserve">                                    (Appellate Jurisdiction)                        </w:t>
        <w:br/>
        <w:t xml:space="preserve">                                                                                    </w:t>
        <w:br/>
        <w:t xml:space="preserve">               Appeal No. 385 of 2023 &amp; IA No. 835 of 2022, IA No. 1024 of 2023,    </w:t>
        <w:br/>
        <w:t xml:space="preserve">                                                                                    </w:t>
        <w:br/>
        <w:t xml:space="preserve">           Appeal No. 387 of 2023 &amp; IA No. 811 of 2022, IA Nos. 1018 &amp; 1489 of 2023,</w:t>
        <w:br/>
        <w:t xml:space="preserve">             Appeal No. 388 of 2023 &amp; IA No. 727 of 2022 and IA No. 1017 of 2023,   </w:t>
        <w:br/>
        <w:t xml:space="preserve">              Appeal No. 412 of 2023 &amp; IA No. 1539 of 2022, IA No. 1023 of 2023,    </w:t>
        <w:br/>
        <w:t xml:space="preserve">               Appeal No. 607 of 2023 &amp; IA No. 941 of 2022, IA No. 1013 of 2023,    </w:t>
        <w:br/>
        <w:t xml:space="preserve">               Appeal No. 608 of 2023 &amp; IA No. 946 of 2022, IA No. 1012 of 2023,    </w:t>
        <w:br/>
        <w:t xml:space="preserve">                                                                                    </w:t>
        <w:br/>
        <w:t xml:space="preserve">              Appeal No. 610 of 2023 &amp; IA No. 1057 of 2022, IA No. 1016 of 2023,    </w:t>
        <w:br/>
        <w:t xml:space="preserve">              Appeal No. 611 of 2023 &amp; IA No. 1397 of 2022, IA No. 1015 of 2023     </w:t>
        <w:br/>
        <w:t xml:space="preserve">                                                                                    </w:t>
        <w:br/>
        <w:t xml:space="preserve">          Dated:    30.05.2024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Present:  Hon’ble Mr. Justice Ramesh Ranganathan, Chairperson             </w:t>
        <w:br/>
        <w:t xml:space="preserve">                    Hon’ble Mr. Sandesh Kumar Sharma, Technical Member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Appeal No. 385 of 2023 &amp; IA No. 835 of 2022, IA No. 1024 of 2023   </w:t>
        <w:br/>
        <w:t xml:space="preserve">                                                                                    </w:t>
        <w:br/>
        <w:t xml:space="preserve">          In the matter of:                                                         </w:t>
        <w:br/>
        <w:t xml:space="preserve">          Arjas Steel (P) Ltd.                                                      </w:t>
        <w:br/>
        <w:t xml:space="preserve">                                                                                    </w:t>
        <w:br/>
        <w:t xml:space="preserve">          Through its Authorized representative                                     </w:t>
        <w:br/>
        <w:t xml:space="preserve">          304-305, World Trade Centre,                                              </w:t>
        <w:br/>
        <w:t xml:space="preserve">          Yeshwanthpur, Bengaluru,                                                  </w:t>
        <w:br/>
        <w:t xml:space="preserve">          Karnataka – 560055.                          …Appellant(s)                </w:t>
        <w:br/>
        <w:t xml:space="preserve">                                                                                    </w:t>
        <w:br/>
        <w:t xml:space="preserve">                    Vs.                                                             </w:t>
        <w:br/>
        <w:t xml:space="preserve">          (1)  Andhra Pradesh Electricity Regulatory Commission                     </w:t>
        <w:br/>
        <w:t xml:space="preserve">               Through its Secretary                                                </w:t>
        <w:br/>
        <w:t xml:space="preserve">               11-4-660, 4th Floor, Singareni Bhavan,                               </w:t>
        <w:br/>
        <w:t xml:space="preserve">               Red Hills, Lakdi–Ka-Pul,                                             </w:t>
        <w:br/>
        <w:t xml:space="preserve">                                                                                    </w:t>
        <w:br/>
        <w:t xml:space="preserve">               Hyderabad – 500004.                                                  </w:t>
        <w:br/>
        <w:t xml:space="preserve">                                                                                    </w:t>
        <w:br/>
        <w:t xml:space="preserve">          (2)  Southern Power Distribution Company of                               </w:t>
        <w:br/>
        <w:t xml:space="preserve">               Andhra Pradesh Ltd. (APSPDCL)                                        </w:t>
        <w:br/>
        <w:t xml:space="preserve">                                                                                    </w:t>
        <w:br/>
        <w:t xml:space="preserve">               Through its Chairman &amp; Managing Director,                            </w:t>
        <w:br/>
        <w:t xml:space="preserve">               19-13-65/A, Vidyut Nilayam,                                          </w:t>
        <w:br/>
        <w:t xml:space="preserve">                                        Page 1 of 122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  <w:br/>
        <w:t xml:space="preserve">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