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4E5F"/>
          <w:sz w:val="56"/>
          <w:szCs w:val="56"/>
        </w:rPr>
        <w:t xml:space="preserve">House Price Prediction</w:t>
      </w:r>
    </w:p>
    <w:p>
      <w:pPr>
        <w:spacing w:after="60" w:before="120"/>
        <w:jc w:val="center"/>
      </w:pPr>
      <w:r>
        <w:rPr>
          <w:b/>
          <w:bCs/>
          <w:color w:val="2E75B6"/>
          <w:sz w:val="32"/>
          <w:szCs w:val="32"/>
        </w:rPr>
        <w:t xml:space="preserve">Ames Housing Dataset — Complete Project Report</w:t>
      </w:r>
    </w:p>
    <w:p>
      <w:pPr>
        <w:spacing w:before="400"/>
        <w:jc w:val="center"/>
      </w:pPr>
      <w:r>
        <w:rPr>
          <w:i/>
          <w:iCs/>
          <w:color w:val="555555"/>
          <w:sz w:val="24"/>
          <w:szCs w:val="24"/>
        </w:rPr>
        <w:t xml:space="preserve">An End-to-End Machine Learning Regression Project</w:t>
      </w:r>
    </w:p>
    <w:p>
      <w:pPr>
        <w:spacing w:before="900"/>
        <w:jc w:val="center"/>
      </w:pPr>
      <w:r>
        <w:rPr>
          <w:color w:val="777777"/>
          <w:sz w:val="20"/>
          <w:szCs w:val="20"/>
        </w:rPr>
        <w:t xml:space="preserve">Data Exploration  •  Missing Value Handling  •  Feature Engineering  •  Model Training &amp; Evaluation</w:t>
      </w:r>
    </w:p>
    <w:p>
      <w:pPr>
        <w:spacing w:before="2400"/>
        <w:jc w:val="center"/>
      </w:pPr>
      <w:r>
        <w:rPr>
          <w:color w:val="555555"/>
          <w:sz w:val="20"/>
          <w:szCs w:val="20"/>
        </w:rPr>
        <w:t xml:space="preserve">Prepared by: Data Science Team</w:t>
      </w:r>
    </w:p>
    <w:p>
      <w:pPr>
        <w:spacing w:before="80"/>
        <w:jc w:val="center"/>
      </w:pPr>
      <w:r>
        <w:rPr>
          <w:color w:val="555555"/>
          <w:sz w:val="20"/>
          <w:szCs w:val="20"/>
        </w:rPr>
        <w:t xml:space="preserve">Date: September 2026</w:t>
      </w:r>
    </w:p>
    <w:p>
      <w:r>
        <w:br w:type="page"/>
      </w:r>
    </w:p>
    <w:p>
      <w:pPr>
        <w:pStyle w:val="Heading1"/>
        <w:spacing w:after="180" w:before="360"/>
      </w:pPr>
      <w:r>
        <w:rPr>
          <w:b/>
          <w:bCs/>
        </w:rPr>
        <w:t xml:space="preserve">01. Executive Summary</w:t>
      </w:r>
    </w:p>
    <w:p>
      <w:pPr>
        <w:pBdr>
          <w:bottom w:val="single" w:color="AAAAAA" w:sz="6" w:space="1"/>
        </w:pBdr>
        <w:spacing w:after="200"/>
      </w:pPr>
    </w:p>
    <w:p>
      <w:pPr>
        <w:spacing w:after="160" w:line="300"/>
      </w:pPr>
      <w:r>
        <w:t xml:space="preserve">The goal of this project is to build a machine learning model that accurately predicts the sale price (SalePrice) of residential homes in Ames, Iowa, using a wide range of property characteristics. The dataset contains 2,930 house records with 82 features, spanning both numerical and categorical data types.</w:t>
      </w:r>
    </w:p>
    <w:p>
      <w:pPr>
        <w:spacing w:after="160" w:line="300"/>
      </w:pPr>
      <w:r>
        <w:t xml:space="preserve">The complete workflow covers dataset overview, missing value analysis, exploratory data analysis (EDA), outlier handling, feature engineering, feature selection, training of multiple models, hyperparameter tuning, cross-validation, and error analysis. Six regression models (Linear Regression, Ridge, Lasso, Random Forest, Gradient Boosting, XGBoost) were trained and compared; a GridSearchCV-tuned Gradient Boosting model delivered the best performance.</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143"/>
            <w:shd w:fill="1F4E5F" w:color="auto" w:val="clear"/>
            <w:tcMar>
              <w:top w:type="dxa" w:w="80"/>
              <w:left w:type="dxa" w:w="100"/>
              <w:bottom w:type="dxa" w:w="80"/>
              <w:right w:type="dxa" w:w="100"/>
            </w:tcMar>
            <w:vAlign w:val="center"/>
          </w:tcPr>
          <w:p>
            <w:r>
              <w:rPr>
                <w:b/>
                <w:bCs/>
                <w:color w:val="FFFFFF"/>
                <w:sz w:val="20"/>
                <w:szCs w:val="20"/>
              </w:rPr>
              <w:t xml:space="preserve">Key Metric</w:t>
            </w:r>
          </w:p>
        </w:tc>
        <w:tc>
          <w:tcPr>
            <w:tcW w:type="dxa" w:w="4208"/>
            <w:shd w:fill="1F4E5F" w:color="auto" w:val="clear"/>
            <w:tcMar>
              <w:top w:type="dxa" w:w="80"/>
              <w:left w:type="dxa" w:w="100"/>
              <w:bottom w:type="dxa" w:w="80"/>
              <w:right w:type="dxa" w:w="100"/>
            </w:tcMar>
            <w:vAlign w:val="center"/>
          </w:tcPr>
          <w:p>
            <w:r>
              <w:rPr>
                <w:b/>
                <w:bCs/>
                <w:color w:val="FFFFFF"/>
                <w:sz w:val="20"/>
                <w:szCs w:val="20"/>
              </w:rPr>
              <w:t xml:space="preserve">Value</w:t>
            </w:r>
          </w:p>
        </w:tc>
      </w:tr>
      <w:tr>
        <w:tc>
          <w:tcPr>
            <w:tcW w:type="dxa" w:w="5143"/>
            <w:shd w:fill="F2F6F8" w:color="auto" w:val="clear"/>
            <w:tcMar>
              <w:top w:type="dxa" w:w="70"/>
              <w:left w:type="dxa" w:w="100"/>
              <w:bottom w:type="dxa" w:w="70"/>
              <w:right w:type="dxa" w:w="100"/>
            </w:tcMar>
            <w:vAlign w:val="center"/>
          </w:tcPr>
          <w:p>
            <w:r>
              <w:rPr>
                <w:sz w:val="20"/>
                <w:szCs w:val="20"/>
              </w:rPr>
              <w:t xml:space="preserve">Best Model</w:t>
            </w:r>
          </w:p>
        </w:tc>
        <w:tc>
          <w:tcPr>
            <w:tcW w:type="dxa" w:w="4208"/>
            <w:shd w:fill="F2F6F8" w:color="auto" w:val="clear"/>
            <w:tcMar>
              <w:top w:type="dxa" w:w="70"/>
              <w:left w:type="dxa" w:w="100"/>
              <w:bottom w:type="dxa" w:w="70"/>
              <w:right w:type="dxa" w:w="100"/>
            </w:tcMar>
            <w:vAlign w:val="center"/>
          </w:tcPr>
          <w:p>
            <w:r>
              <w:rPr>
                <w:sz w:val="20"/>
                <w:szCs w:val="20"/>
              </w:rPr>
              <w:t xml:space="preserve">Gradient Boosting Regressor (Tuned)</w:t>
            </w:r>
          </w:p>
        </w:tc>
      </w:tr>
      <w:tr>
        <w:tc>
          <w:tcPr>
            <w:tcW w:type="dxa" w:w="5143"/>
            <w:tcMar>
              <w:top w:type="dxa" w:w="70"/>
              <w:left w:type="dxa" w:w="100"/>
              <w:bottom w:type="dxa" w:w="70"/>
              <w:right w:type="dxa" w:w="100"/>
            </w:tcMar>
            <w:vAlign w:val="center"/>
          </w:tcPr>
          <w:p>
            <w:r>
              <w:rPr>
                <w:sz w:val="20"/>
                <w:szCs w:val="20"/>
              </w:rPr>
              <w:t xml:space="preserve">Test Set R² Score</w:t>
            </w:r>
          </w:p>
        </w:tc>
        <w:tc>
          <w:tcPr>
            <w:tcW w:type="dxa" w:w="4208"/>
            <w:tcMar>
              <w:top w:type="dxa" w:w="70"/>
              <w:left w:type="dxa" w:w="100"/>
              <w:bottom w:type="dxa" w:w="70"/>
              <w:right w:type="dxa" w:w="100"/>
            </w:tcMar>
            <w:vAlign w:val="center"/>
          </w:tcPr>
          <w:p>
            <w:r>
              <w:rPr>
                <w:sz w:val="20"/>
                <w:szCs w:val="20"/>
              </w:rPr>
              <w:t xml:space="preserve">0.9429  (≈ 94.3% of variance explained)</w:t>
            </w:r>
          </w:p>
        </w:tc>
      </w:tr>
      <w:tr>
        <w:tc>
          <w:tcPr>
            <w:tcW w:type="dxa" w:w="5143"/>
            <w:shd w:fill="F2F6F8" w:color="auto" w:val="clear"/>
            <w:tcMar>
              <w:top w:type="dxa" w:w="70"/>
              <w:left w:type="dxa" w:w="100"/>
              <w:bottom w:type="dxa" w:w="70"/>
              <w:right w:type="dxa" w:w="100"/>
            </w:tcMar>
            <w:vAlign w:val="center"/>
          </w:tcPr>
          <w:p>
            <w:r>
              <w:rPr>
                <w:sz w:val="20"/>
                <w:szCs w:val="20"/>
              </w:rPr>
              <w:t xml:space="preserve">5-Fold Cross-Validation R²</w:t>
            </w:r>
          </w:p>
        </w:tc>
        <w:tc>
          <w:tcPr>
            <w:tcW w:type="dxa" w:w="4208"/>
            <w:shd w:fill="F2F6F8" w:color="auto" w:val="clear"/>
            <w:tcMar>
              <w:top w:type="dxa" w:w="70"/>
              <w:left w:type="dxa" w:w="100"/>
              <w:bottom w:type="dxa" w:w="70"/>
              <w:right w:type="dxa" w:w="100"/>
            </w:tcMar>
            <w:vAlign w:val="center"/>
          </w:tcPr>
          <w:p>
            <w:r>
              <w:rPr>
                <w:sz w:val="20"/>
                <w:szCs w:val="20"/>
              </w:rPr>
              <w:t xml:space="preserve">0.9039 ± 0.0139</w:t>
            </w:r>
          </w:p>
        </w:tc>
      </w:tr>
      <w:tr>
        <w:tc>
          <w:tcPr>
            <w:tcW w:type="dxa" w:w="5143"/>
            <w:tcMar>
              <w:top w:type="dxa" w:w="70"/>
              <w:left w:type="dxa" w:w="100"/>
              <w:bottom w:type="dxa" w:w="70"/>
              <w:right w:type="dxa" w:w="100"/>
            </w:tcMar>
            <w:vAlign w:val="center"/>
          </w:tcPr>
          <w:p>
            <w:r>
              <w:rPr>
                <w:sz w:val="20"/>
                <w:szCs w:val="20"/>
              </w:rPr>
              <w:t xml:space="preserve">Mean Absolute Error (MAE)</w:t>
            </w:r>
          </w:p>
        </w:tc>
        <w:tc>
          <w:tcPr>
            <w:tcW w:type="dxa" w:w="4208"/>
            <w:tcMar>
              <w:top w:type="dxa" w:w="70"/>
              <w:left w:type="dxa" w:w="100"/>
              <w:bottom w:type="dxa" w:w="70"/>
              <w:right w:type="dxa" w:w="100"/>
            </w:tcMar>
            <w:vAlign w:val="center"/>
          </w:tcPr>
          <w:p>
            <w:r>
              <w:rPr>
                <w:sz w:val="20"/>
                <w:szCs w:val="20"/>
              </w:rPr>
              <w:t xml:space="preserve">$14,563.90</w:t>
            </w:r>
          </w:p>
        </w:tc>
      </w:tr>
      <w:tr>
        <w:tc>
          <w:tcPr>
            <w:tcW w:type="dxa" w:w="5143"/>
            <w:shd w:fill="F2F6F8" w:color="auto" w:val="clear"/>
            <w:tcMar>
              <w:top w:type="dxa" w:w="70"/>
              <w:left w:type="dxa" w:w="100"/>
              <w:bottom w:type="dxa" w:w="70"/>
              <w:right w:type="dxa" w:w="100"/>
            </w:tcMar>
            <w:vAlign w:val="center"/>
          </w:tcPr>
          <w:p>
            <w:r>
              <w:rPr>
                <w:sz w:val="20"/>
                <w:szCs w:val="20"/>
              </w:rPr>
              <w:t xml:space="preserve">Root Mean Squared Error (RMSE)</w:t>
            </w:r>
          </w:p>
        </w:tc>
        <w:tc>
          <w:tcPr>
            <w:tcW w:type="dxa" w:w="4208"/>
            <w:shd w:fill="F2F6F8" w:color="auto" w:val="clear"/>
            <w:tcMar>
              <w:top w:type="dxa" w:w="70"/>
              <w:left w:type="dxa" w:w="100"/>
              <w:bottom w:type="dxa" w:w="70"/>
              <w:right w:type="dxa" w:w="100"/>
            </w:tcMar>
            <w:vAlign w:val="center"/>
          </w:tcPr>
          <w:p>
            <w:r>
              <w:rPr>
                <w:sz w:val="20"/>
                <w:szCs w:val="20"/>
              </w:rPr>
              <w:t xml:space="preserve">$21,453.34</w:t>
            </w:r>
          </w:p>
        </w:tc>
      </w:tr>
      <w:tr>
        <w:tc>
          <w:tcPr>
            <w:tcW w:type="dxa" w:w="5143"/>
            <w:tcMar>
              <w:top w:type="dxa" w:w="70"/>
              <w:left w:type="dxa" w:w="100"/>
              <w:bottom w:type="dxa" w:w="70"/>
              <w:right w:type="dxa" w:w="100"/>
            </w:tcMar>
            <w:vAlign w:val="center"/>
          </w:tcPr>
          <w:p>
            <w:r>
              <w:rPr>
                <w:sz w:val="20"/>
                <w:szCs w:val="20"/>
              </w:rPr>
              <w:t xml:space="preserve">R² Improvement over Baseline</w:t>
            </w:r>
          </w:p>
        </w:tc>
        <w:tc>
          <w:tcPr>
            <w:tcW w:type="dxa" w:w="4208"/>
            <w:tcMar>
              <w:top w:type="dxa" w:w="70"/>
              <w:left w:type="dxa" w:w="100"/>
              <w:bottom w:type="dxa" w:w="70"/>
              <w:right w:type="dxa" w:w="100"/>
            </w:tcMar>
            <w:vAlign w:val="center"/>
          </w:tcPr>
          <w:p>
            <w:r>
              <w:rPr>
                <w:sz w:val="20"/>
                <w:szCs w:val="20"/>
              </w:rPr>
              <w:t xml:space="preserve">+94.38%</w:t>
            </w:r>
          </w:p>
        </w:tc>
      </w:tr>
      <w:tr>
        <w:tc>
          <w:tcPr>
            <w:tcW w:type="dxa" w:w="5143"/>
            <w:shd w:fill="F2F6F8" w:color="auto" w:val="clear"/>
            <w:tcMar>
              <w:top w:type="dxa" w:w="70"/>
              <w:left w:type="dxa" w:w="100"/>
              <w:bottom w:type="dxa" w:w="70"/>
              <w:right w:type="dxa" w:w="100"/>
            </w:tcMar>
            <w:vAlign w:val="center"/>
          </w:tcPr>
          <w:p>
            <w:r>
              <w:rPr>
                <w:sz w:val="20"/>
                <w:szCs w:val="20"/>
              </w:rPr>
              <w:t xml:space="preserve">RMSE Reduction over Baseline</w:t>
            </w:r>
          </w:p>
        </w:tc>
        <w:tc>
          <w:tcPr>
            <w:tcW w:type="dxa" w:w="4208"/>
            <w:shd w:fill="F2F6F8" w:color="auto" w:val="clear"/>
            <w:tcMar>
              <w:top w:type="dxa" w:w="70"/>
              <w:left w:type="dxa" w:w="100"/>
              <w:bottom w:type="dxa" w:w="70"/>
              <w:right w:type="dxa" w:w="100"/>
            </w:tcMar>
            <w:vAlign w:val="center"/>
          </w:tcPr>
          <w:p>
            <w:r>
              <w:rPr>
                <w:sz w:val="20"/>
                <w:szCs w:val="20"/>
              </w:rPr>
              <w:t xml:space="preserve">−76.11%</w:t>
            </w:r>
          </w:p>
        </w:tc>
      </w:tr>
      <w:tr>
        <w:tc>
          <w:tcPr>
            <w:tcW w:type="dxa" w:w="5143"/>
            <w:tcMar>
              <w:top w:type="dxa" w:w="70"/>
              <w:left w:type="dxa" w:w="100"/>
              <w:bottom w:type="dxa" w:w="70"/>
              <w:right w:type="dxa" w:w="100"/>
            </w:tcMar>
            <w:vAlign w:val="center"/>
          </w:tcPr>
          <w:p>
            <w:r>
              <w:rPr>
                <w:sz w:val="20"/>
                <w:szCs w:val="20"/>
              </w:rPr>
              <w:t xml:space="preserve">Most Important Features</w:t>
            </w:r>
          </w:p>
        </w:tc>
        <w:tc>
          <w:tcPr>
            <w:tcW w:type="dxa" w:w="4208"/>
            <w:tcMar>
              <w:top w:type="dxa" w:w="70"/>
              <w:left w:type="dxa" w:w="100"/>
              <w:bottom w:type="dxa" w:w="70"/>
              <w:right w:type="dxa" w:w="100"/>
            </w:tcMar>
            <w:vAlign w:val="center"/>
          </w:tcPr>
          <w:p>
            <w:r>
              <w:rPr>
                <w:sz w:val="20"/>
                <w:szCs w:val="20"/>
              </w:rPr>
              <w:t xml:space="preserve">Overall Qual (41.1%), Total SF (36.1%)</w:t>
            </w:r>
          </w:p>
        </w:tc>
      </w:tr>
    </w:tbl>
    <w:p>
      <w:pPr>
        <w:spacing w:after="160"/>
      </w:pPr>
    </w:p>
    <w:p>
      <w:pPr>
        <w:spacing w:after="160" w:line="300"/>
      </w:pPr>
      <w:r>
        <w:t xml:space="preserve">In summary, the overall quality of a house and its total square footage are the dominant drivers of sale price, together accounting for roughly 77% of the model's decision-making. The model is most accurate for low- and mid-priced homes, and shows relatively higher error in the luxury segment (&gt;$400K).</w:t>
      </w:r>
    </w:p>
    <w:p>
      <w:r>
        <w:br w:type="page"/>
      </w:r>
    </w:p>
    <w:p>
      <w:pPr>
        <w:pStyle w:val="Heading1"/>
        <w:spacing w:after="180" w:before="360"/>
      </w:pPr>
      <w:r>
        <w:rPr>
          <w:b/>
          <w:bCs/>
        </w:rPr>
        <w:t xml:space="preserve">02. Dataset Overview</w:t>
      </w:r>
    </w:p>
    <w:p>
      <w:pPr>
        <w:pBdr>
          <w:bottom w:val="single" w:color="AAAAAA" w:sz="6" w:space="1"/>
        </w:pBdr>
        <w:spacing w:after="200"/>
      </w:pPr>
    </w:p>
    <w:p>
      <w:pPr>
        <w:spacing w:after="160" w:line="300"/>
      </w:pPr>
      <w:r>
        <w:t xml:space="preserve">This project uses the well-known Ames Housing Dataset, which contains residential property sale records from Ames, Iowa.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143"/>
            <w:shd w:fill="1F4E5F" w:color="auto" w:val="clear"/>
            <w:tcMar>
              <w:top w:type="dxa" w:w="80"/>
              <w:left w:type="dxa" w:w="100"/>
              <w:bottom w:type="dxa" w:w="80"/>
              <w:right w:type="dxa" w:w="100"/>
            </w:tcMar>
            <w:vAlign w:val="center"/>
          </w:tcPr>
          <w:p>
            <w:r>
              <w:rPr>
                <w:b/>
                <w:bCs/>
                <w:color w:val="FFFFFF"/>
                <w:sz w:val="20"/>
                <w:szCs w:val="20"/>
              </w:rPr>
              <w:t xml:space="preserve">Attribute</w:t>
            </w:r>
          </w:p>
        </w:tc>
        <w:tc>
          <w:tcPr>
            <w:tcW w:type="dxa" w:w="4208"/>
            <w:shd w:fill="1F4E5F" w:color="auto" w:val="clear"/>
            <w:tcMar>
              <w:top w:type="dxa" w:w="80"/>
              <w:left w:type="dxa" w:w="100"/>
              <w:bottom w:type="dxa" w:w="80"/>
              <w:right w:type="dxa" w:w="100"/>
            </w:tcMar>
            <w:vAlign w:val="center"/>
          </w:tcPr>
          <w:p>
            <w:r>
              <w:rPr>
                <w:b/>
                <w:bCs/>
                <w:color w:val="FFFFFF"/>
                <w:sz w:val="20"/>
                <w:szCs w:val="20"/>
              </w:rPr>
              <w:t xml:space="preserve">Value</w:t>
            </w:r>
          </w:p>
        </w:tc>
      </w:tr>
      <w:tr>
        <w:tc>
          <w:tcPr>
            <w:tcW w:type="dxa" w:w="5143"/>
            <w:shd w:fill="F2F6F8" w:color="auto" w:val="clear"/>
            <w:tcMar>
              <w:top w:type="dxa" w:w="70"/>
              <w:left w:type="dxa" w:w="100"/>
              <w:bottom w:type="dxa" w:w="70"/>
              <w:right w:type="dxa" w:w="100"/>
            </w:tcMar>
            <w:vAlign w:val="center"/>
          </w:tcPr>
          <w:p>
            <w:r>
              <w:rPr>
                <w:sz w:val="20"/>
                <w:szCs w:val="20"/>
              </w:rPr>
              <w:t xml:space="preserve">Total Records (Rows)</w:t>
            </w:r>
          </w:p>
        </w:tc>
        <w:tc>
          <w:tcPr>
            <w:tcW w:type="dxa" w:w="4208"/>
            <w:shd w:fill="F2F6F8" w:color="auto" w:val="clear"/>
            <w:tcMar>
              <w:top w:type="dxa" w:w="70"/>
              <w:left w:type="dxa" w:w="100"/>
              <w:bottom w:type="dxa" w:w="70"/>
              <w:right w:type="dxa" w:w="100"/>
            </w:tcMar>
            <w:vAlign w:val="center"/>
          </w:tcPr>
          <w:p>
            <w:r>
              <w:rPr>
                <w:sz w:val="20"/>
                <w:szCs w:val="20"/>
              </w:rPr>
              <w:t xml:space="preserve">2,930</w:t>
            </w:r>
          </w:p>
        </w:tc>
      </w:tr>
      <w:tr>
        <w:tc>
          <w:tcPr>
            <w:tcW w:type="dxa" w:w="5143"/>
            <w:tcMar>
              <w:top w:type="dxa" w:w="70"/>
              <w:left w:type="dxa" w:w="100"/>
              <w:bottom w:type="dxa" w:w="70"/>
              <w:right w:type="dxa" w:w="100"/>
            </w:tcMar>
            <w:vAlign w:val="center"/>
          </w:tcPr>
          <w:p>
            <w:r>
              <w:rPr>
                <w:sz w:val="20"/>
                <w:szCs w:val="20"/>
              </w:rPr>
              <w:t xml:space="preserve">Total Columns</w:t>
            </w:r>
          </w:p>
        </w:tc>
        <w:tc>
          <w:tcPr>
            <w:tcW w:type="dxa" w:w="4208"/>
            <w:tcMar>
              <w:top w:type="dxa" w:w="70"/>
              <w:left w:type="dxa" w:w="100"/>
              <w:bottom w:type="dxa" w:w="70"/>
              <w:right w:type="dxa" w:w="100"/>
            </w:tcMar>
            <w:vAlign w:val="center"/>
          </w:tcPr>
          <w:p>
            <w:r>
              <w:rPr>
                <w:sz w:val="20"/>
                <w:szCs w:val="20"/>
              </w:rPr>
              <w:t xml:space="preserve">82</w:t>
            </w:r>
          </w:p>
        </w:tc>
      </w:tr>
      <w:tr>
        <w:tc>
          <w:tcPr>
            <w:tcW w:type="dxa" w:w="5143"/>
            <w:shd w:fill="F2F6F8" w:color="auto" w:val="clear"/>
            <w:tcMar>
              <w:top w:type="dxa" w:w="70"/>
              <w:left w:type="dxa" w:w="100"/>
              <w:bottom w:type="dxa" w:w="70"/>
              <w:right w:type="dxa" w:w="100"/>
            </w:tcMar>
            <w:vAlign w:val="center"/>
          </w:tcPr>
          <w:p>
            <w:r>
              <w:rPr>
                <w:sz w:val="20"/>
                <w:szCs w:val="20"/>
              </w:rPr>
              <w:t xml:space="preserve">Numerical Features</w:t>
            </w:r>
          </w:p>
        </w:tc>
        <w:tc>
          <w:tcPr>
            <w:tcW w:type="dxa" w:w="4208"/>
            <w:shd w:fill="F2F6F8" w:color="auto" w:val="clear"/>
            <w:tcMar>
              <w:top w:type="dxa" w:w="70"/>
              <w:left w:type="dxa" w:w="100"/>
              <w:bottom w:type="dxa" w:w="70"/>
              <w:right w:type="dxa" w:w="100"/>
            </w:tcMar>
            <w:vAlign w:val="center"/>
          </w:tcPr>
          <w:p>
            <w:r>
              <w:rPr>
                <w:sz w:val="20"/>
                <w:szCs w:val="20"/>
              </w:rPr>
              <w:t xml:space="preserve">≈ 38</w:t>
            </w:r>
          </w:p>
        </w:tc>
      </w:tr>
      <w:tr>
        <w:tc>
          <w:tcPr>
            <w:tcW w:type="dxa" w:w="5143"/>
            <w:tcMar>
              <w:top w:type="dxa" w:w="70"/>
              <w:left w:type="dxa" w:w="100"/>
              <w:bottom w:type="dxa" w:w="70"/>
              <w:right w:type="dxa" w:w="100"/>
            </w:tcMar>
            <w:vAlign w:val="center"/>
          </w:tcPr>
          <w:p>
            <w:r>
              <w:rPr>
                <w:sz w:val="20"/>
                <w:szCs w:val="20"/>
              </w:rPr>
              <w:t xml:space="preserve">Categorical Features</w:t>
            </w:r>
          </w:p>
        </w:tc>
        <w:tc>
          <w:tcPr>
            <w:tcW w:type="dxa" w:w="4208"/>
            <w:tcMar>
              <w:top w:type="dxa" w:w="70"/>
              <w:left w:type="dxa" w:w="100"/>
              <w:bottom w:type="dxa" w:w="70"/>
              <w:right w:type="dxa" w:w="100"/>
            </w:tcMar>
            <w:vAlign w:val="center"/>
          </w:tcPr>
          <w:p>
            <w:r>
              <w:rPr>
                <w:sz w:val="20"/>
                <w:szCs w:val="20"/>
              </w:rPr>
              <w:t xml:space="preserve">≈ 44</w:t>
            </w:r>
          </w:p>
        </w:tc>
      </w:tr>
      <w:tr>
        <w:tc>
          <w:tcPr>
            <w:tcW w:type="dxa" w:w="5143"/>
            <w:shd w:fill="F2F6F8" w:color="auto" w:val="clear"/>
            <w:tcMar>
              <w:top w:type="dxa" w:w="70"/>
              <w:left w:type="dxa" w:w="100"/>
              <w:bottom w:type="dxa" w:w="70"/>
              <w:right w:type="dxa" w:w="100"/>
            </w:tcMar>
            <w:vAlign w:val="center"/>
          </w:tcPr>
          <w:p>
            <w:r>
              <w:rPr>
                <w:sz w:val="20"/>
                <w:szCs w:val="20"/>
              </w:rPr>
              <w:t xml:space="preserve">Target Variable</w:t>
            </w:r>
          </w:p>
        </w:tc>
        <w:tc>
          <w:tcPr>
            <w:tcW w:type="dxa" w:w="4208"/>
            <w:shd w:fill="F2F6F8" w:color="auto" w:val="clear"/>
            <w:tcMar>
              <w:top w:type="dxa" w:w="70"/>
              <w:left w:type="dxa" w:w="100"/>
              <w:bottom w:type="dxa" w:w="70"/>
              <w:right w:type="dxa" w:w="100"/>
            </w:tcMar>
            <w:vAlign w:val="center"/>
          </w:tcPr>
          <w:p>
            <w:r>
              <w:rPr>
                <w:sz w:val="20"/>
                <w:szCs w:val="20"/>
              </w:rPr>
              <w:t xml:space="preserve">SalePrice (house sale price, USD)</w:t>
            </w:r>
          </w:p>
        </w:tc>
      </w:tr>
    </w:tbl>
    <w:p>
      <w:pPr>
        <w:spacing w:after="160"/>
      </w:pPr>
    </w:p>
    <w:p>
      <w:pPr>
        <w:pStyle w:val="Heading3"/>
        <w:spacing w:after="100" w:before="200"/>
      </w:pPr>
      <w:r>
        <w:rPr>
          <w:b/>
          <w:bCs/>
        </w:rPr>
        <w:t xml:space="preserve">SalePrice (Target Variable) Statistics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143"/>
            <w:shd w:fill="1F4E5F" w:color="auto" w:val="clear"/>
            <w:tcMar>
              <w:top w:type="dxa" w:w="80"/>
              <w:left w:type="dxa" w:w="100"/>
              <w:bottom w:type="dxa" w:w="80"/>
              <w:right w:type="dxa" w:w="100"/>
            </w:tcMar>
            <w:vAlign w:val="center"/>
          </w:tcPr>
          <w:p>
            <w:r>
              <w:rPr>
                <w:b/>
                <w:bCs/>
                <w:color w:val="FFFFFF"/>
                <w:sz w:val="20"/>
                <w:szCs w:val="20"/>
              </w:rPr>
              <w:t xml:space="preserve">Statistic</w:t>
            </w:r>
          </w:p>
        </w:tc>
        <w:tc>
          <w:tcPr>
            <w:tcW w:type="dxa" w:w="4208"/>
            <w:shd w:fill="1F4E5F" w:color="auto" w:val="clear"/>
            <w:tcMar>
              <w:top w:type="dxa" w:w="80"/>
              <w:left w:type="dxa" w:w="100"/>
              <w:bottom w:type="dxa" w:w="80"/>
              <w:right w:type="dxa" w:w="100"/>
            </w:tcMar>
            <w:vAlign w:val="center"/>
          </w:tcPr>
          <w:p>
            <w:r>
              <w:rPr>
                <w:b/>
                <w:bCs/>
                <w:color w:val="FFFFFF"/>
                <w:sz w:val="20"/>
                <w:szCs w:val="20"/>
              </w:rPr>
              <w:t xml:space="preserve">Value (USD)</w:t>
            </w:r>
          </w:p>
        </w:tc>
      </w:tr>
      <w:tr>
        <w:tc>
          <w:tcPr>
            <w:tcW w:type="dxa" w:w="5143"/>
            <w:shd w:fill="F2F6F8" w:color="auto" w:val="clear"/>
            <w:tcMar>
              <w:top w:type="dxa" w:w="70"/>
              <w:left w:type="dxa" w:w="100"/>
              <w:bottom w:type="dxa" w:w="70"/>
              <w:right w:type="dxa" w:w="100"/>
            </w:tcMar>
            <w:vAlign w:val="center"/>
          </w:tcPr>
          <w:p>
            <w:r>
              <w:rPr>
                <w:sz w:val="20"/>
                <w:szCs w:val="20"/>
              </w:rPr>
              <w:t xml:space="preserve">Mean</w:t>
            </w:r>
          </w:p>
        </w:tc>
        <w:tc>
          <w:tcPr>
            <w:tcW w:type="dxa" w:w="4208"/>
            <w:shd w:fill="F2F6F8" w:color="auto" w:val="clear"/>
            <w:tcMar>
              <w:top w:type="dxa" w:w="70"/>
              <w:left w:type="dxa" w:w="100"/>
              <w:bottom w:type="dxa" w:w="70"/>
              <w:right w:type="dxa" w:w="100"/>
            </w:tcMar>
            <w:vAlign w:val="center"/>
          </w:tcPr>
          <w:p>
            <w:r>
              <w:rPr>
                <w:sz w:val="20"/>
                <w:szCs w:val="20"/>
              </w:rPr>
              <w:t xml:space="preserve">≈ $180,921</w:t>
            </w:r>
          </w:p>
        </w:tc>
      </w:tr>
      <w:tr>
        <w:tc>
          <w:tcPr>
            <w:tcW w:type="dxa" w:w="5143"/>
            <w:tcMar>
              <w:top w:type="dxa" w:w="70"/>
              <w:left w:type="dxa" w:w="100"/>
              <w:bottom w:type="dxa" w:w="70"/>
              <w:right w:type="dxa" w:w="100"/>
            </w:tcMar>
            <w:vAlign w:val="center"/>
          </w:tcPr>
          <w:p>
            <w:r>
              <w:rPr>
                <w:sz w:val="20"/>
                <w:szCs w:val="20"/>
              </w:rPr>
              <w:t xml:space="preserve">Median</w:t>
            </w:r>
          </w:p>
        </w:tc>
        <w:tc>
          <w:tcPr>
            <w:tcW w:type="dxa" w:w="4208"/>
            <w:tcMar>
              <w:top w:type="dxa" w:w="70"/>
              <w:left w:type="dxa" w:w="100"/>
              <w:bottom w:type="dxa" w:w="70"/>
              <w:right w:type="dxa" w:w="100"/>
            </w:tcMar>
            <w:vAlign w:val="center"/>
          </w:tcPr>
          <w:p>
            <w:r>
              <w:rPr>
                <w:sz w:val="20"/>
                <w:szCs w:val="20"/>
              </w:rPr>
              <w:t xml:space="preserve">≈ $163,000</w:t>
            </w:r>
          </w:p>
        </w:tc>
      </w:tr>
      <w:tr>
        <w:tc>
          <w:tcPr>
            <w:tcW w:type="dxa" w:w="5143"/>
            <w:shd w:fill="F2F6F8" w:color="auto" w:val="clear"/>
            <w:tcMar>
              <w:top w:type="dxa" w:w="70"/>
              <w:left w:type="dxa" w:w="100"/>
              <w:bottom w:type="dxa" w:w="70"/>
              <w:right w:type="dxa" w:w="100"/>
            </w:tcMar>
            <w:vAlign w:val="center"/>
          </w:tcPr>
          <w:p>
            <w:r>
              <w:rPr>
                <w:sz w:val="20"/>
                <w:szCs w:val="20"/>
              </w:rPr>
              <w:t xml:space="preserve">Standard Deviation</w:t>
            </w:r>
          </w:p>
        </w:tc>
        <w:tc>
          <w:tcPr>
            <w:tcW w:type="dxa" w:w="4208"/>
            <w:shd w:fill="F2F6F8" w:color="auto" w:val="clear"/>
            <w:tcMar>
              <w:top w:type="dxa" w:w="70"/>
              <w:left w:type="dxa" w:w="100"/>
              <w:bottom w:type="dxa" w:w="70"/>
              <w:right w:type="dxa" w:w="100"/>
            </w:tcMar>
            <w:vAlign w:val="center"/>
          </w:tcPr>
          <w:p>
            <w:r>
              <w:rPr>
                <w:sz w:val="20"/>
                <w:szCs w:val="20"/>
              </w:rPr>
              <w:t xml:space="preserve">≈ $79,887</w:t>
            </w:r>
          </w:p>
        </w:tc>
      </w:tr>
      <w:tr>
        <w:tc>
          <w:tcPr>
            <w:tcW w:type="dxa" w:w="5143"/>
            <w:tcMar>
              <w:top w:type="dxa" w:w="70"/>
              <w:left w:type="dxa" w:w="100"/>
              <w:bottom w:type="dxa" w:w="70"/>
              <w:right w:type="dxa" w:w="100"/>
            </w:tcMar>
            <w:vAlign w:val="center"/>
          </w:tcPr>
          <w:p>
            <w:r>
              <w:rPr>
                <w:sz w:val="20"/>
                <w:szCs w:val="20"/>
              </w:rPr>
              <w:t xml:space="preserve">Minimum</w:t>
            </w:r>
          </w:p>
        </w:tc>
        <w:tc>
          <w:tcPr>
            <w:tcW w:type="dxa" w:w="4208"/>
            <w:tcMar>
              <w:top w:type="dxa" w:w="70"/>
              <w:left w:type="dxa" w:w="100"/>
              <w:bottom w:type="dxa" w:w="70"/>
              <w:right w:type="dxa" w:w="100"/>
            </w:tcMar>
            <w:vAlign w:val="center"/>
          </w:tcPr>
          <w:p>
            <w:r>
              <w:rPr>
                <w:sz w:val="20"/>
                <w:szCs w:val="20"/>
              </w:rPr>
              <w:t xml:space="preserve">≈ $12,789</w:t>
            </w:r>
          </w:p>
        </w:tc>
      </w:tr>
      <w:tr>
        <w:tc>
          <w:tcPr>
            <w:tcW w:type="dxa" w:w="5143"/>
            <w:shd w:fill="F2F6F8" w:color="auto" w:val="clear"/>
            <w:tcMar>
              <w:top w:type="dxa" w:w="70"/>
              <w:left w:type="dxa" w:w="100"/>
              <w:bottom w:type="dxa" w:w="70"/>
              <w:right w:type="dxa" w:w="100"/>
            </w:tcMar>
            <w:vAlign w:val="center"/>
          </w:tcPr>
          <w:p>
            <w:r>
              <w:rPr>
                <w:sz w:val="20"/>
                <w:szCs w:val="20"/>
              </w:rPr>
              <w:t xml:space="preserve">Skewness</w:t>
            </w:r>
          </w:p>
        </w:tc>
        <w:tc>
          <w:tcPr>
            <w:tcW w:type="dxa" w:w="4208"/>
            <w:shd w:fill="F2F6F8" w:color="auto" w:val="clear"/>
            <w:tcMar>
              <w:top w:type="dxa" w:w="70"/>
              <w:left w:type="dxa" w:w="100"/>
              <w:bottom w:type="dxa" w:w="70"/>
              <w:right w:type="dxa" w:w="100"/>
            </w:tcMar>
            <w:vAlign w:val="center"/>
          </w:tcPr>
          <w:p>
            <w:r>
              <w:rPr>
                <w:sz w:val="20"/>
                <w:szCs w:val="20"/>
              </w:rPr>
              <w:t xml:space="preserve">1.74 (right-skewed)</w:t>
            </w:r>
          </w:p>
        </w:tc>
      </w:tr>
      <w:tr>
        <w:tc>
          <w:tcPr>
            <w:tcW w:type="dxa" w:w="5143"/>
            <w:tcMar>
              <w:top w:type="dxa" w:w="70"/>
              <w:left w:type="dxa" w:w="100"/>
              <w:bottom w:type="dxa" w:w="70"/>
              <w:right w:type="dxa" w:w="100"/>
            </w:tcMar>
            <w:vAlign w:val="center"/>
          </w:tcPr>
          <w:p>
            <w:r>
              <w:rPr>
                <w:sz w:val="20"/>
                <w:szCs w:val="20"/>
              </w:rPr>
              <w:t xml:space="preserve">Kurtosis</w:t>
            </w:r>
          </w:p>
        </w:tc>
        <w:tc>
          <w:tcPr>
            <w:tcW w:type="dxa" w:w="4208"/>
            <w:tcMar>
              <w:top w:type="dxa" w:w="70"/>
              <w:left w:type="dxa" w:w="100"/>
              <w:bottom w:type="dxa" w:w="70"/>
              <w:right w:type="dxa" w:w="100"/>
            </w:tcMar>
            <w:vAlign w:val="center"/>
          </w:tcPr>
          <w:p>
            <w:r>
              <w:rPr>
                <w:sz w:val="20"/>
                <w:szCs w:val="20"/>
              </w:rPr>
              <w:t xml:space="preserve">5.12</w:t>
            </w:r>
          </w:p>
        </w:tc>
      </w:tr>
    </w:tbl>
    <w:p>
      <w:pPr>
        <w:spacing w:after="160"/>
      </w:pPr>
    </w:p>
    <w:p>
      <w:pPr>
        <w:spacing w:after="160" w:line="300"/>
      </w:pPr>
      <w:r>
        <w:t xml:space="preserve">A skewness of 1.74 indicates that most house prices are concentrated in a relatively lower range, while a number of expensive luxury homes create a long right tail — a typical pattern for real-estate price distributions.</w:t>
      </w:r>
    </w:p>
    <w:p>
      <w:r>
        <w:br w:type="page"/>
      </w:r>
    </w:p>
    <w:p>
      <w:pPr>
        <w:pStyle w:val="Heading1"/>
        <w:spacing w:after="180" w:before="360"/>
      </w:pPr>
      <w:r>
        <w:rPr>
          <w:b/>
          <w:bCs/>
        </w:rPr>
        <w:t xml:space="preserve">03. Exploratory Data Analysis (EDA)</w:t>
      </w:r>
    </w:p>
    <w:p>
      <w:pPr>
        <w:pBdr>
          <w:bottom w:val="single" w:color="AAAAAA" w:sz="6" w:space="1"/>
        </w:pBdr>
        <w:spacing w:after="200"/>
      </w:pPr>
    </w:p>
    <w:p>
      <w:pPr>
        <w:pStyle w:val="Heading2"/>
        <w:spacing w:after="140" w:before="260"/>
      </w:pPr>
      <w:r>
        <w:rPr>
          <w:b/>
          <w:bCs/>
        </w:rPr>
        <w:t xml:space="preserve">3.1 Distribution of the Target Variable</w:t>
      </w:r>
    </w:p>
    <w:p>
      <w:pPr>
        <w:spacing w:after="40" w:before="120"/>
        <w:jc w:val="center"/>
      </w:pPr>
      <w:r>
        <w:drawing>
          <wp:inline distT="0" distB="0" distL="0" distR="0">
            <wp:extent cx="5762625"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428750"/>
                    </a:xfrm>
                    <a:prstGeom prst="rect">
                      <a:avLst/>
                    </a:prstGeom>
                  </pic:spPr>
                </pic:pic>
              </a:graphicData>
            </a:graphic>
          </wp:inline>
        </w:drawing>
      </w:r>
    </w:p>
    <w:p>
      <w:pPr>
        <w:spacing w:after="260" w:before="60"/>
        <w:jc w:val="center"/>
      </w:pPr>
      <w:r>
        <w:rPr>
          <w:i/>
          <w:iCs/>
          <w:color w:val="555555"/>
          <w:sz w:val="20"/>
          <w:szCs w:val="20"/>
        </w:rPr>
        <w:t xml:space="preserve">Figure 1: Histogram (left) and boxplot (right) of SalePrice</w:t>
      </w:r>
    </w:p>
    <w:p>
      <w:pPr>
        <w:spacing w:after="160" w:line="300"/>
      </w:pPr>
      <w:r>
        <w:t xml:space="preserve">Interpretation: The histogram clearly shows a right-skewed distribution — most homes are priced between $100K and $250K. The boxplot reveals a number of outlier points on the upper end (high-priced homes) above $400K. This skewness needs to be accounted for during modeling (e.g. via log-transformation).</w:t>
      </w:r>
    </w:p>
    <w:p>
      <w:pPr>
        <w:pStyle w:val="Heading2"/>
        <w:spacing w:after="140" w:before="260"/>
      </w:pPr>
      <w:r>
        <w:rPr>
          <w:b/>
          <w:bCs/>
        </w:rPr>
        <w:t xml:space="preserve">3.2 Missing Value Analysis</w:t>
      </w:r>
    </w:p>
    <w:p>
      <w:pPr>
        <w:spacing w:after="40" w:before="120"/>
        <w:jc w:val="center"/>
      </w:pPr>
      <w:r>
        <w:drawing>
          <wp:inline distT="0" distB="0" distL="0" distR="0">
            <wp:extent cx="5762625"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343150"/>
                    </a:xfrm>
                    <a:prstGeom prst="rect">
                      <a:avLst/>
                    </a:prstGeom>
                  </pic:spPr>
                </pic:pic>
              </a:graphicData>
            </a:graphic>
          </wp:inline>
        </w:drawing>
      </w:r>
    </w:p>
    <w:p>
      <w:pPr>
        <w:spacing w:after="260" w:before="60"/>
        <w:jc w:val="center"/>
      </w:pPr>
      <w:r>
        <w:rPr>
          <w:i/>
          <w:iCs/>
          <w:color w:val="555555"/>
          <w:sz w:val="20"/>
          <w:szCs w:val="20"/>
        </w:rPr>
        <w:t xml:space="preserve">Figure 2: Percentage of missing values per feature</w:t>
      </w:r>
    </w:p>
    <w:p>
      <w:pPr>
        <w:spacing w:after="160" w:line="300"/>
      </w:pPr>
      <w:r>
        <w:t xml:space="preserve">Interpretation: Pool QC (99.5%), Misc Feature (96.1%), Alley (93.2%), and Fence (80.1%) have the highest proportion of missing values. Later analysis (see Section 4) confirms that these missing values are not random errors, but instead indicate that the corresponding feature (e.g. a pool or a fence) simply does not exist for that house.</w:t>
      </w:r>
    </w:p>
    <w:p>
      <w:pPr>
        <w:pStyle w:val="Heading2"/>
        <w:spacing w:after="140" w:before="260"/>
      </w:pPr>
      <w:r>
        <w:rPr>
          <w:b/>
          <w:bCs/>
        </w:rPr>
        <w:t xml:space="preserve">3.3 Categorical Feature Analysis</w:t>
      </w:r>
    </w:p>
    <w:p>
      <w:pPr>
        <w:spacing w:after="40" w:before="120"/>
        <w:jc w:val="center"/>
      </w:pPr>
      <w:r>
        <w:drawing>
          <wp:inline distT="0" distB="0" distL="0" distR="0">
            <wp:extent cx="5762625"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581400"/>
                    </a:xfrm>
                    <a:prstGeom prst="rect">
                      <a:avLst/>
                    </a:prstGeom>
                  </pic:spPr>
                </pic:pic>
              </a:graphicData>
            </a:graphic>
          </wp:inline>
        </w:drawing>
      </w:r>
    </w:p>
    <w:p>
      <w:pPr>
        <w:spacing w:after="260" w:before="60"/>
        <w:jc w:val="center"/>
      </w:pPr>
      <w:r>
        <w:rPr>
          <w:i/>
          <w:iCs/>
          <w:color w:val="555555"/>
          <w:sz w:val="20"/>
          <w:szCs w:val="20"/>
        </w:rPr>
        <w:t xml:space="preserve">Figure 3: Frequency of the top 10 categories for Neighborhood, MS Zoning, Bldg Type and House Style</w:t>
      </w:r>
    </w:p>
    <w:p>
      <w:pPr>
        <w:spacing w:after="160" w:line="300"/>
      </w:pPr>
      <w:r>
        <w:t xml:space="preserve">Interpretation: NAmes is the most common Neighborhood (443 houses). RL (Residential Low Density) dominates MS Zoning. Single-family homes (1Fam) dominate Bldg Type, and 1-story and 2-story houses are the most common House Styles.</w:t>
      </w:r>
    </w:p>
    <w:p>
      <w:pPr>
        <w:pStyle w:val="Heading2"/>
        <w:spacing w:after="140" w:before="260"/>
      </w:pPr>
      <w:r>
        <w:rPr>
          <w:b/>
          <w:bCs/>
        </w:rPr>
        <w:t xml:space="preserve">3.4 Correlation Heatmap</w:t>
      </w:r>
    </w:p>
    <w:p>
      <w:pPr>
        <w:spacing w:after="40" w:before="120"/>
        <w:jc w:val="center"/>
      </w:pPr>
      <w:r>
        <w:drawing>
          <wp:inline distT="0" distB="0" distL="0" distR="0">
            <wp:extent cx="51244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4124325"/>
                    </a:xfrm>
                    <a:prstGeom prst="rect">
                      <a:avLst/>
                    </a:prstGeom>
                  </pic:spPr>
                </pic:pic>
              </a:graphicData>
            </a:graphic>
          </wp:inline>
        </w:drawing>
      </w:r>
    </w:p>
    <w:p>
      <w:pPr>
        <w:spacing w:after="260" w:before="60"/>
        <w:jc w:val="center"/>
      </w:pPr>
      <w:r>
        <w:rPr>
          <w:i/>
          <w:iCs/>
          <w:color w:val="555555"/>
          <w:sz w:val="20"/>
          <w:szCs w:val="20"/>
        </w:rPr>
        <w:t xml:space="preserve">Figure 4: Correlation heatmap of numerical features</w:t>
      </w:r>
    </w:p>
    <w:p>
      <w:pPr>
        <w:spacing w:after="160" w:line="300"/>
      </w:pPr>
      <w:r>
        <w:t xml:space="preserve">Interpretation: Garage Cars and Garage Area show a very strong correlation (a sign of multicollinearity), as do Year Built with Garage Yr Blt, and Gr Liv Area with TotRms AbvGrd. In the SalePrice row (bottom), the darkest red cells — indicating the strongest positive correlation — belong to Overall Qual, Gr Liv Area, Garage Cars/Area, and Total Bsmt SF.</w:t>
      </w:r>
    </w:p>
    <w:p>
      <w:pPr>
        <w:spacing w:after="60"/>
      </w:pPr>
    </w:p>
    <w:p>
      <w:pPr>
        <w:pStyle w:val="Heading3"/>
        <w:spacing w:after="100" w:before="200"/>
      </w:pPr>
      <w:r>
        <w:rPr>
          <w:b/>
          <w:bCs/>
        </w:rPr>
        <w:t xml:space="preserve">Top 10 Features Correlated with SalePrice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122"/>
            <w:shd w:fill="1F4E5F" w:color="auto" w:val="clear"/>
            <w:tcMar>
              <w:top w:type="dxa" w:w="80"/>
              <w:left w:type="dxa" w:w="100"/>
              <w:bottom w:type="dxa" w:w="80"/>
              <w:right w:type="dxa" w:w="100"/>
            </w:tcMar>
            <w:vAlign w:val="center"/>
          </w:tcPr>
          <w:p>
            <w:r>
              <w:rPr>
                <w:b/>
                <w:bCs/>
                <w:color w:val="FFFFFF"/>
                <w:sz w:val="20"/>
                <w:szCs w:val="20"/>
              </w:rPr>
              <w:t xml:space="preserve">Rank</w:t>
            </w:r>
          </w:p>
        </w:tc>
        <w:tc>
          <w:tcPr>
            <w:tcW w:type="dxa" w:w="5423"/>
            <w:shd w:fill="1F4E5F" w:color="auto" w:val="clear"/>
            <w:tcMar>
              <w:top w:type="dxa" w:w="80"/>
              <w:left w:type="dxa" w:w="100"/>
              <w:bottom w:type="dxa" w:w="80"/>
              <w:right w:type="dxa" w:w="100"/>
            </w:tcMar>
            <w:vAlign w:val="center"/>
          </w:tcPr>
          <w:p>
            <w:r>
              <w:rPr>
                <w:b/>
                <w:bCs/>
                <w:color w:val="FFFFFF"/>
                <w:sz w:val="20"/>
                <w:szCs w:val="20"/>
              </w:rPr>
              <w:t xml:space="preserve">Feature</w:t>
            </w:r>
          </w:p>
        </w:tc>
        <w:tc>
          <w:tcPr>
            <w:tcW w:type="dxa" w:w="2805"/>
            <w:shd w:fill="1F4E5F" w:color="auto" w:val="clear"/>
            <w:tcMar>
              <w:top w:type="dxa" w:w="80"/>
              <w:left w:type="dxa" w:w="100"/>
              <w:bottom w:type="dxa" w:w="80"/>
              <w:right w:type="dxa" w:w="100"/>
            </w:tcMar>
            <w:vAlign w:val="center"/>
          </w:tcPr>
          <w:p>
            <w:r>
              <w:rPr>
                <w:b/>
                <w:bCs/>
                <w:color w:val="FFFFFF"/>
                <w:sz w:val="20"/>
                <w:szCs w:val="20"/>
              </w:rPr>
              <w:t xml:space="preserve">Correlation (|r|)</w:t>
            </w:r>
          </w:p>
        </w:tc>
      </w:tr>
      <w:tr>
        <w:tc>
          <w:tcPr>
            <w:tcW w:type="dxa" w:w="1122"/>
            <w:shd w:fill="F2F6F8" w:color="auto" w:val="clear"/>
            <w:tcMar>
              <w:top w:type="dxa" w:w="70"/>
              <w:left w:type="dxa" w:w="100"/>
              <w:bottom w:type="dxa" w:w="70"/>
              <w:right w:type="dxa" w:w="100"/>
            </w:tcMar>
            <w:vAlign w:val="center"/>
          </w:tcPr>
          <w:p>
            <w:r>
              <w:rPr>
                <w:sz w:val="20"/>
                <w:szCs w:val="20"/>
              </w:rPr>
              <w:t xml:space="preserve">1</w:t>
            </w:r>
          </w:p>
        </w:tc>
        <w:tc>
          <w:tcPr>
            <w:tcW w:type="dxa" w:w="5423"/>
            <w:shd w:fill="F2F6F8" w:color="auto" w:val="clear"/>
            <w:tcMar>
              <w:top w:type="dxa" w:w="70"/>
              <w:left w:type="dxa" w:w="100"/>
              <w:bottom w:type="dxa" w:w="70"/>
              <w:right w:type="dxa" w:w="100"/>
            </w:tcMar>
            <w:vAlign w:val="center"/>
          </w:tcPr>
          <w:p>
            <w:r>
              <w:rPr>
                <w:sz w:val="20"/>
                <w:szCs w:val="20"/>
              </w:rPr>
              <w:t xml:space="preserve">Overall Qual</w:t>
            </w:r>
          </w:p>
        </w:tc>
        <w:tc>
          <w:tcPr>
            <w:tcW w:type="dxa" w:w="2805"/>
            <w:shd w:fill="F2F6F8" w:color="auto" w:val="clear"/>
            <w:tcMar>
              <w:top w:type="dxa" w:w="70"/>
              <w:left w:type="dxa" w:w="100"/>
              <w:bottom w:type="dxa" w:w="70"/>
              <w:right w:type="dxa" w:w="100"/>
            </w:tcMar>
            <w:vAlign w:val="center"/>
          </w:tcPr>
          <w:p>
            <w:r>
              <w:rPr>
                <w:sz w:val="20"/>
                <w:szCs w:val="20"/>
              </w:rPr>
              <w:t xml:space="preserve">0.799</w:t>
            </w:r>
          </w:p>
        </w:tc>
      </w:tr>
      <w:tr>
        <w:tc>
          <w:tcPr>
            <w:tcW w:type="dxa" w:w="1122"/>
            <w:tcMar>
              <w:top w:type="dxa" w:w="70"/>
              <w:left w:type="dxa" w:w="100"/>
              <w:bottom w:type="dxa" w:w="70"/>
              <w:right w:type="dxa" w:w="100"/>
            </w:tcMar>
            <w:vAlign w:val="center"/>
          </w:tcPr>
          <w:p>
            <w:r>
              <w:rPr>
                <w:sz w:val="20"/>
                <w:szCs w:val="20"/>
              </w:rPr>
              <w:t xml:space="preserve">2</w:t>
            </w:r>
          </w:p>
        </w:tc>
        <w:tc>
          <w:tcPr>
            <w:tcW w:type="dxa" w:w="5423"/>
            <w:tcMar>
              <w:top w:type="dxa" w:w="70"/>
              <w:left w:type="dxa" w:w="100"/>
              <w:bottom w:type="dxa" w:w="70"/>
              <w:right w:type="dxa" w:w="100"/>
            </w:tcMar>
            <w:vAlign w:val="center"/>
          </w:tcPr>
          <w:p>
            <w:r>
              <w:rPr>
                <w:sz w:val="20"/>
                <w:szCs w:val="20"/>
              </w:rPr>
              <w:t xml:space="preserve">Gr Liv Area</w:t>
            </w:r>
          </w:p>
        </w:tc>
        <w:tc>
          <w:tcPr>
            <w:tcW w:type="dxa" w:w="2805"/>
            <w:tcMar>
              <w:top w:type="dxa" w:w="70"/>
              <w:left w:type="dxa" w:w="100"/>
              <w:bottom w:type="dxa" w:w="70"/>
              <w:right w:type="dxa" w:w="100"/>
            </w:tcMar>
            <w:vAlign w:val="center"/>
          </w:tcPr>
          <w:p>
            <w:r>
              <w:rPr>
                <w:sz w:val="20"/>
                <w:szCs w:val="20"/>
              </w:rPr>
              <w:t xml:space="preserve">0.707</w:t>
            </w:r>
          </w:p>
        </w:tc>
      </w:tr>
      <w:tr>
        <w:tc>
          <w:tcPr>
            <w:tcW w:type="dxa" w:w="1122"/>
            <w:shd w:fill="F2F6F8" w:color="auto" w:val="clear"/>
            <w:tcMar>
              <w:top w:type="dxa" w:w="70"/>
              <w:left w:type="dxa" w:w="100"/>
              <w:bottom w:type="dxa" w:w="70"/>
              <w:right w:type="dxa" w:w="100"/>
            </w:tcMar>
            <w:vAlign w:val="center"/>
          </w:tcPr>
          <w:p>
            <w:r>
              <w:rPr>
                <w:sz w:val="20"/>
                <w:szCs w:val="20"/>
              </w:rPr>
              <w:t xml:space="preserve">3</w:t>
            </w:r>
          </w:p>
        </w:tc>
        <w:tc>
          <w:tcPr>
            <w:tcW w:type="dxa" w:w="5423"/>
            <w:shd w:fill="F2F6F8" w:color="auto" w:val="clear"/>
            <w:tcMar>
              <w:top w:type="dxa" w:w="70"/>
              <w:left w:type="dxa" w:w="100"/>
              <w:bottom w:type="dxa" w:w="70"/>
              <w:right w:type="dxa" w:w="100"/>
            </w:tcMar>
            <w:vAlign w:val="center"/>
          </w:tcPr>
          <w:p>
            <w:r>
              <w:rPr>
                <w:sz w:val="20"/>
                <w:szCs w:val="20"/>
              </w:rPr>
              <w:t xml:space="preserve">Garage Cars</w:t>
            </w:r>
          </w:p>
        </w:tc>
        <w:tc>
          <w:tcPr>
            <w:tcW w:type="dxa" w:w="2805"/>
            <w:shd w:fill="F2F6F8" w:color="auto" w:val="clear"/>
            <w:tcMar>
              <w:top w:type="dxa" w:w="70"/>
              <w:left w:type="dxa" w:w="100"/>
              <w:bottom w:type="dxa" w:w="70"/>
              <w:right w:type="dxa" w:w="100"/>
            </w:tcMar>
            <w:vAlign w:val="center"/>
          </w:tcPr>
          <w:p>
            <w:r>
              <w:rPr>
                <w:sz w:val="20"/>
                <w:szCs w:val="20"/>
              </w:rPr>
              <w:t xml:space="preserve">0.648</w:t>
            </w:r>
          </w:p>
        </w:tc>
      </w:tr>
      <w:tr>
        <w:tc>
          <w:tcPr>
            <w:tcW w:type="dxa" w:w="1122"/>
            <w:tcMar>
              <w:top w:type="dxa" w:w="70"/>
              <w:left w:type="dxa" w:w="100"/>
              <w:bottom w:type="dxa" w:w="70"/>
              <w:right w:type="dxa" w:w="100"/>
            </w:tcMar>
            <w:vAlign w:val="center"/>
          </w:tcPr>
          <w:p>
            <w:r>
              <w:rPr>
                <w:sz w:val="20"/>
                <w:szCs w:val="20"/>
              </w:rPr>
              <w:t xml:space="preserve">4</w:t>
            </w:r>
          </w:p>
        </w:tc>
        <w:tc>
          <w:tcPr>
            <w:tcW w:type="dxa" w:w="5423"/>
            <w:tcMar>
              <w:top w:type="dxa" w:w="70"/>
              <w:left w:type="dxa" w:w="100"/>
              <w:bottom w:type="dxa" w:w="70"/>
              <w:right w:type="dxa" w:w="100"/>
            </w:tcMar>
            <w:vAlign w:val="center"/>
          </w:tcPr>
          <w:p>
            <w:r>
              <w:rPr>
                <w:sz w:val="20"/>
                <w:szCs w:val="20"/>
              </w:rPr>
              <w:t xml:space="preserve">Garage Area</w:t>
            </w:r>
          </w:p>
        </w:tc>
        <w:tc>
          <w:tcPr>
            <w:tcW w:type="dxa" w:w="2805"/>
            <w:tcMar>
              <w:top w:type="dxa" w:w="70"/>
              <w:left w:type="dxa" w:w="100"/>
              <w:bottom w:type="dxa" w:w="70"/>
              <w:right w:type="dxa" w:w="100"/>
            </w:tcMar>
            <w:vAlign w:val="center"/>
          </w:tcPr>
          <w:p>
            <w:r>
              <w:rPr>
                <w:sz w:val="20"/>
                <w:szCs w:val="20"/>
              </w:rPr>
              <w:t xml:space="preserve">0.640</w:t>
            </w:r>
          </w:p>
        </w:tc>
      </w:tr>
      <w:tr>
        <w:tc>
          <w:tcPr>
            <w:tcW w:type="dxa" w:w="1122"/>
            <w:shd w:fill="F2F6F8" w:color="auto" w:val="clear"/>
            <w:tcMar>
              <w:top w:type="dxa" w:w="70"/>
              <w:left w:type="dxa" w:w="100"/>
              <w:bottom w:type="dxa" w:w="70"/>
              <w:right w:type="dxa" w:w="100"/>
            </w:tcMar>
            <w:vAlign w:val="center"/>
          </w:tcPr>
          <w:p>
            <w:r>
              <w:rPr>
                <w:sz w:val="20"/>
                <w:szCs w:val="20"/>
              </w:rPr>
              <w:t xml:space="preserve">5</w:t>
            </w:r>
          </w:p>
        </w:tc>
        <w:tc>
          <w:tcPr>
            <w:tcW w:type="dxa" w:w="5423"/>
            <w:shd w:fill="F2F6F8" w:color="auto" w:val="clear"/>
            <w:tcMar>
              <w:top w:type="dxa" w:w="70"/>
              <w:left w:type="dxa" w:w="100"/>
              <w:bottom w:type="dxa" w:w="70"/>
              <w:right w:type="dxa" w:w="100"/>
            </w:tcMar>
            <w:vAlign w:val="center"/>
          </w:tcPr>
          <w:p>
            <w:r>
              <w:rPr>
                <w:sz w:val="20"/>
                <w:szCs w:val="20"/>
              </w:rPr>
              <w:t xml:space="preserve">Total Bsmt SF</w:t>
            </w:r>
          </w:p>
        </w:tc>
        <w:tc>
          <w:tcPr>
            <w:tcW w:type="dxa" w:w="2805"/>
            <w:shd w:fill="F2F6F8" w:color="auto" w:val="clear"/>
            <w:tcMar>
              <w:top w:type="dxa" w:w="70"/>
              <w:left w:type="dxa" w:w="100"/>
              <w:bottom w:type="dxa" w:w="70"/>
              <w:right w:type="dxa" w:w="100"/>
            </w:tcMar>
            <w:vAlign w:val="center"/>
          </w:tcPr>
          <w:p>
            <w:r>
              <w:rPr>
                <w:sz w:val="20"/>
                <w:szCs w:val="20"/>
              </w:rPr>
              <w:t xml:space="preserve">0.632</w:t>
            </w:r>
          </w:p>
        </w:tc>
      </w:tr>
      <w:tr>
        <w:tc>
          <w:tcPr>
            <w:tcW w:type="dxa" w:w="1122"/>
            <w:tcMar>
              <w:top w:type="dxa" w:w="70"/>
              <w:left w:type="dxa" w:w="100"/>
              <w:bottom w:type="dxa" w:w="70"/>
              <w:right w:type="dxa" w:w="100"/>
            </w:tcMar>
            <w:vAlign w:val="center"/>
          </w:tcPr>
          <w:p>
            <w:r>
              <w:rPr>
                <w:sz w:val="20"/>
                <w:szCs w:val="20"/>
              </w:rPr>
              <w:t xml:space="preserve">6</w:t>
            </w:r>
          </w:p>
        </w:tc>
        <w:tc>
          <w:tcPr>
            <w:tcW w:type="dxa" w:w="5423"/>
            <w:tcMar>
              <w:top w:type="dxa" w:w="70"/>
              <w:left w:type="dxa" w:w="100"/>
              <w:bottom w:type="dxa" w:w="70"/>
              <w:right w:type="dxa" w:w="100"/>
            </w:tcMar>
            <w:vAlign w:val="center"/>
          </w:tcPr>
          <w:p>
            <w:r>
              <w:rPr>
                <w:sz w:val="20"/>
                <w:szCs w:val="20"/>
              </w:rPr>
              <w:t xml:space="preserve">1st Flr SF</w:t>
            </w:r>
          </w:p>
        </w:tc>
        <w:tc>
          <w:tcPr>
            <w:tcW w:type="dxa" w:w="2805"/>
            <w:tcMar>
              <w:top w:type="dxa" w:w="70"/>
              <w:left w:type="dxa" w:w="100"/>
              <w:bottom w:type="dxa" w:w="70"/>
              <w:right w:type="dxa" w:w="100"/>
            </w:tcMar>
            <w:vAlign w:val="center"/>
          </w:tcPr>
          <w:p>
            <w:r>
              <w:rPr>
                <w:sz w:val="20"/>
                <w:szCs w:val="20"/>
              </w:rPr>
              <w:t xml:space="preserve">0.622</w:t>
            </w:r>
          </w:p>
        </w:tc>
      </w:tr>
      <w:tr>
        <w:tc>
          <w:tcPr>
            <w:tcW w:type="dxa" w:w="1122"/>
            <w:shd w:fill="F2F6F8" w:color="auto" w:val="clear"/>
            <w:tcMar>
              <w:top w:type="dxa" w:w="70"/>
              <w:left w:type="dxa" w:w="100"/>
              <w:bottom w:type="dxa" w:w="70"/>
              <w:right w:type="dxa" w:w="100"/>
            </w:tcMar>
            <w:vAlign w:val="center"/>
          </w:tcPr>
          <w:p>
            <w:r>
              <w:rPr>
                <w:sz w:val="20"/>
                <w:szCs w:val="20"/>
              </w:rPr>
              <w:t xml:space="preserve">7</w:t>
            </w:r>
          </w:p>
        </w:tc>
        <w:tc>
          <w:tcPr>
            <w:tcW w:type="dxa" w:w="5423"/>
            <w:shd w:fill="F2F6F8" w:color="auto" w:val="clear"/>
            <w:tcMar>
              <w:top w:type="dxa" w:w="70"/>
              <w:left w:type="dxa" w:w="100"/>
              <w:bottom w:type="dxa" w:w="70"/>
              <w:right w:type="dxa" w:w="100"/>
            </w:tcMar>
            <w:vAlign w:val="center"/>
          </w:tcPr>
          <w:p>
            <w:r>
              <w:rPr>
                <w:sz w:val="20"/>
                <w:szCs w:val="20"/>
              </w:rPr>
              <w:t xml:space="preserve">Year Built</w:t>
            </w:r>
          </w:p>
        </w:tc>
        <w:tc>
          <w:tcPr>
            <w:tcW w:type="dxa" w:w="2805"/>
            <w:shd w:fill="F2F6F8" w:color="auto" w:val="clear"/>
            <w:tcMar>
              <w:top w:type="dxa" w:w="70"/>
              <w:left w:type="dxa" w:w="100"/>
              <w:bottom w:type="dxa" w:w="70"/>
              <w:right w:type="dxa" w:w="100"/>
            </w:tcMar>
            <w:vAlign w:val="center"/>
          </w:tcPr>
          <w:p>
            <w:r>
              <w:rPr>
                <w:sz w:val="20"/>
                <w:szCs w:val="20"/>
              </w:rPr>
              <w:t xml:space="preserve">0.558</w:t>
            </w:r>
          </w:p>
        </w:tc>
      </w:tr>
      <w:tr>
        <w:tc>
          <w:tcPr>
            <w:tcW w:type="dxa" w:w="1122"/>
            <w:tcMar>
              <w:top w:type="dxa" w:w="70"/>
              <w:left w:type="dxa" w:w="100"/>
              <w:bottom w:type="dxa" w:w="70"/>
              <w:right w:type="dxa" w:w="100"/>
            </w:tcMar>
            <w:vAlign w:val="center"/>
          </w:tcPr>
          <w:p>
            <w:r>
              <w:rPr>
                <w:sz w:val="20"/>
                <w:szCs w:val="20"/>
              </w:rPr>
              <w:t xml:space="preserve">8</w:t>
            </w:r>
          </w:p>
        </w:tc>
        <w:tc>
          <w:tcPr>
            <w:tcW w:type="dxa" w:w="5423"/>
            <w:tcMar>
              <w:top w:type="dxa" w:w="70"/>
              <w:left w:type="dxa" w:w="100"/>
              <w:bottom w:type="dxa" w:w="70"/>
              <w:right w:type="dxa" w:w="100"/>
            </w:tcMar>
            <w:vAlign w:val="center"/>
          </w:tcPr>
          <w:p>
            <w:r>
              <w:rPr>
                <w:sz w:val="20"/>
                <w:szCs w:val="20"/>
              </w:rPr>
              <w:t xml:space="preserve">Full Bath</w:t>
            </w:r>
          </w:p>
        </w:tc>
        <w:tc>
          <w:tcPr>
            <w:tcW w:type="dxa" w:w="2805"/>
            <w:tcMar>
              <w:top w:type="dxa" w:w="70"/>
              <w:left w:type="dxa" w:w="100"/>
              <w:bottom w:type="dxa" w:w="70"/>
              <w:right w:type="dxa" w:w="100"/>
            </w:tcMar>
            <w:vAlign w:val="center"/>
          </w:tcPr>
          <w:p>
            <w:r>
              <w:rPr>
                <w:sz w:val="20"/>
                <w:szCs w:val="20"/>
              </w:rPr>
              <w:t xml:space="preserve">0.546</w:t>
            </w:r>
          </w:p>
        </w:tc>
      </w:tr>
      <w:tr>
        <w:tc>
          <w:tcPr>
            <w:tcW w:type="dxa" w:w="1122"/>
            <w:shd w:fill="F2F6F8" w:color="auto" w:val="clear"/>
            <w:tcMar>
              <w:top w:type="dxa" w:w="70"/>
              <w:left w:type="dxa" w:w="100"/>
              <w:bottom w:type="dxa" w:w="70"/>
              <w:right w:type="dxa" w:w="100"/>
            </w:tcMar>
            <w:vAlign w:val="center"/>
          </w:tcPr>
          <w:p>
            <w:r>
              <w:rPr>
                <w:sz w:val="20"/>
                <w:szCs w:val="20"/>
              </w:rPr>
              <w:t xml:space="preserve">9</w:t>
            </w:r>
          </w:p>
        </w:tc>
        <w:tc>
          <w:tcPr>
            <w:tcW w:type="dxa" w:w="5423"/>
            <w:shd w:fill="F2F6F8" w:color="auto" w:val="clear"/>
            <w:tcMar>
              <w:top w:type="dxa" w:w="70"/>
              <w:left w:type="dxa" w:w="100"/>
              <w:bottom w:type="dxa" w:w="70"/>
              <w:right w:type="dxa" w:w="100"/>
            </w:tcMar>
            <w:vAlign w:val="center"/>
          </w:tcPr>
          <w:p>
            <w:r>
              <w:rPr>
                <w:sz w:val="20"/>
                <w:szCs w:val="20"/>
              </w:rPr>
              <w:t xml:space="preserve">Year Remod/Add</w:t>
            </w:r>
          </w:p>
        </w:tc>
        <w:tc>
          <w:tcPr>
            <w:tcW w:type="dxa" w:w="2805"/>
            <w:shd w:fill="F2F6F8" w:color="auto" w:val="clear"/>
            <w:tcMar>
              <w:top w:type="dxa" w:w="70"/>
              <w:left w:type="dxa" w:w="100"/>
              <w:bottom w:type="dxa" w:w="70"/>
              <w:right w:type="dxa" w:w="100"/>
            </w:tcMar>
            <w:vAlign w:val="center"/>
          </w:tcPr>
          <w:p>
            <w:r>
              <w:rPr>
                <w:sz w:val="20"/>
                <w:szCs w:val="20"/>
              </w:rPr>
              <w:t xml:space="preserve">0.533</w:t>
            </w:r>
          </w:p>
        </w:tc>
      </w:tr>
      <w:tr>
        <w:tc>
          <w:tcPr>
            <w:tcW w:type="dxa" w:w="1122"/>
            <w:tcMar>
              <w:top w:type="dxa" w:w="70"/>
              <w:left w:type="dxa" w:w="100"/>
              <w:bottom w:type="dxa" w:w="70"/>
              <w:right w:type="dxa" w:w="100"/>
            </w:tcMar>
            <w:vAlign w:val="center"/>
          </w:tcPr>
          <w:p>
            <w:r>
              <w:rPr>
                <w:sz w:val="20"/>
                <w:szCs w:val="20"/>
              </w:rPr>
              <w:t xml:space="preserve">10</w:t>
            </w:r>
          </w:p>
        </w:tc>
        <w:tc>
          <w:tcPr>
            <w:tcW w:type="dxa" w:w="5423"/>
            <w:tcMar>
              <w:top w:type="dxa" w:w="70"/>
              <w:left w:type="dxa" w:w="100"/>
              <w:bottom w:type="dxa" w:w="70"/>
              <w:right w:type="dxa" w:w="100"/>
            </w:tcMar>
            <w:vAlign w:val="center"/>
          </w:tcPr>
          <w:p>
            <w:r>
              <w:rPr>
                <w:sz w:val="20"/>
                <w:szCs w:val="20"/>
              </w:rPr>
              <w:t xml:space="preserve">Garage Yr Blt</w:t>
            </w:r>
          </w:p>
        </w:tc>
        <w:tc>
          <w:tcPr>
            <w:tcW w:type="dxa" w:w="2805"/>
            <w:tcMar>
              <w:top w:type="dxa" w:w="70"/>
              <w:left w:type="dxa" w:w="100"/>
              <w:bottom w:type="dxa" w:w="70"/>
              <w:right w:type="dxa" w:w="100"/>
            </w:tcMar>
            <w:vAlign w:val="center"/>
          </w:tcPr>
          <w:p>
            <w:r>
              <w:rPr>
                <w:sz w:val="20"/>
                <w:szCs w:val="20"/>
              </w:rPr>
              <w:t xml:space="preserve">0.527</w:t>
            </w:r>
          </w:p>
        </w:tc>
      </w:tr>
    </w:tbl>
    <w:p>
      <w:r>
        <w:br w:type="page"/>
      </w:r>
    </w:p>
    <w:p>
      <w:pPr>
        <w:pStyle w:val="Heading2"/>
        <w:spacing w:after="140" w:before="260"/>
      </w:pPr>
      <w:r>
        <w:rPr>
          <w:b/>
          <w:bCs/>
        </w:rPr>
        <w:t xml:space="preserve">3.5 Key Features vs. SalePrice</w:t>
      </w:r>
    </w:p>
    <w:p>
      <w:pPr>
        <w:spacing w:after="40" w:before="120"/>
        <w:jc w:val="center"/>
      </w:pPr>
      <w:r>
        <w:drawing>
          <wp:inline distT="0" distB="0" distL="0" distR="0">
            <wp:extent cx="42100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10050" cy="2628900"/>
                    </a:xfrm>
                    <a:prstGeom prst="rect">
                      <a:avLst/>
                    </a:prstGeom>
                  </pic:spPr>
                </pic:pic>
              </a:graphicData>
            </a:graphic>
          </wp:inline>
        </w:drawing>
      </w:r>
    </w:p>
    <w:p>
      <w:pPr>
        <w:spacing w:after="260" w:before="60"/>
        <w:jc w:val="center"/>
      </w:pPr>
      <w:r>
        <w:rPr>
          <w:i/>
          <w:iCs/>
          <w:color w:val="555555"/>
          <w:sz w:val="20"/>
          <w:szCs w:val="20"/>
        </w:rPr>
        <w:t xml:space="preserve">Figure 5: Overall Quality vs. SalePrice (Boxplot)</w:t>
      </w:r>
    </w:p>
    <w:p>
      <w:pPr>
        <w:spacing w:after="160" w:line="300"/>
      </w:pPr>
      <w:r>
        <w:t xml:space="preserve">Interpretation: As the Overall Quality rating increases, the median SalePrice increases in an almost linear fashion — clear evidence of this feature's strong predictive power.</w:t>
      </w:r>
    </w:p>
    <w:p>
      <w:pPr>
        <w:spacing w:after="40" w:before="120"/>
        <w:jc w:val="center"/>
      </w:pPr>
      <w:r>
        <w:drawing>
          <wp:inline distT="0" distB="0" distL="0" distR="0">
            <wp:extent cx="42100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10050" cy="2628900"/>
                    </a:xfrm>
                    <a:prstGeom prst="rect">
                      <a:avLst/>
                    </a:prstGeom>
                  </pic:spPr>
                </pic:pic>
              </a:graphicData>
            </a:graphic>
          </wp:inline>
        </w:drawing>
      </w:r>
    </w:p>
    <w:p>
      <w:pPr>
        <w:spacing w:after="260" w:before="60"/>
        <w:jc w:val="center"/>
      </w:pPr>
      <w:r>
        <w:rPr>
          <w:i/>
          <w:iCs/>
          <w:color w:val="555555"/>
          <w:sz w:val="20"/>
          <w:szCs w:val="20"/>
        </w:rPr>
        <w:t xml:space="preserve">Figure 6: Gr Liv Area (above-ground living area) vs. SalePrice (Scatter)</w:t>
      </w:r>
    </w:p>
    <w:p>
      <w:pPr>
        <w:spacing w:after="160" w:line="300"/>
      </w:pPr>
      <w:r>
        <w:t xml:space="preserve">Interpretation: A clear positive linear relationship is visible — the larger the living area, the higher the price. A few isolated points on the right (large area, low price) are visible, which are treated as outliers in Section 5.</w:t>
      </w:r>
    </w:p>
    <w:p>
      <w:pPr>
        <w:spacing w:after="40" w:before="120"/>
        <w:jc w:val="center"/>
      </w:pPr>
      <w:r>
        <w:drawing>
          <wp:inline distT="0" distB="0" distL="0" distR="0">
            <wp:extent cx="42100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10050" cy="2628900"/>
                    </a:xfrm>
                    <a:prstGeom prst="rect">
                      <a:avLst/>
                    </a:prstGeom>
                  </pic:spPr>
                </pic:pic>
              </a:graphicData>
            </a:graphic>
          </wp:inline>
        </w:drawing>
      </w:r>
    </w:p>
    <w:p>
      <w:pPr>
        <w:spacing w:after="260" w:before="60"/>
        <w:jc w:val="center"/>
      </w:pPr>
      <w:r>
        <w:rPr>
          <w:i/>
          <w:iCs/>
          <w:color w:val="555555"/>
          <w:sz w:val="20"/>
          <w:szCs w:val="20"/>
        </w:rPr>
        <w:t xml:space="preserve">Figure 7: Year Built vs. SalePrice (Scatter)</w:t>
      </w:r>
    </w:p>
    <w:p>
      <w:pPr>
        <w:spacing w:after="160" w:line="300"/>
      </w:pPr>
      <w:r>
        <w:t xml:space="preserve">Interpretation: Newer homes (more recent Year Built) generally command higher prices, though the relationship is not as strong as for Gr Liv Area or Overall Qual (corr ≈ 0.56).</w:t>
      </w:r>
    </w:p>
    <w:p>
      <w:pPr>
        <w:pStyle w:val="Heading2"/>
        <w:spacing w:after="140" w:before="260"/>
      </w:pPr>
      <w:r>
        <w:rPr>
          <w:b/>
          <w:bCs/>
        </w:rPr>
        <w:t xml:space="preserve">3.6 Neighborhood-Based Price Analysis</w:t>
      </w:r>
    </w:p>
    <w:p>
      <w:pPr>
        <w:spacing w:after="40" w:before="120"/>
        <w:jc w:val="center"/>
      </w:pPr>
      <w:r>
        <w:drawing>
          <wp:inline distT="0" distB="0" distL="0" distR="0">
            <wp:extent cx="54864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724150"/>
                    </a:xfrm>
                    <a:prstGeom prst="rect">
                      <a:avLst/>
                    </a:prstGeom>
                  </pic:spPr>
                </pic:pic>
              </a:graphicData>
            </a:graphic>
          </wp:inline>
        </w:drawing>
      </w:r>
    </w:p>
    <w:p>
      <w:pPr>
        <w:spacing w:after="260" w:before="60"/>
        <w:jc w:val="center"/>
      </w:pPr>
      <w:r>
        <w:rPr>
          <w:i/>
          <w:iCs/>
          <w:color w:val="555555"/>
          <w:sz w:val="20"/>
          <w:szCs w:val="20"/>
        </w:rPr>
        <w:t xml:space="preserve">Figure 8: Average SalePrice by Neighborhood</w:t>
      </w:r>
    </w:p>
    <w:p>
      <w:pPr>
        <w:spacing w:after="160" w:line="300"/>
      </w:pPr>
      <w:r>
        <w:t xml:space="preserve">Interpretation: NoRidge (~$330K), StoneBr (~$324K), and NridgHt (~$322K) have the highest average home prices, while MeadowV (~$96K), BrDale (~$106K), and IDOTRR (~$104K) have the lowest. This shows that location is an extremely important determinant of home value.</w:t>
      </w:r>
    </w:p>
    <w:p>
      <w:r>
        <w:br w:type="page"/>
      </w:r>
    </w:p>
    <w:p>
      <w:pPr>
        <w:pStyle w:val="Heading1"/>
        <w:spacing w:after="180" w:before="360"/>
      </w:pPr>
      <w:r>
        <w:rPr>
          <w:b/>
          <w:bCs/>
        </w:rPr>
        <w:t xml:space="preserve">04. Nature and Handling of Missing Values</w:t>
      </w:r>
    </w:p>
    <w:p>
      <w:pPr>
        <w:pBdr>
          <w:bottom w:val="single" w:color="AAAAAA" w:sz="6" w:space="1"/>
        </w:pBdr>
        <w:spacing w:after="200"/>
      </w:pPr>
    </w:p>
    <w:p>
      <w:pPr>
        <w:spacing w:after="160" w:line="300"/>
      </w:pPr>
      <w:r>
        <w:t xml:space="preserve">Before imputing missing values, it was verified whether they actually represented data-entry errors or simply indicated an "absent feature."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338"/>
            <w:shd w:fill="1F4E5F" w:color="auto" w:val="clear"/>
            <w:tcMar>
              <w:top w:type="dxa" w:w="80"/>
              <w:left w:type="dxa" w:w="100"/>
              <w:bottom w:type="dxa" w:w="80"/>
              <w:right w:type="dxa" w:w="100"/>
            </w:tcMar>
            <w:vAlign w:val="center"/>
          </w:tcPr>
          <w:p>
            <w:r>
              <w:rPr>
                <w:b/>
                <w:bCs/>
                <w:color w:val="FFFFFF"/>
                <w:sz w:val="20"/>
                <w:szCs w:val="20"/>
              </w:rPr>
              <w:t xml:space="preserve">Feature (Missing)</w:t>
            </w:r>
          </w:p>
        </w:tc>
        <w:tc>
          <w:tcPr>
            <w:tcW w:type="dxa" w:w="4208"/>
            <w:shd w:fill="1F4E5F" w:color="auto" w:val="clear"/>
            <w:tcMar>
              <w:top w:type="dxa" w:w="80"/>
              <w:left w:type="dxa" w:w="100"/>
              <w:bottom w:type="dxa" w:w="80"/>
              <w:right w:type="dxa" w:w="100"/>
            </w:tcMar>
            <w:vAlign w:val="center"/>
          </w:tcPr>
          <w:p>
            <w:r>
              <w:rPr>
                <w:b/>
                <w:bCs/>
                <w:color w:val="FFFFFF"/>
                <w:sz w:val="20"/>
                <w:szCs w:val="20"/>
              </w:rPr>
              <w:t xml:space="preserve">Verification Result</w:t>
            </w:r>
          </w:p>
        </w:tc>
        <w:tc>
          <w:tcPr>
            <w:tcW w:type="dxa" w:w="2805"/>
            <w:shd w:fill="1F4E5F" w:color="auto" w:val="clear"/>
            <w:tcMar>
              <w:top w:type="dxa" w:w="80"/>
              <w:left w:type="dxa" w:w="100"/>
              <w:bottom w:type="dxa" w:w="80"/>
              <w:right w:type="dxa" w:w="100"/>
            </w:tcMar>
            <w:vAlign w:val="center"/>
          </w:tcPr>
          <w:p>
            <w:r>
              <w:rPr>
                <w:b/>
                <w:bCs/>
                <w:color w:val="FFFFFF"/>
                <w:sz w:val="20"/>
                <w:szCs w:val="20"/>
              </w:rPr>
              <w:t xml:space="preserve">Actual Meaning</w:t>
            </w:r>
          </w:p>
        </w:tc>
      </w:tr>
      <w:tr>
        <w:tc>
          <w:tcPr>
            <w:tcW w:type="dxa" w:w="2338"/>
            <w:shd w:fill="F2F6F8" w:color="auto" w:val="clear"/>
            <w:tcMar>
              <w:top w:type="dxa" w:w="70"/>
              <w:left w:type="dxa" w:w="100"/>
              <w:bottom w:type="dxa" w:w="70"/>
              <w:right w:type="dxa" w:w="100"/>
            </w:tcMar>
            <w:vAlign w:val="center"/>
          </w:tcPr>
          <w:p>
            <w:r>
              <w:rPr>
                <w:sz w:val="20"/>
                <w:szCs w:val="20"/>
              </w:rPr>
              <w:t xml:space="preserve">Pool QC</w:t>
            </w:r>
          </w:p>
        </w:tc>
        <w:tc>
          <w:tcPr>
            <w:tcW w:type="dxa" w:w="4208"/>
            <w:shd w:fill="F2F6F8" w:color="auto" w:val="clear"/>
            <w:tcMar>
              <w:top w:type="dxa" w:w="70"/>
              <w:left w:type="dxa" w:w="100"/>
              <w:bottom w:type="dxa" w:w="70"/>
              <w:right w:type="dxa" w:w="100"/>
            </w:tcMar>
            <w:vAlign w:val="center"/>
          </w:tcPr>
          <w:p>
            <w:r>
              <w:rPr>
                <w:sz w:val="20"/>
                <w:szCs w:val="20"/>
              </w:rPr>
              <w:t xml:space="preserve">All 2,917 houses with missing Pool QC have Pool Area = 0</w:t>
            </w:r>
          </w:p>
        </w:tc>
        <w:tc>
          <w:tcPr>
            <w:tcW w:type="dxa" w:w="2805"/>
            <w:shd w:fill="F2F6F8" w:color="auto" w:val="clear"/>
            <w:tcMar>
              <w:top w:type="dxa" w:w="70"/>
              <w:left w:type="dxa" w:w="100"/>
              <w:bottom w:type="dxa" w:w="70"/>
              <w:right w:type="dxa" w:w="100"/>
            </w:tcMar>
            <w:vAlign w:val="center"/>
          </w:tcPr>
          <w:p>
            <w:r>
              <w:rPr>
                <w:sz w:val="20"/>
                <w:szCs w:val="20"/>
              </w:rPr>
              <w:t xml:space="preserve">No pool</w:t>
            </w:r>
          </w:p>
        </w:tc>
      </w:tr>
      <w:tr>
        <w:tc>
          <w:tcPr>
            <w:tcW w:type="dxa" w:w="2338"/>
            <w:tcMar>
              <w:top w:type="dxa" w:w="70"/>
              <w:left w:type="dxa" w:w="100"/>
              <w:bottom w:type="dxa" w:w="70"/>
              <w:right w:type="dxa" w:w="100"/>
            </w:tcMar>
            <w:vAlign w:val="center"/>
          </w:tcPr>
          <w:p>
            <w:r>
              <w:rPr>
                <w:sz w:val="20"/>
                <w:szCs w:val="20"/>
              </w:rPr>
              <w:t xml:space="preserve">Garage Type</w:t>
            </w:r>
          </w:p>
        </w:tc>
        <w:tc>
          <w:tcPr>
            <w:tcW w:type="dxa" w:w="4208"/>
            <w:tcMar>
              <w:top w:type="dxa" w:w="70"/>
              <w:left w:type="dxa" w:w="100"/>
              <w:bottom w:type="dxa" w:w="70"/>
              <w:right w:type="dxa" w:w="100"/>
            </w:tcMar>
            <w:vAlign w:val="center"/>
          </w:tcPr>
          <w:p>
            <w:r>
              <w:rPr>
                <w:sz w:val="20"/>
                <w:szCs w:val="20"/>
              </w:rPr>
              <w:t xml:space="preserve">157 houses with missing Garage Type have Garage Cars = 0</w:t>
            </w:r>
          </w:p>
        </w:tc>
        <w:tc>
          <w:tcPr>
            <w:tcW w:type="dxa" w:w="2805"/>
            <w:tcMar>
              <w:top w:type="dxa" w:w="70"/>
              <w:left w:type="dxa" w:w="100"/>
              <w:bottom w:type="dxa" w:w="70"/>
              <w:right w:type="dxa" w:w="100"/>
            </w:tcMar>
            <w:vAlign w:val="center"/>
          </w:tcPr>
          <w:p>
            <w:r>
              <w:rPr>
                <w:sz w:val="20"/>
                <w:szCs w:val="20"/>
              </w:rPr>
              <w:t xml:space="preserve">No garage</w:t>
            </w:r>
          </w:p>
        </w:tc>
      </w:tr>
      <w:tr>
        <w:tc>
          <w:tcPr>
            <w:tcW w:type="dxa" w:w="2338"/>
            <w:shd w:fill="F2F6F8" w:color="auto" w:val="clear"/>
            <w:tcMar>
              <w:top w:type="dxa" w:w="70"/>
              <w:left w:type="dxa" w:w="100"/>
              <w:bottom w:type="dxa" w:w="70"/>
              <w:right w:type="dxa" w:w="100"/>
            </w:tcMar>
            <w:vAlign w:val="center"/>
          </w:tcPr>
          <w:p>
            <w:r>
              <w:rPr>
                <w:sz w:val="20"/>
                <w:szCs w:val="20"/>
              </w:rPr>
              <w:t xml:space="preserve">Bsmt Qual</w:t>
            </w:r>
          </w:p>
        </w:tc>
        <w:tc>
          <w:tcPr>
            <w:tcW w:type="dxa" w:w="4208"/>
            <w:shd w:fill="F2F6F8" w:color="auto" w:val="clear"/>
            <w:tcMar>
              <w:top w:type="dxa" w:w="70"/>
              <w:left w:type="dxa" w:w="100"/>
              <w:bottom w:type="dxa" w:w="70"/>
              <w:right w:type="dxa" w:w="100"/>
            </w:tcMar>
            <w:vAlign w:val="center"/>
          </w:tcPr>
          <w:p>
            <w:r>
              <w:rPr>
                <w:sz w:val="20"/>
                <w:szCs w:val="20"/>
              </w:rPr>
              <w:t xml:space="preserve">79 houses with missing Bsmt Qual have Total Bsmt SF = 0</w:t>
            </w:r>
          </w:p>
        </w:tc>
        <w:tc>
          <w:tcPr>
            <w:tcW w:type="dxa" w:w="2805"/>
            <w:shd w:fill="F2F6F8" w:color="auto" w:val="clear"/>
            <w:tcMar>
              <w:top w:type="dxa" w:w="70"/>
              <w:left w:type="dxa" w:w="100"/>
              <w:bottom w:type="dxa" w:w="70"/>
              <w:right w:type="dxa" w:w="100"/>
            </w:tcMar>
            <w:vAlign w:val="center"/>
          </w:tcPr>
          <w:p>
            <w:r>
              <w:rPr>
                <w:sz w:val="20"/>
                <w:szCs w:val="20"/>
              </w:rPr>
              <w:t xml:space="preserve">No basement</w:t>
            </w:r>
          </w:p>
        </w:tc>
      </w:tr>
      <w:tr>
        <w:tc>
          <w:tcPr>
            <w:tcW w:type="dxa" w:w="2338"/>
            <w:tcMar>
              <w:top w:type="dxa" w:w="70"/>
              <w:left w:type="dxa" w:w="100"/>
              <w:bottom w:type="dxa" w:w="70"/>
              <w:right w:type="dxa" w:w="100"/>
            </w:tcMar>
            <w:vAlign w:val="center"/>
          </w:tcPr>
          <w:p>
            <w:r>
              <w:rPr>
                <w:sz w:val="20"/>
                <w:szCs w:val="20"/>
              </w:rPr>
              <w:t xml:space="preserve">Fireplace Qu</w:t>
            </w:r>
          </w:p>
        </w:tc>
        <w:tc>
          <w:tcPr>
            <w:tcW w:type="dxa" w:w="4208"/>
            <w:tcMar>
              <w:top w:type="dxa" w:w="70"/>
              <w:left w:type="dxa" w:w="100"/>
              <w:bottom w:type="dxa" w:w="70"/>
              <w:right w:type="dxa" w:w="100"/>
            </w:tcMar>
            <w:vAlign w:val="center"/>
          </w:tcPr>
          <w:p>
            <w:r>
              <w:rPr>
                <w:sz w:val="20"/>
                <w:szCs w:val="20"/>
              </w:rPr>
              <w:t xml:space="preserve">1,422 houses with missing Fireplace Qu have Fireplaces = 0</w:t>
            </w:r>
          </w:p>
        </w:tc>
        <w:tc>
          <w:tcPr>
            <w:tcW w:type="dxa" w:w="2805"/>
            <w:tcMar>
              <w:top w:type="dxa" w:w="70"/>
              <w:left w:type="dxa" w:w="100"/>
              <w:bottom w:type="dxa" w:w="70"/>
              <w:right w:type="dxa" w:w="100"/>
            </w:tcMar>
            <w:vAlign w:val="center"/>
          </w:tcPr>
          <w:p>
            <w:r>
              <w:rPr>
                <w:sz w:val="20"/>
                <w:szCs w:val="20"/>
              </w:rPr>
              <w:t xml:space="preserve">No fireplace</w:t>
            </w:r>
          </w:p>
        </w:tc>
      </w:tr>
    </w:tbl>
    <w:p>
      <w:pPr>
        <w:spacing w:after="160"/>
      </w:pPr>
    </w:p>
    <w:p>
      <w:pPr>
        <w:spacing w:after="160" w:line="300"/>
      </w:pPr>
      <w:r>
        <w:t xml:space="preserve">This verification confirmed that most missing values genuinely represent "feature absent" rather than data errors. Based on this understanding, the following imputation strategy was applied: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740"/>
            <w:shd w:fill="1F4E5F" w:color="auto" w:val="clear"/>
            <w:tcMar>
              <w:top w:type="dxa" w:w="80"/>
              <w:left w:type="dxa" w:w="100"/>
              <w:bottom w:type="dxa" w:w="80"/>
              <w:right w:type="dxa" w:w="100"/>
            </w:tcMar>
            <w:vAlign w:val="center"/>
          </w:tcPr>
          <w:p>
            <w:r>
              <w:rPr>
                <w:b/>
                <w:bCs/>
                <w:color w:val="FFFFFF"/>
                <w:sz w:val="20"/>
                <w:szCs w:val="20"/>
              </w:rPr>
              <w:t xml:space="preserve">Type of Missing Value</w:t>
            </w:r>
          </w:p>
        </w:tc>
        <w:tc>
          <w:tcPr>
            <w:tcW w:type="dxa" w:w="5610"/>
            <w:shd w:fill="1F4E5F" w:color="auto" w:val="clear"/>
            <w:tcMar>
              <w:top w:type="dxa" w:w="80"/>
              <w:left w:type="dxa" w:w="100"/>
              <w:bottom w:type="dxa" w:w="80"/>
              <w:right w:type="dxa" w:w="100"/>
            </w:tcMar>
            <w:vAlign w:val="center"/>
          </w:tcPr>
          <w:p>
            <w:r>
              <w:rPr>
                <w:b/>
                <w:bCs/>
                <w:color w:val="FFFFFF"/>
                <w:sz w:val="20"/>
                <w:szCs w:val="20"/>
              </w:rPr>
              <w:t xml:space="preserve">Imputation Method</w:t>
            </w:r>
          </w:p>
        </w:tc>
      </w:tr>
      <w:tr>
        <w:tc>
          <w:tcPr>
            <w:tcW w:type="dxa" w:w="3740"/>
            <w:shd w:fill="F2F6F8" w:color="auto" w:val="clear"/>
            <w:tcMar>
              <w:top w:type="dxa" w:w="70"/>
              <w:left w:type="dxa" w:w="100"/>
              <w:bottom w:type="dxa" w:w="70"/>
              <w:right w:type="dxa" w:w="100"/>
            </w:tcMar>
            <w:vAlign w:val="center"/>
          </w:tcPr>
          <w:p>
            <w:r>
              <w:rPr>
                <w:sz w:val="20"/>
                <w:szCs w:val="20"/>
              </w:rPr>
              <w:t xml:space="preserve">Categorical (feature absent)</w:t>
            </w:r>
          </w:p>
        </w:tc>
        <w:tc>
          <w:tcPr>
            <w:tcW w:type="dxa" w:w="5610"/>
            <w:shd w:fill="F2F6F8" w:color="auto" w:val="clear"/>
            <w:tcMar>
              <w:top w:type="dxa" w:w="70"/>
              <w:left w:type="dxa" w:w="100"/>
              <w:bottom w:type="dxa" w:w="70"/>
              <w:right w:type="dxa" w:w="100"/>
            </w:tcMar>
            <w:vAlign w:val="center"/>
          </w:tcPr>
          <w:p>
            <w:r>
              <w:rPr>
                <w:sz w:val="20"/>
                <w:szCs w:val="20"/>
              </w:rPr>
              <w:t xml:space="preserve">Filled with 'None' (14 columns)</w:t>
            </w:r>
          </w:p>
        </w:tc>
      </w:tr>
      <w:tr>
        <w:tc>
          <w:tcPr>
            <w:tcW w:type="dxa" w:w="3740"/>
            <w:tcMar>
              <w:top w:type="dxa" w:w="70"/>
              <w:left w:type="dxa" w:w="100"/>
              <w:bottom w:type="dxa" w:w="70"/>
              <w:right w:type="dxa" w:w="100"/>
            </w:tcMar>
            <w:vAlign w:val="center"/>
          </w:tcPr>
          <w:p>
            <w:r>
              <w:rPr>
                <w:sz w:val="20"/>
                <w:szCs w:val="20"/>
              </w:rPr>
              <w:t xml:space="preserve">Numeric (feature absent)</w:t>
            </w:r>
          </w:p>
        </w:tc>
        <w:tc>
          <w:tcPr>
            <w:tcW w:type="dxa" w:w="5610"/>
            <w:tcMar>
              <w:top w:type="dxa" w:w="70"/>
              <w:left w:type="dxa" w:w="100"/>
              <w:bottom w:type="dxa" w:w="70"/>
              <w:right w:type="dxa" w:w="100"/>
            </w:tcMar>
            <w:vAlign w:val="center"/>
          </w:tcPr>
          <w:p>
            <w:r>
              <w:rPr>
                <w:sz w:val="20"/>
                <w:szCs w:val="20"/>
              </w:rPr>
              <w:t xml:space="preserve">Filled with 0 (9 columns)</w:t>
            </w:r>
          </w:p>
        </w:tc>
      </w:tr>
      <w:tr>
        <w:tc>
          <w:tcPr>
            <w:tcW w:type="dxa" w:w="3740"/>
            <w:shd w:fill="F2F6F8" w:color="auto" w:val="clear"/>
            <w:tcMar>
              <w:top w:type="dxa" w:w="70"/>
              <w:left w:type="dxa" w:w="100"/>
              <w:bottom w:type="dxa" w:w="70"/>
              <w:right w:type="dxa" w:w="100"/>
            </w:tcMar>
            <w:vAlign w:val="center"/>
          </w:tcPr>
          <w:p>
            <w:r>
              <w:rPr>
                <w:sz w:val="20"/>
                <w:szCs w:val="20"/>
              </w:rPr>
              <w:t xml:space="preserve">Garage Yr Blt</w:t>
            </w:r>
          </w:p>
        </w:tc>
        <w:tc>
          <w:tcPr>
            <w:tcW w:type="dxa" w:w="5610"/>
            <w:shd w:fill="F2F6F8" w:color="auto" w:val="clear"/>
            <w:tcMar>
              <w:top w:type="dxa" w:w="70"/>
              <w:left w:type="dxa" w:w="100"/>
              <w:bottom w:type="dxa" w:w="70"/>
              <w:right w:type="dxa" w:w="100"/>
            </w:tcMar>
            <w:vAlign w:val="center"/>
          </w:tcPr>
          <w:p>
            <w:r>
              <w:rPr>
                <w:sz w:val="20"/>
                <w:szCs w:val="20"/>
              </w:rPr>
              <w:t xml:space="preserve">Filled with Year Built</w:t>
            </w:r>
          </w:p>
        </w:tc>
      </w:tr>
      <w:tr>
        <w:tc>
          <w:tcPr>
            <w:tcW w:type="dxa" w:w="3740"/>
            <w:tcMar>
              <w:top w:type="dxa" w:w="70"/>
              <w:left w:type="dxa" w:w="100"/>
              <w:bottom w:type="dxa" w:w="70"/>
              <w:right w:type="dxa" w:w="100"/>
            </w:tcMar>
            <w:vAlign w:val="center"/>
          </w:tcPr>
          <w:p>
            <w:r>
              <w:rPr>
                <w:sz w:val="20"/>
                <w:szCs w:val="20"/>
              </w:rPr>
              <w:t xml:space="preserve">Lot Frontage</w:t>
            </w:r>
          </w:p>
        </w:tc>
        <w:tc>
          <w:tcPr>
            <w:tcW w:type="dxa" w:w="5610"/>
            <w:tcMar>
              <w:top w:type="dxa" w:w="70"/>
              <w:left w:type="dxa" w:w="100"/>
              <w:bottom w:type="dxa" w:w="70"/>
              <w:right w:type="dxa" w:w="100"/>
            </w:tcMar>
            <w:vAlign w:val="center"/>
          </w:tcPr>
          <w:p>
            <w:r>
              <w:rPr>
                <w:sz w:val="20"/>
                <w:szCs w:val="20"/>
              </w:rPr>
              <w:t xml:space="preserve">Filled with the Neighborhood-wise median</w:t>
            </w:r>
          </w:p>
        </w:tc>
      </w:tr>
      <w:tr>
        <w:tc>
          <w:tcPr>
            <w:tcW w:type="dxa" w:w="3740"/>
            <w:shd w:fill="F2F6F8" w:color="auto" w:val="clear"/>
            <w:tcMar>
              <w:top w:type="dxa" w:w="70"/>
              <w:left w:type="dxa" w:w="100"/>
              <w:bottom w:type="dxa" w:w="70"/>
              <w:right w:type="dxa" w:w="100"/>
            </w:tcMar>
            <w:vAlign w:val="center"/>
          </w:tcPr>
          <w:p>
            <w:r>
              <w:rPr>
                <w:sz w:val="20"/>
                <w:szCs w:val="20"/>
              </w:rPr>
              <w:t xml:space="preserve">Remaining categorical</w:t>
            </w:r>
          </w:p>
        </w:tc>
        <w:tc>
          <w:tcPr>
            <w:tcW w:type="dxa" w:w="5610"/>
            <w:shd w:fill="F2F6F8" w:color="auto" w:val="clear"/>
            <w:tcMar>
              <w:top w:type="dxa" w:w="70"/>
              <w:left w:type="dxa" w:w="100"/>
              <w:bottom w:type="dxa" w:w="70"/>
              <w:right w:type="dxa" w:w="100"/>
            </w:tcMar>
            <w:vAlign w:val="center"/>
          </w:tcPr>
          <w:p>
            <w:r>
              <w:rPr>
                <w:sz w:val="20"/>
                <w:szCs w:val="20"/>
              </w:rPr>
              <w:t xml:space="preserve">Filled with the mode</w:t>
            </w:r>
          </w:p>
        </w:tc>
      </w:tr>
      <w:tr>
        <w:tc>
          <w:tcPr>
            <w:tcW w:type="dxa" w:w="3740"/>
            <w:tcMar>
              <w:top w:type="dxa" w:w="70"/>
              <w:left w:type="dxa" w:w="100"/>
              <w:bottom w:type="dxa" w:w="70"/>
              <w:right w:type="dxa" w:w="100"/>
            </w:tcMar>
            <w:vAlign w:val="center"/>
          </w:tcPr>
          <w:p>
            <w:r>
              <w:rPr>
                <w:sz w:val="20"/>
                <w:szCs w:val="20"/>
              </w:rPr>
              <w:t xml:space="preserve">Remaining numeric</w:t>
            </w:r>
          </w:p>
        </w:tc>
        <w:tc>
          <w:tcPr>
            <w:tcW w:type="dxa" w:w="5610"/>
            <w:tcMar>
              <w:top w:type="dxa" w:w="70"/>
              <w:left w:type="dxa" w:w="100"/>
              <w:bottom w:type="dxa" w:w="70"/>
              <w:right w:type="dxa" w:w="100"/>
            </w:tcMar>
            <w:vAlign w:val="center"/>
          </w:tcPr>
          <w:p>
            <w:r>
              <w:rPr>
                <w:sz w:val="20"/>
                <w:szCs w:val="20"/>
              </w:rPr>
              <w:t xml:space="preserve">Filled with the median</w:t>
            </w:r>
          </w:p>
        </w:tc>
      </w:tr>
    </w:tbl>
    <w:p>
      <w:pPr>
        <w:spacing w:after="160"/>
      </w:pPr>
    </w:p>
    <w:p>
      <w:pPr>
        <w:spacing w:after="160" w:line="300"/>
      </w:pPr>
      <w:r>
        <w:t xml:space="preserve">After imputation, the dataset had 0 remaining missing values, and a post-imputation check showed that the top correlated features were essentially unchanged (Overall Qual: 0.799, Gr Liv Area: 0.707) — confirming that the imputation process did not distort data quality.</w:t>
      </w:r>
    </w:p>
    <w:p>
      <w:r>
        <w:br w:type="page"/>
      </w:r>
    </w:p>
    <w:p>
      <w:pPr>
        <w:pStyle w:val="Heading1"/>
        <w:spacing w:after="180" w:before="360"/>
      </w:pPr>
      <w:r>
        <w:rPr>
          <w:b/>
          <w:bCs/>
        </w:rPr>
        <w:t xml:space="preserve">05. Outlier Analysis and Handling</w:t>
      </w:r>
    </w:p>
    <w:p>
      <w:pPr>
        <w:pBdr>
          <w:bottom w:val="single" w:color="AAAAAA" w:sz="6" w:space="1"/>
        </w:pBdr>
        <w:spacing w:after="200"/>
      </w:pPr>
    </w:p>
    <w:p>
      <w:pPr>
        <w:pStyle w:val="Heading2"/>
        <w:spacing w:after="140" w:before="260"/>
      </w:pPr>
      <w:r>
        <w:rPr>
          <w:b/>
          <w:bCs/>
        </w:rPr>
        <w:t xml:space="preserve">5.1 Outlier Detection with IQR and Z-Score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740"/>
            <w:shd w:fill="1F4E5F" w:color="auto" w:val="clear"/>
            <w:tcMar>
              <w:top w:type="dxa" w:w="80"/>
              <w:left w:type="dxa" w:w="100"/>
              <w:bottom w:type="dxa" w:w="80"/>
              <w:right w:type="dxa" w:w="100"/>
            </w:tcMar>
            <w:vAlign w:val="center"/>
          </w:tcPr>
          <w:p>
            <w:r>
              <w:rPr>
                <w:b/>
                <w:bCs/>
                <w:color w:val="FFFFFF"/>
                <w:sz w:val="20"/>
                <w:szCs w:val="20"/>
              </w:rPr>
              <w:t xml:space="preserve">Feature</w:t>
            </w:r>
          </w:p>
        </w:tc>
        <w:tc>
          <w:tcPr>
            <w:tcW w:type="dxa" w:w="3273"/>
            <w:shd w:fill="1F4E5F" w:color="auto" w:val="clear"/>
            <w:tcMar>
              <w:top w:type="dxa" w:w="80"/>
              <w:left w:type="dxa" w:w="100"/>
              <w:bottom w:type="dxa" w:w="80"/>
              <w:right w:type="dxa" w:w="100"/>
            </w:tcMar>
            <w:vAlign w:val="center"/>
          </w:tcPr>
          <w:p>
            <w:r>
              <w:rPr>
                <w:b/>
                <w:bCs/>
                <w:color w:val="FFFFFF"/>
                <w:sz w:val="20"/>
                <w:szCs w:val="20"/>
              </w:rPr>
              <w:t xml:space="preserve">Outlier Count (IQR)</w:t>
            </w:r>
          </w:p>
        </w:tc>
        <w:tc>
          <w:tcPr>
            <w:tcW w:type="dxa" w:w="2338"/>
            <w:shd w:fill="1F4E5F" w:color="auto" w:val="clear"/>
            <w:tcMar>
              <w:top w:type="dxa" w:w="80"/>
              <w:left w:type="dxa" w:w="100"/>
              <w:bottom w:type="dxa" w:w="80"/>
              <w:right w:type="dxa" w:w="100"/>
            </w:tcMar>
            <w:vAlign w:val="center"/>
          </w:tcPr>
          <w:p>
            <w:r>
              <w:rPr>
                <w:b/>
                <w:bCs/>
                <w:color w:val="FFFFFF"/>
                <w:sz w:val="20"/>
                <w:szCs w:val="20"/>
              </w:rPr>
              <w:t xml:space="preserve">Outlier %</w:t>
            </w:r>
          </w:p>
        </w:tc>
      </w:tr>
      <w:tr>
        <w:tc>
          <w:tcPr>
            <w:tcW w:type="dxa" w:w="3740"/>
            <w:shd w:fill="F2F6F8" w:color="auto" w:val="clear"/>
            <w:tcMar>
              <w:top w:type="dxa" w:w="70"/>
              <w:left w:type="dxa" w:w="100"/>
              <w:bottom w:type="dxa" w:w="70"/>
              <w:right w:type="dxa" w:w="100"/>
            </w:tcMar>
            <w:vAlign w:val="center"/>
          </w:tcPr>
          <w:p>
            <w:r>
              <w:rPr>
                <w:sz w:val="20"/>
                <w:szCs w:val="20"/>
              </w:rPr>
              <w:t xml:space="preserve">Gr Liv Area</w:t>
            </w:r>
          </w:p>
        </w:tc>
        <w:tc>
          <w:tcPr>
            <w:tcW w:type="dxa" w:w="3273"/>
            <w:shd w:fill="F2F6F8" w:color="auto" w:val="clear"/>
            <w:tcMar>
              <w:top w:type="dxa" w:w="70"/>
              <w:left w:type="dxa" w:w="100"/>
              <w:bottom w:type="dxa" w:w="70"/>
              <w:right w:type="dxa" w:w="100"/>
            </w:tcMar>
            <w:vAlign w:val="center"/>
          </w:tcPr>
          <w:p>
            <w:r>
              <w:rPr>
                <w:sz w:val="20"/>
                <w:szCs w:val="20"/>
              </w:rPr>
              <w:t xml:space="preserve">75</w:t>
            </w:r>
          </w:p>
        </w:tc>
        <w:tc>
          <w:tcPr>
            <w:tcW w:type="dxa" w:w="2338"/>
            <w:shd w:fill="F2F6F8" w:color="auto" w:val="clear"/>
            <w:tcMar>
              <w:top w:type="dxa" w:w="70"/>
              <w:left w:type="dxa" w:w="100"/>
              <w:bottom w:type="dxa" w:w="70"/>
              <w:right w:type="dxa" w:w="100"/>
            </w:tcMar>
            <w:vAlign w:val="center"/>
          </w:tcPr>
          <w:p>
            <w:r>
              <w:rPr>
                <w:sz w:val="20"/>
                <w:szCs w:val="20"/>
              </w:rPr>
              <w:t xml:space="preserve">2.56%</w:t>
            </w:r>
          </w:p>
        </w:tc>
      </w:tr>
      <w:tr>
        <w:tc>
          <w:tcPr>
            <w:tcW w:type="dxa" w:w="3740"/>
            <w:tcMar>
              <w:top w:type="dxa" w:w="70"/>
              <w:left w:type="dxa" w:w="100"/>
              <w:bottom w:type="dxa" w:w="70"/>
              <w:right w:type="dxa" w:w="100"/>
            </w:tcMar>
            <w:vAlign w:val="center"/>
          </w:tcPr>
          <w:p>
            <w:r>
              <w:rPr>
                <w:sz w:val="20"/>
                <w:szCs w:val="20"/>
              </w:rPr>
              <w:t xml:space="preserve">Lot Area</w:t>
            </w:r>
          </w:p>
        </w:tc>
        <w:tc>
          <w:tcPr>
            <w:tcW w:type="dxa" w:w="3273"/>
            <w:tcMar>
              <w:top w:type="dxa" w:w="70"/>
              <w:left w:type="dxa" w:w="100"/>
              <w:bottom w:type="dxa" w:w="70"/>
              <w:right w:type="dxa" w:w="100"/>
            </w:tcMar>
            <w:vAlign w:val="center"/>
          </w:tcPr>
          <w:p>
            <w:r>
              <w:rPr>
                <w:sz w:val="20"/>
                <w:szCs w:val="20"/>
              </w:rPr>
              <w:t xml:space="preserve">127</w:t>
            </w:r>
          </w:p>
        </w:tc>
        <w:tc>
          <w:tcPr>
            <w:tcW w:type="dxa" w:w="2338"/>
            <w:tcMar>
              <w:top w:type="dxa" w:w="70"/>
              <w:left w:type="dxa" w:w="100"/>
              <w:bottom w:type="dxa" w:w="70"/>
              <w:right w:type="dxa" w:w="100"/>
            </w:tcMar>
            <w:vAlign w:val="center"/>
          </w:tcPr>
          <w:p>
            <w:r>
              <w:rPr>
                <w:sz w:val="20"/>
                <w:szCs w:val="20"/>
              </w:rPr>
              <w:t xml:space="preserve">4.33%</w:t>
            </w:r>
          </w:p>
        </w:tc>
      </w:tr>
      <w:tr>
        <w:tc>
          <w:tcPr>
            <w:tcW w:type="dxa" w:w="3740"/>
            <w:shd w:fill="F2F6F8" w:color="auto" w:val="clear"/>
            <w:tcMar>
              <w:top w:type="dxa" w:w="70"/>
              <w:left w:type="dxa" w:w="100"/>
              <w:bottom w:type="dxa" w:w="70"/>
              <w:right w:type="dxa" w:w="100"/>
            </w:tcMar>
            <w:vAlign w:val="center"/>
          </w:tcPr>
          <w:p>
            <w:r>
              <w:rPr>
                <w:sz w:val="20"/>
                <w:szCs w:val="20"/>
              </w:rPr>
              <w:t xml:space="preserve">SalePrice</w:t>
            </w:r>
          </w:p>
        </w:tc>
        <w:tc>
          <w:tcPr>
            <w:tcW w:type="dxa" w:w="3273"/>
            <w:shd w:fill="F2F6F8" w:color="auto" w:val="clear"/>
            <w:tcMar>
              <w:top w:type="dxa" w:w="70"/>
              <w:left w:type="dxa" w:w="100"/>
              <w:bottom w:type="dxa" w:w="70"/>
              <w:right w:type="dxa" w:w="100"/>
            </w:tcMar>
            <w:vAlign w:val="center"/>
          </w:tcPr>
          <w:p>
            <w:r>
              <w:rPr>
                <w:sz w:val="20"/>
                <w:szCs w:val="20"/>
              </w:rPr>
              <w:t xml:space="preserve">137</w:t>
            </w:r>
          </w:p>
        </w:tc>
        <w:tc>
          <w:tcPr>
            <w:tcW w:type="dxa" w:w="2338"/>
            <w:shd w:fill="F2F6F8" w:color="auto" w:val="clear"/>
            <w:tcMar>
              <w:top w:type="dxa" w:w="70"/>
              <w:left w:type="dxa" w:w="100"/>
              <w:bottom w:type="dxa" w:w="70"/>
              <w:right w:type="dxa" w:w="100"/>
            </w:tcMar>
            <w:vAlign w:val="center"/>
          </w:tcPr>
          <w:p>
            <w:r>
              <w:rPr>
                <w:sz w:val="20"/>
                <w:szCs w:val="20"/>
              </w:rPr>
              <w:t xml:space="preserve">4.68%</w:t>
            </w:r>
          </w:p>
        </w:tc>
      </w:tr>
      <w:tr>
        <w:tc>
          <w:tcPr>
            <w:tcW w:type="dxa" w:w="3740"/>
            <w:tcMar>
              <w:top w:type="dxa" w:w="70"/>
              <w:left w:type="dxa" w:w="100"/>
              <w:bottom w:type="dxa" w:w="70"/>
              <w:right w:type="dxa" w:w="100"/>
            </w:tcMar>
            <w:vAlign w:val="center"/>
          </w:tcPr>
          <w:p>
            <w:r>
              <w:rPr>
                <w:sz w:val="20"/>
                <w:szCs w:val="20"/>
              </w:rPr>
              <w:t xml:space="preserve">Total Bsmt SF</w:t>
            </w:r>
          </w:p>
        </w:tc>
        <w:tc>
          <w:tcPr>
            <w:tcW w:type="dxa" w:w="3273"/>
            <w:tcMar>
              <w:top w:type="dxa" w:w="70"/>
              <w:left w:type="dxa" w:w="100"/>
              <w:bottom w:type="dxa" w:w="70"/>
              <w:right w:type="dxa" w:w="100"/>
            </w:tcMar>
            <w:vAlign w:val="center"/>
          </w:tcPr>
          <w:p>
            <w:r>
              <w:rPr>
                <w:sz w:val="20"/>
                <w:szCs w:val="20"/>
              </w:rPr>
              <w:t xml:space="preserve">124</w:t>
            </w:r>
          </w:p>
        </w:tc>
        <w:tc>
          <w:tcPr>
            <w:tcW w:type="dxa" w:w="2338"/>
            <w:tcMar>
              <w:top w:type="dxa" w:w="70"/>
              <w:left w:type="dxa" w:w="100"/>
              <w:bottom w:type="dxa" w:w="70"/>
              <w:right w:type="dxa" w:w="100"/>
            </w:tcMar>
            <w:vAlign w:val="center"/>
          </w:tcPr>
          <w:p>
            <w:r>
              <w:rPr>
                <w:sz w:val="20"/>
                <w:szCs w:val="20"/>
              </w:rPr>
              <w:t xml:space="preserve">4.23%</w:t>
            </w:r>
          </w:p>
        </w:tc>
      </w:tr>
    </w:tbl>
    <w:p>
      <w:pPr>
        <w:spacing w:after="120"/>
      </w:pPr>
    </w:p>
    <w:p>
      <w:pPr>
        <w:spacing w:after="160" w:line="300"/>
      </w:pPr>
      <w:r>
        <w:t xml:space="preserve">The Z-score method (|z| &gt; 3) identified 45 outliers in SalePrice.</w:t>
      </w:r>
    </w:p>
    <w:p>
      <w:pPr>
        <w:spacing w:after="40" w:before="120"/>
        <w:jc w:val="center"/>
      </w:pPr>
      <w:r>
        <w:drawing>
          <wp:inline distT="0" distB="0" distL="0" distR="0">
            <wp:extent cx="5762625"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1657350"/>
                    </a:xfrm>
                    <a:prstGeom prst="rect">
                      <a:avLst/>
                    </a:prstGeom>
                  </pic:spPr>
                </pic:pic>
              </a:graphicData>
            </a:graphic>
          </wp:inline>
        </w:drawing>
      </w:r>
    </w:p>
    <w:p>
      <w:pPr>
        <w:spacing w:after="260" w:before="60"/>
        <w:jc w:val="center"/>
      </w:pPr>
      <w:r>
        <w:rPr>
          <w:i/>
          <w:iCs/>
          <w:color w:val="555555"/>
          <w:sz w:val="20"/>
          <w:szCs w:val="20"/>
        </w:rPr>
        <w:t xml:space="preserve">Figure 9: Boxplots before outlier removal</w:t>
      </w:r>
    </w:p>
    <w:p>
      <w:pPr>
        <w:spacing w:after="40" w:before="120"/>
        <w:jc w:val="center"/>
      </w:pPr>
      <w:r>
        <w:drawing>
          <wp:inline distT="0" distB="0" distL="0" distR="0">
            <wp:extent cx="475297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52975" cy="2838450"/>
                    </a:xfrm>
                    <a:prstGeom prst="rect">
                      <a:avLst/>
                    </a:prstGeom>
                  </pic:spPr>
                </pic:pic>
              </a:graphicData>
            </a:graphic>
          </wp:inline>
        </w:drawing>
      </w:r>
    </w:p>
    <w:p>
      <w:pPr>
        <w:spacing w:after="260" w:before="60"/>
        <w:jc w:val="center"/>
      </w:pPr>
      <w:r>
        <w:rPr>
          <w:i/>
          <w:iCs/>
          <w:color w:val="555555"/>
          <w:sz w:val="20"/>
          <w:szCs w:val="20"/>
        </w:rPr>
        <w:t xml:space="preserve">Figure 10: Gr Liv Area vs. SalePrice — flagging the anomalous region</w:t>
      </w:r>
    </w:p>
    <w:p>
      <w:pPr>
        <w:spacing w:after="160" w:line="300"/>
      </w:pPr>
      <w:r>
        <w:t xml:space="preserve">Interpretation: The red and blue dashed lines mark the region where large homes (Gr Liv Area &gt; 4000) sold for under $300,000 — typically a sign of a partial sale or data-entry inconsistency rather than genuine market pricing.</w:t>
      </w:r>
    </w:p>
    <w:p>
      <w:pPr>
        <w:pStyle w:val="Heading2"/>
        <w:spacing w:after="140" w:before="260"/>
      </w:pPr>
      <w:r>
        <w:rPr>
          <w:b/>
          <w:bCs/>
        </w:rPr>
        <w:t xml:space="preserve">5.2 Conservative Outlier Removal Strategy</w:t>
      </w:r>
    </w:p>
    <w:p>
      <w:pPr>
        <w:spacing w:after="160" w:line="300"/>
      </w:pPr>
      <w:r>
        <w:t xml:space="preserve">Although IQR/Z-score methods flagged many points as outliers, only genuine anomalies were removed, so that legitimate luxury homes were not lost from the dataset.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73"/>
            <w:shd w:fill="1F4E5F" w:color="auto" w:val="clear"/>
            <w:tcMar>
              <w:top w:type="dxa" w:w="80"/>
              <w:left w:type="dxa" w:w="100"/>
              <w:bottom w:type="dxa" w:w="80"/>
              <w:right w:type="dxa" w:w="100"/>
            </w:tcMar>
            <w:vAlign w:val="center"/>
          </w:tcPr>
          <w:p>
            <w:r>
              <w:rPr>
                <w:b/>
                <w:bCs/>
                <w:color w:val="FFFFFF"/>
                <w:sz w:val="20"/>
                <w:szCs w:val="20"/>
              </w:rPr>
              <w:t xml:space="preserve">Type of Outlier</w:t>
            </w:r>
          </w:p>
        </w:tc>
        <w:tc>
          <w:tcPr>
            <w:tcW w:type="dxa" w:w="1870"/>
            <w:shd w:fill="1F4E5F" w:color="auto" w:val="clear"/>
            <w:tcMar>
              <w:top w:type="dxa" w:w="80"/>
              <w:left w:type="dxa" w:w="100"/>
              <w:bottom w:type="dxa" w:w="80"/>
              <w:right w:type="dxa" w:w="100"/>
            </w:tcMar>
            <w:vAlign w:val="center"/>
          </w:tcPr>
          <w:p>
            <w:r>
              <w:rPr>
                <w:b/>
                <w:bCs/>
                <w:color w:val="FFFFFF"/>
                <w:sz w:val="20"/>
                <w:szCs w:val="20"/>
              </w:rPr>
              <w:t xml:space="preserve">Decision</w:t>
            </w:r>
          </w:p>
        </w:tc>
        <w:tc>
          <w:tcPr>
            <w:tcW w:type="dxa" w:w="4208"/>
            <w:shd w:fill="1F4E5F" w:color="auto" w:val="clear"/>
            <w:tcMar>
              <w:top w:type="dxa" w:w="80"/>
              <w:left w:type="dxa" w:w="100"/>
              <w:bottom w:type="dxa" w:w="80"/>
              <w:right w:type="dxa" w:w="100"/>
            </w:tcMar>
            <w:vAlign w:val="center"/>
          </w:tcPr>
          <w:p>
            <w:r>
              <w:rPr>
                <w:b/>
                <w:bCs/>
                <w:color w:val="FFFFFF"/>
                <w:sz w:val="20"/>
                <w:szCs w:val="20"/>
              </w:rPr>
              <w:t xml:space="preserve">Rationale</w:t>
            </w:r>
          </w:p>
        </w:tc>
      </w:tr>
      <w:tr>
        <w:tc>
          <w:tcPr>
            <w:tcW w:type="dxa" w:w="3273"/>
            <w:shd w:fill="F2F6F8" w:color="auto" w:val="clear"/>
            <w:tcMar>
              <w:top w:type="dxa" w:w="70"/>
              <w:left w:type="dxa" w:w="100"/>
              <w:bottom w:type="dxa" w:w="70"/>
              <w:right w:type="dxa" w:w="100"/>
            </w:tcMar>
            <w:vAlign w:val="center"/>
          </w:tcPr>
          <w:p>
            <w:r>
              <w:rPr>
                <w:sz w:val="20"/>
                <w:szCs w:val="20"/>
              </w:rPr>
              <w:t xml:space="preserve">Partial-sale houses (large area, low price)</w:t>
            </w:r>
          </w:p>
        </w:tc>
        <w:tc>
          <w:tcPr>
            <w:tcW w:type="dxa" w:w="1870"/>
            <w:shd w:fill="F2F6F8" w:color="auto" w:val="clear"/>
            <w:tcMar>
              <w:top w:type="dxa" w:w="70"/>
              <w:left w:type="dxa" w:w="100"/>
              <w:bottom w:type="dxa" w:w="70"/>
              <w:right w:type="dxa" w:w="100"/>
            </w:tcMar>
            <w:vAlign w:val="center"/>
          </w:tcPr>
          <w:p>
            <w:r>
              <w:rPr>
                <w:sz w:val="20"/>
                <w:szCs w:val="20"/>
              </w:rPr>
              <w:t xml:space="preserve">Removed</w:t>
            </w:r>
          </w:p>
        </w:tc>
        <w:tc>
          <w:tcPr>
            <w:tcW w:type="dxa" w:w="4208"/>
            <w:shd w:fill="F2F6F8" w:color="auto" w:val="clear"/>
            <w:tcMar>
              <w:top w:type="dxa" w:w="70"/>
              <w:left w:type="dxa" w:w="100"/>
              <w:bottom w:type="dxa" w:w="70"/>
              <w:right w:type="dxa" w:w="100"/>
            </w:tcMar>
            <w:vAlign w:val="center"/>
          </w:tcPr>
          <w:p>
            <w:r>
              <w:rPr>
                <w:sz w:val="20"/>
                <w:szCs w:val="20"/>
              </w:rPr>
              <w:t xml:space="preserve">Data-entry inconsistency, not real market behavior</w:t>
            </w:r>
          </w:p>
        </w:tc>
      </w:tr>
      <w:tr>
        <w:tc>
          <w:tcPr>
            <w:tcW w:type="dxa" w:w="3273"/>
            <w:tcMar>
              <w:top w:type="dxa" w:w="70"/>
              <w:left w:type="dxa" w:w="100"/>
              <w:bottom w:type="dxa" w:w="70"/>
              <w:right w:type="dxa" w:w="100"/>
            </w:tcMar>
            <w:vAlign w:val="center"/>
          </w:tcPr>
          <w:p>
            <w:r>
              <w:rPr>
                <w:sz w:val="20"/>
                <w:szCs w:val="20"/>
              </w:rPr>
              <w:t xml:space="preserve">Luxury homes (&gt;$700K)</w:t>
            </w:r>
          </w:p>
        </w:tc>
        <w:tc>
          <w:tcPr>
            <w:tcW w:type="dxa" w:w="1870"/>
            <w:tcMar>
              <w:top w:type="dxa" w:w="70"/>
              <w:left w:type="dxa" w:w="100"/>
              <w:bottom w:type="dxa" w:w="70"/>
              <w:right w:type="dxa" w:w="100"/>
            </w:tcMar>
            <w:vAlign w:val="center"/>
          </w:tcPr>
          <w:p>
            <w:r>
              <w:rPr>
                <w:sz w:val="20"/>
                <w:szCs w:val="20"/>
              </w:rPr>
              <w:t xml:space="preserve">Kept</w:t>
            </w:r>
          </w:p>
        </w:tc>
        <w:tc>
          <w:tcPr>
            <w:tcW w:type="dxa" w:w="4208"/>
            <w:tcMar>
              <w:top w:type="dxa" w:w="70"/>
              <w:left w:type="dxa" w:w="100"/>
              <w:bottom w:type="dxa" w:w="70"/>
              <w:right w:type="dxa" w:w="100"/>
            </w:tcMar>
            <w:vAlign w:val="center"/>
          </w:tcPr>
          <w:p>
            <w:r>
              <w:rPr>
                <w:sz w:val="20"/>
                <w:szCs w:val="20"/>
              </w:rPr>
              <w:t xml:space="preserve">A legitimate market segment</w:t>
            </w:r>
          </w:p>
        </w:tc>
      </w:tr>
      <w:tr>
        <w:tc>
          <w:tcPr>
            <w:tcW w:type="dxa" w:w="3273"/>
            <w:shd w:fill="F2F6F8" w:color="auto" w:val="clear"/>
            <w:tcMar>
              <w:top w:type="dxa" w:w="70"/>
              <w:left w:type="dxa" w:w="100"/>
              <w:bottom w:type="dxa" w:w="70"/>
              <w:right w:type="dxa" w:w="100"/>
            </w:tcMar>
            <w:vAlign w:val="center"/>
          </w:tcPr>
          <w:p>
            <w:r>
              <w:rPr>
                <w:sz w:val="20"/>
                <w:szCs w:val="20"/>
              </w:rPr>
              <w:t xml:space="preserve">Unusually large Lot Area</w:t>
            </w:r>
          </w:p>
        </w:tc>
        <w:tc>
          <w:tcPr>
            <w:tcW w:type="dxa" w:w="1870"/>
            <w:shd w:fill="F2F6F8" w:color="auto" w:val="clear"/>
            <w:tcMar>
              <w:top w:type="dxa" w:w="70"/>
              <w:left w:type="dxa" w:w="100"/>
              <w:bottom w:type="dxa" w:w="70"/>
              <w:right w:type="dxa" w:w="100"/>
            </w:tcMar>
            <w:vAlign w:val="center"/>
          </w:tcPr>
          <w:p>
            <w:r>
              <w:rPr>
                <w:sz w:val="20"/>
                <w:szCs w:val="20"/>
              </w:rPr>
              <w:t xml:space="preserve">Kept</w:t>
            </w:r>
          </w:p>
        </w:tc>
        <w:tc>
          <w:tcPr>
            <w:tcW w:type="dxa" w:w="4208"/>
            <w:shd w:fill="F2F6F8" w:color="auto" w:val="clear"/>
            <w:tcMar>
              <w:top w:type="dxa" w:w="70"/>
              <w:left w:type="dxa" w:w="100"/>
              <w:bottom w:type="dxa" w:w="70"/>
              <w:right w:type="dxa" w:w="100"/>
            </w:tcMar>
            <w:vAlign w:val="center"/>
          </w:tcPr>
          <w:p>
            <w:r>
              <w:rPr>
                <w:sz w:val="20"/>
                <w:szCs w:val="20"/>
              </w:rPr>
              <w:t xml:space="preserve">A genuine property characteristic</w:t>
            </w:r>
          </w:p>
        </w:tc>
      </w:tr>
      <w:tr>
        <w:tc>
          <w:tcPr>
            <w:tcW w:type="dxa" w:w="3273"/>
            <w:tcMar>
              <w:top w:type="dxa" w:w="70"/>
              <w:left w:type="dxa" w:w="100"/>
              <w:bottom w:type="dxa" w:w="70"/>
              <w:right w:type="dxa" w:w="100"/>
            </w:tcMar>
            <w:vAlign w:val="center"/>
          </w:tcPr>
          <w:p>
            <w:r>
              <w:rPr>
                <w:sz w:val="20"/>
                <w:szCs w:val="20"/>
              </w:rPr>
              <w:t xml:space="preserve">Pools / large garages</w:t>
            </w:r>
          </w:p>
        </w:tc>
        <w:tc>
          <w:tcPr>
            <w:tcW w:type="dxa" w:w="1870"/>
            <w:tcMar>
              <w:top w:type="dxa" w:w="70"/>
              <w:left w:type="dxa" w:w="100"/>
              <w:bottom w:type="dxa" w:w="70"/>
              <w:right w:type="dxa" w:w="100"/>
            </w:tcMar>
            <w:vAlign w:val="center"/>
          </w:tcPr>
          <w:p>
            <w:r>
              <w:rPr>
                <w:sz w:val="20"/>
                <w:szCs w:val="20"/>
              </w:rPr>
              <w:t xml:space="preserve">Kept</w:t>
            </w:r>
          </w:p>
        </w:tc>
        <w:tc>
          <w:tcPr>
            <w:tcW w:type="dxa" w:w="4208"/>
            <w:tcMar>
              <w:top w:type="dxa" w:w="70"/>
              <w:left w:type="dxa" w:w="100"/>
              <w:bottom w:type="dxa" w:w="70"/>
              <w:right w:type="dxa" w:w="100"/>
            </w:tcMar>
            <w:vAlign w:val="center"/>
          </w:tcPr>
          <w:p>
            <w:r>
              <w:rPr>
                <w:sz w:val="20"/>
                <w:szCs w:val="20"/>
              </w:rPr>
              <w:t xml:space="preserve">A genuine value signal</w:t>
            </w:r>
          </w:p>
        </w:tc>
      </w:tr>
    </w:tbl>
    <w:p>
      <w:pPr>
        <w:spacing w:after="120"/>
      </w:pPr>
    </w:p>
    <w:p>
      <w:pPr>
        <w:spacing w:after="160" w:line="300"/>
      </w:pPr>
      <w:r>
        <w:t xml:space="preserve">Condition applied: (Gr Liv Area &gt; 4000) AND (SalePrice &lt; $300,000) — under this condition, only 3 records (just 0.102% of the data) were removed. The final dataset size is 2,927 rows.</w:t>
      </w:r>
    </w:p>
    <w:p>
      <w:pPr>
        <w:spacing w:after="40" w:before="120"/>
        <w:jc w:val="center"/>
      </w:pPr>
      <w:r>
        <w:drawing>
          <wp:inline distT="0" distB="0" distL="0" distR="0">
            <wp:extent cx="5667375"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2924175"/>
                    </a:xfrm>
                    <a:prstGeom prst="rect">
                      <a:avLst/>
                    </a:prstGeom>
                  </pic:spPr>
                </pic:pic>
              </a:graphicData>
            </a:graphic>
          </wp:inline>
        </w:drawing>
      </w:r>
    </w:p>
    <w:p>
      <w:pPr>
        <w:spacing w:after="260" w:before="60"/>
        <w:jc w:val="center"/>
      </w:pPr>
      <w:r>
        <w:rPr>
          <w:i/>
          <w:iCs/>
          <w:color w:val="555555"/>
          <w:sz w:val="20"/>
          <w:szCs w:val="20"/>
        </w:rPr>
        <w:t xml:space="preserve">Figure 11: Boxplots after outlier removal</w:t>
      </w:r>
    </w:p>
    <w:p>
      <w:pPr>
        <w:spacing w:after="160" w:line="300"/>
      </w:pPr>
      <w:r>
        <w:t xml:space="preserve">Interpretation: Because a conservative approach was used, most of the IQR-flagged points (such as luxury homes) were retained, and only genuine anomalies were removed — helping the model generalize well even in the high-price segment.</w:t>
      </w:r>
    </w:p>
    <w:p>
      <w:r>
        <w:br w:type="page"/>
      </w:r>
    </w:p>
    <w:p>
      <w:pPr>
        <w:pStyle w:val="Heading1"/>
        <w:spacing w:after="180" w:before="360"/>
      </w:pPr>
      <w:r>
        <w:rPr>
          <w:b/>
          <w:bCs/>
        </w:rPr>
        <w:t xml:space="preserve">06. Feature Engineering</w:t>
      </w:r>
    </w:p>
    <w:p>
      <w:pPr>
        <w:pBdr>
          <w:bottom w:val="single" w:color="AAAAAA" w:sz="6" w:space="1"/>
        </w:pBdr>
        <w:spacing w:after="200"/>
      </w:pPr>
    </w:p>
    <w:p>
      <w:pPr>
        <w:pStyle w:val="Heading2"/>
        <w:spacing w:after="140" w:before="260"/>
      </w:pPr>
      <w:r>
        <w:rPr>
          <w:b/>
          <w:bCs/>
        </w:rPr>
        <w:t xml:space="preserve">6.1 New Feature Creation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5"/>
            <w:shd w:fill="1F4E5F" w:color="auto" w:val="clear"/>
            <w:tcMar>
              <w:top w:type="dxa" w:w="80"/>
              <w:left w:type="dxa" w:w="100"/>
              <w:bottom w:type="dxa" w:w="80"/>
              <w:right w:type="dxa" w:w="100"/>
            </w:tcMar>
            <w:vAlign w:val="center"/>
          </w:tcPr>
          <w:p>
            <w:r>
              <w:rPr>
                <w:b/>
                <w:bCs/>
                <w:color w:val="FFFFFF"/>
                <w:sz w:val="20"/>
                <w:szCs w:val="20"/>
              </w:rPr>
              <w:t xml:space="preserve">New Feature</w:t>
            </w:r>
          </w:p>
        </w:tc>
        <w:tc>
          <w:tcPr>
            <w:tcW w:type="dxa" w:w="6545"/>
            <w:shd w:fill="1F4E5F" w:color="auto" w:val="clear"/>
            <w:tcMar>
              <w:top w:type="dxa" w:w="80"/>
              <w:left w:type="dxa" w:w="100"/>
              <w:bottom w:type="dxa" w:w="80"/>
              <w:right w:type="dxa" w:w="100"/>
            </w:tcMar>
            <w:vAlign w:val="center"/>
          </w:tcPr>
          <w:p>
            <w:r>
              <w:rPr>
                <w:b/>
                <w:bCs/>
                <w:color w:val="FFFFFF"/>
                <w:sz w:val="20"/>
                <w:szCs w:val="20"/>
              </w:rPr>
              <w:t xml:space="preserve">Calculation</w:t>
            </w:r>
          </w:p>
        </w:tc>
      </w:tr>
      <w:tr>
        <w:tc>
          <w:tcPr>
            <w:tcW w:type="dxa" w:w="2805"/>
            <w:shd w:fill="F2F6F8" w:color="auto" w:val="clear"/>
            <w:tcMar>
              <w:top w:type="dxa" w:w="70"/>
              <w:left w:type="dxa" w:w="100"/>
              <w:bottom w:type="dxa" w:w="70"/>
              <w:right w:type="dxa" w:w="100"/>
            </w:tcMar>
            <w:vAlign w:val="center"/>
          </w:tcPr>
          <w:p>
            <w:r>
              <w:rPr>
                <w:sz w:val="20"/>
                <w:szCs w:val="20"/>
              </w:rPr>
              <w:t xml:space="preserve">Total SF</w:t>
            </w:r>
          </w:p>
        </w:tc>
        <w:tc>
          <w:tcPr>
            <w:tcW w:type="dxa" w:w="6545"/>
            <w:shd w:fill="F2F6F8" w:color="auto" w:val="clear"/>
            <w:tcMar>
              <w:top w:type="dxa" w:w="70"/>
              <w:left w:type="dxa" w:w="100"/>
              <w:bottom w:type="dxa" w:w="70"/>
              <w:right w:type="dxa" w:w="100"/>
            </w:tcMar>
            <w:vAlign w:val="center"/>
          </w:tcPr>
          <w:p>
            <w:r>
              <w:rPr>
                <w:sz w:val="20"/>
                <w:szCs w:val="20"/>
              </w:rPr>
              <w:t xml:space="preserve">Total Bsmt SF + 1st Flr SF + 2nd Flr SF</w:t>
            </w:r>
          </w:p>
        </w:tc>
      </w:tr>
      <w:tr>
        <w:tc>
          <w:tcPr>
            <w:tcW w:type="dxa" w:w="2805"/>
            <w:tcMar>
              <w:top w:type="dxa" w:w="70"/>
              <w:left w:type="dxa" w:w="100"/>
              <w:bottom w:type="dxa" w:w="70"/>
              <w:right w:type="dxa" w:w="100"/>
            </w:tcMar>
            <w:vAlign w:val="center"/>
          </w:tcPr>
          <w:p>
            <w:r>
              <w:rPr>
                <w:sz w:val="20"/>
                <w:szCs w:val="20"/>
              </w:rPr>
              <w:t xml:space="preserve">Total Bath</w:t>
            </w:r>
          </w:p>
        </w:tc>
        <w:tc>
          <w:tcPr>
            <w:tcW w:type="dxa" w:w="6545"/>
            <w:tcMar>
              <w:top w:type="dxa" w:w="70"/>
              <w:left w:type="dxa" w:w="100"/>
              <w:bottom w:type="dxa" w:w="70"/>
              <w:right w:type="dxa" w:w="100"/>
            </w:tcMar>
            <w:vAlign w:val="center"/>
          </w:tcPr>
          <w:p>
            <w:r>
              <w:rPr>
                <w:sz w:val="20"/>
                <w:szCs w:val="20"/>
              </w:rPr>
              <w:t xml:space="preserve">Full Bath + 0.5×Half Bath + Bsmt Full Bath + 0.5×Bsmt Half Bath</w:t>
            </w:r>
          </w:p>
        </w:tc>
      </w:tr>
      <w:tr>
        <w:tc>
          <w:tcPr>
            <w:tcW w:type="dxa" w:w="2805"/>
            <w:shd w:fill="F2F6F8" w:color="auto" w:val="clear"/>
            <w:tcMar>
              <w:top w:type="dxa" w:w="70"/>
              <w:left w:type="dxa" w:w="100"/>
              <w:bottom w:type="dxa" w:w="70"/>
              <w:right w:type="dxa" w:w="100"/>
            </w:tcMar>
            <w:vAlign w:val="center"/>
          </w:tcPr>
          <w:p>
            <w:r>
              <w:rPr>
                <w:sz w:val="20"/>
                <w:szCs w:val="20"/>
              </w:rPr>
              <w:t xml:space="preserve">House Age</w:t>
            </w:r>
          </w:p>
        </w:tc>
        <w:tc>
          <w:tcPr>
            <w:tcW w:type="dxa" w:w="6545"/>
            <w:shd w:fill="F2F6F8" w:color="auto" w:val="clear"/>
            <w:tcMar>
              <w:top w:type="dxa" w:w="70"/>
              <w:left w:type="dxa" w:w="100"/>
              <w:bottom w:type="dxa" w:w="70"/>
              <w:right w:type="dxa" w:w="100"/>
            </w:tcMar>
            <w:vAlign w:val="center"/>
          </w:tcPr>
          <w:p>
            <w:r>
              <w:rPr>
                <w:sz w:val="20"/>
                <w:szCs w:val="20"/>
              </w:rPr>
              <w:t xml:space="preserve">Yr Sold − Year Built</w:t>
            </w:r>
          </w:p>
        </w:tc>
      </w:tr>
      <w:tr>
        <w:tc>
          <w:tcPr>
            <w:tcW w:type="dxa" w:w="2805"/>
            <w:tcMar>
              <w:top w:type="dxa" w:w="70"/>
              <w:left w:type="dxa" w:w="100"/>
              <w:bottom w:type="dxa" w:w="70"/>
              <w:right w:type="dxa" w:w="100"/>
            </w:tcMar>
            <w:vAlign w:val="center"/>
          </w:tcPr>
          <w:p>
            <w:r>
              <w:rPr>
                <w:sz w:val="20"/>
                <w:szCs w:val="20"/>
              </w:rPr>
              <w:t xml:space="preserve">Remod Age</w:t>
            </w:r>
          </w:p>
        </w:tc>
        <w:tc>
          <w:tcPr>
            <w:tcW w:type="dxa" w:w="6545"/>
            <w:tcMar>
              <w:top w:type="dxa" w:w="70"/>
              <w:left w:type="dxa" w:w="100"/>
              <w:bottom w:type="dxa" w:w="70"/>
              <w:right w:type="dxa" w:w="100"/>
            </w:tcMar>
            <w:vAlign w:val="center"/>
          </w:tcPr>
          <w:p>
            <w:r>
              <w:rPr>
                <w:sz w:val="20"/>
                <w:szCs w:val="20"/>
              </w:rPr>
              <w:t xml:space="preserve">Yr Sold − Year Remod/Add</w:t>
            </w:r>
          </w:p>
        </w:tc>
      </w:tr>
      <w:tr>
        <w:tc>
          <w:tcPr>
            <w:tcW w:type="dxa" w:w="2805"/>
            <w:shd w:fill="F2F6F8" w:color="auto" w:val="clear"/>
            <w:tcMar>
              <w:top w:type="dxa" w:w="70"/>
              <w:left w:type="dxa" w:w="100"/>
              <w:bottom w:type="dxa" w:w="70"/>
              <w:right w:type="dxa" w:w="100"/>
            </w:tcMar>
            <w:vAlign w:val="center"/>
          </w:tcPr>
          <w:p>
            <w:r>
              <w:rPr>
                <w:sz w:val="20"/>
                <w:szCs w:val="20"/>
              </w:rPr>
              <w:t xml:space="preserve">Is Remodeled</w:t>
            </w:r>
          </w:p>
        </w:tc>
        <w:tc>
          <w:tcPr>
            <w:tcW w:type="dxa" w:w="6545"/>
            <w:shd w:fill="F2F6F8" w:color="auto" w:val="clear"/>
            <w:tcMar>
              <w:top w:type="dxa" w:w="70"/>
              <w:left w:type="dxa" w:w="100"/>
              <w:bottom w:type="dxa" w:w="70"/>
              <w:right w:type="dxa" w:w="100"/>
            </w:tcMar>
            <w:vAlign w:val="center"/>
          </w:tcPr>
          <w:p>
            <w:r>
              <w:rPr>
                <w:sz w:val="20"/>
                <w:szCs w:val="20"/>
              </w:rPr>
              <w:t xml:space="preserve">Whether the house was remodeled (Binary: 0/1)</w:t>
            </w:r>
          </w:p>
        </w:tc>
      </w:tr>
      <w:tr>
        <w:tc>
          <w:tcPr>
            <w:tcW w:type="dxa" w:w="2805"/>
            <w:tcMar>
              <w:top w:type="dxa" w:w="70"/>
              <w:left w:type="dxa" w:w="100"/>
              <w:bottom w:type="dxa" w:w="70"/>
              <w:right w:type="dxa" w:w="100"/>
            </w:tcMar>
            <w:vAlign w:val="center"/>
          </w:tcPr>
          <w:p>
            <w:r>
              <w:rPr>
                <w:sz w:val="20"/>
                <w:szCs w:val="20"/>
              </w:rPr>
              <w:t xml:space="preserve">Total Porch SF</w:t>
            </w:r>
          </w:p>
        </w:tc>
        <w:tc>
          <w:tcPr>
            <w:tcW w:type="dxa" w:w="6545"/>
            <w:tcMar>
              <w:top w:type="dxa" w:w="70"/>
              <w:left w:type="dxa" w:w="100"/>
              <w:bottom w:type="dxa" w:w="70"/>
              <w:right w:type="dxa" w:w="100"/>
            </w:tcMar>
            <w:vAlign w:val="center"/>
          </w:tcPr>
          <w:p>
            <w:r>
              <w:rPr>
                <w:sz w:val="20"/>
                <w:szCs w:val="20"/>
              </w:rPr>
              <w:t xml:space="preserve">Sum of all porch area types</w:t>
            </w:r>
          </w:p>
        </w:tc>
      </w:tr>
    </w:tbl>
    <w:p>
      <w:pPr>
        <w:spacing w:after="160"/>
      </w:pPr>
    </w:p>
    <w:p>
      <w:pPr>
        <w:pStyle w:val="Heading2"/>
        <w:spacing w:after="140" w:before="260"/>
      </w:pPr>
      <w:r>
        <w:rPr>
          <w:b/>
          <w:bCs/>
        </w:rPr>
        <w:t xml:space="preserve">6.2 Encoding</w:t>
      </w:r>
    </w:p>
    <w:p>
      <w:pPr>
        <w:pStyle w:val="ListParagraph"/>
        <w:numPr>
          <w:ilvl w:val="0"/>
          <w:numId w:val="1"/>
        </w:numPr>
        <w:spacing w:after="90" w:line="280"/>
      </w:pPr>
      <w:r>
        <w:t xml:space="preserve">Ordinal Encoding: quality-indicator columns (Exter Qual, Kitchen Qual, etc. — 10 columns in total) were mapped to a 0–5 scale (None=0, Po=1, Fa=2, TA=3, Gd=4, Ex=5).</w:t>
      </w:r>
    </w:p>
    <w:p>
      <w:pPr>
        <w:pStyle w:val="ListParagraph"/>
        <w:numPr>
          <w:ilvl w:val="0"/>
          <w:numId w:val="1"/>
        </w:numPr>
        <w:spacing w:after="90" w:line="280"/>
      </w:pPr>
      <w:r>
        <w:t xml:space="preserve">One-Hot Encoding: 33 nominal categorical columns were converted into dummy variables, expanding the dataset shape from (2927, 82) to (2927, 247).</w:t>
      </w:r>
    </w:p>
    <w:p>
      <w:pPr>
        <w:pStyle w:val="Heading2"/>
        <w:spacing w:after="140" w:before="260"/>
      </w:pPr>
      <w:r>
        <w:rPr>
          <w:b/>
          <w:bCs/>
        </w:rPr>
        <w:t xml:space="preserve">6.3 Transforming Skewed Features</w:t>
      </w:r>
    </w:p>
    <w:p>
      <w:pPr>
        <w:spacing w:after="160" w:line="300"/>
      </w:pPr>
      <w:r>
        <w:t xml:space="preserve">A log1p transformation was applied to 28 numeric features with |skewness| &gt; 0.75 (excluding SalePrice), making their distributions more normal and better suited to linear models.</w:t>
      </w:r>
    </w:p>
    <w:p>
      <w:pPr>
        <w:pStyle w:val="Heading1"/>
        <w:spacing w:after="180" w:before="360"/>
      </w:pPr>
      <w:r>
        <w:rPr>
          <w:b/>
          <w:bCs/>
        </w:rPr>
        <w:t xml:space="preserve">07. Feature Selection</w:t>
      </w:r>
    </w:p>
    <w:p>
      <w:pPr>
        <w:pBdr>
          <w:bottom w:val="single" w:color="AAAAAA" w:sz="6" w:space="1"/>
        </w:pBdr>
        <w:spacing w:after="200"/>
      </w:pPr>
    </w:p>
    <w:p>
      <w:pPr>
        <w:spacing w:after="160" w:line="300"/>
      </w:pPr>
      <w:r>
        <w:t xml:space="preserve">The top 30 features were selected based on correlation with SalePrice, allowing the model to avoid noise from less-important, low-signal features.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122"/>
            <w:shd w:fill="1F4E5F" w:color="auto" w:val="clear"/>
            <w:tcMar>
              <w:top w:type="dxa" w:w="80"/>
              <w:left w:type="dxa" w:w="100"/>
              <w:bottom w:type="dxa" w:w="80"/>
              <w:right w:type="dxa" w:w="100"/>
            </w:tcMar>
            <w:vAlign w:val="center"/>
          </w:tcPr>
          <w:p>
            <w:r>
              <w:rPr>
                <w:b/>
                <w:bCs/>
                <w:color w:val="FFFFFF"/>
                <w:sz w:val="20"/>
                <w:szCs w:val="20"/>
              </w:rPr>
              <w:t xml:space="preserve">Rank</w:t>
            </w:r>
          </w:p>
        </w:tc>
        <w:tc>
          <w:tcPr>
            <w:tcW w:type="dxa" w:w="5423"/>
            <w:shd w:fill="1F4E5F" w:color="auto" w:val="clear"/>
            <w:tcMar>
              <w:top w:type="dxa" w:w="80"/>
              <w:left w:type="dxa" w:w="100"/>
              <w:bottom w:type="dxa" w:w="80"/>
              <w:right w:type="dxa" w:w="100"/>
            </w:tcMar>
            <w:vAlign w:val="center"/>
          </w:tcPr>
          <w:p>
            <w:r>
              <w:rPr>
                <w:b/>
                <w:bCs/>
                <w:color w:val="FFFFFF"/>
                <w:sz w:val="20"/>
                <w:szCs w:val="20"/>
              </w:rPr>
              <w:t xml:space="preserve">Feature</w:t>
            </w:r>
          </w:p>
        </w:tc>
        <w:tc>
          <w:tcPr>
            <w:tcW w:type="dxa" w:w="2805"/>
            <w:shd w:fill="1F4E5F" w:color="auto" w:val="clear"/>
            <w:tcMar>
              <w:top w:type="dxa" w:w="80"/>
              <w:left w:type="dxa" w:w="100"/>
              <w:bottom w:type="dxa" w:w="80"/>
              <w:right w:type="dxa" w:w="100"/>
            </w:tcMar>
            <w:vAlign w:val="center"/>
          </w:tcPr>
          <w:p>
            <w:r>
              <w:rPr>
                <w:b/>
                <w:bCs/>
                <w:color w:val="FFFFFF"/>
                <w:sz w:val="20"/>
                <w:szCs w:val="20"/>
              </w:rPr>
              <w:t xml:space="preserve">Correlation</w:t>
            </w:r>
          </w:p>
        </w:tc>
      </w:tr>
      <w:tr>
        <w:tc>
          <w:tcPr>
            <w:tcW w:type="dxa" w:w="1122"/>
            <w:shd w:fill="F2F6F8" w:color="auto" w:val="clear"/>
            <w:tcMar>
              <w:top w:type="dxa" w:w="70"/>
              <w:left w:type="dxa" w:w="100"/>
              <w:bottom w:type="dxa" w:w="70"/>
              <w:right w:type="dxa" w:w="100"/>
            </w:tcMar>
            <w:vAlign w:val="center"/>
          </w:tcPr>
          <w:p>
            <w:r>
              <w:rPr>
                <w:sz w:val="20"/>
                <w:szCs w:val="20"/>
              </w:rPr>
              <w:t xml:space="preserve">1</w:t>
            </w:r>
          </w:p>
        </w:tc>
        <w:tc>
          <w:tcPr>
            <w:tcW w:type="dxa" w:w="5423"/>
            <w:shd w:fill="F2F6F8" w:color="auto" w:val="clear"/>
            <w:tcMar>
              <w:top w:type="dxa" w:w="70"/>
              <w:left w:type="dxa" w:w="100"/>
              <w:bottom w:type="dxa" w:w="70"/>
              <w:right w:type="dxa" w:w="100"/>
            </w:tcMar>
            <w:vAlign w:val="center"/>
          </w:tcPr>
          <w:p>
            <w:r>
              <w:rPr>
                <w:sz w:val="20"/>
                <w:szCs w:val="20"/>
              </w:rPr>
              <w:t xml:space="preserve">Total SF (new)</w:t>
            </w:r>
          </w:p>
        </w:tc>
        <w:tc>
          <w:tcPr>
            <w:tcW w:type="dxa" w:w="2805"/>
            <w:shd w:fill="F2F6F8" w:color="auto" w:val="clear"/>
            <w:tcMar>
              <w:top w:type="dxa" w:w="70"/>
              <w:left w:type="dxa" w:w="100"/>
              <w:bottom w:type="dxa" w:w="70"/>
              <w:right w:type="dxa" w:w="100"/>
            </w:tcMar>
            <w:vAlign w:val="center"/>
          </w:tcPr>
          <w:p>
            <w:r>
              <w:rPr>
                <w:sz w:val="20"/>
                <w:szCs w:val="20"/>
              </w:rPr>
              <w:t xml:space="preserve">0.832</w:t>
            </w:r>
          </w:p>
        </w:tc>
      </w:tr>
      <w:tr>
        <w:tc>
          <w:tcPr>
            <w:tcW w:type="dxa" w:w="1122"/>
            <w:tcMar>
              <w:top w:type="dxa" w:w="70"/>
              <w:left w:type="dxa" w:w="100"/>
              <w:bottom w:type="dxa" w:w="70"/>
              <w:right w:type="dxa" w:w="100"/>
            </w:tcMar>
            <w:vAlign w:val="center"/>
          </w:tcPr>
          <w:p>
            <w:r>
              <w:rPr>
                <w:sz w:val="20"/>
                <w:szCs w:val="20"/>
              </w:rPr>
              <w:t xml:space="preserve">2</w:t>
            </w:r>
          </w:p>
        </w:tc>
        <w:tc>
          <w:tcPr>
            <w:tcW w:type="dxa" w:w="5423"/>
            <w:tcMar>
              <w:top w:type="dxa" w:w="70"/>
              <w:left w:type="dxa" w:w="100"/>
              <w:bottom w:type="dxa" w:w="70"/>
              <w:right w:type="dxa" w:w="100"/>
            </w:tcMar>
            <w:vAlign w:val="center"/>
          </w:tcPr>
          <w:p>
            <w:r>
              <w:rPr>
                <w:sz w:val="20"/>
                <w:szCs w:val="20"/>
              </w:rPr>
              <w:t xml:space="preserve">Overall Qual</w:t>
            </w:r>
          </w:p>
        </w:tc>
        <w:tc>
          <w:tcPr>
            <w:tcW w:type="dxa" w:w="2805"/>
            <w:tcMar>
              <w:top w:type="dxa" w:w="70"/>
              <w:left w:type="dxa" w:w="100"/>
              <w:bottom w:type="dxa" w:w="70"/>
              <w:right w:type="dxa" w:w="100"/>
            </w:tcMar>
            <w:vAlign w:val="center"/>
          </w:tcPr>
          <w:p>
            <w:r>
              <w:rPr>
                <w:sz w:val="20"/>
                <w:szCs w:val="20"/>
              </w:rPr>
              <w:t xml:space="preserve">0.803</w:t>
            </w:r>
          </w:p>
        </w:tc>
      </w:tr>
      <w:tr>
        <w:tc>
          <w:tcPr>
            <w:tcW w:type="dxa" w:w="1122"/>
            <w:shd w:fill="F2F6F8" w:color="auto" w:val="clear"/>
            <w:tcMar>
              <w:top w:type="dxa" w:w="70"/>
              <w:left w:type="dxa" w:w="100"/>
              <w:bottom w:type="dxa" w:w="70"/>
              <w:right w:type="dxa" w:w="100"/>
            </w:tcMar>
            <w:vAlign w:val="center"/>
          </w:tcPr>
          <w:p>
            <w:r>
              <w:rPr>
                <w:sz w:val="20"/>
                <w:szCs w:val="20"/>
              </w:rPr>
              <w:t xml:space="preserve">3</w:t>
            </w:r>
          </w:p>
        </w:tc>
        <w:tc>
          <w:tcPr>
            <w:tcW w:type="dxa" w:w="5423"/>
            <w:shd w:fill="F2F6F8" w:color="auto" w:val="clear"/>
            <w:tcMar>
              <w:top w:type="dxa" w:w="70"/>
              <w:left w:type="dxa" w:w="100"/>
              <w:bottom w:type="dxa" w:w="70"/>
              <w:right w:type="dxa" w:w="100"/>
            </w:tcMar>
            <w:vAlign w:val="center"/>
          </w:tcPr>
          <w:p>
            <w:r>
              <w:rPr>
                <w:sz w:val="20"/>
                <w:szCs w:val="20"/>
              </w:rPr>
              <w:t xml:space="preserve">Gr Liv Area</w:t>
            </w:r>
          </w:p>
        </w:tc>
        <w:tc>
          <w:tcPr>
            <w:tcW w:type="dxa" w:w="2805"/>
            <w:shd w:fill="F2F6F8" w:color="auto" w:val="clear"/>
            <w:tcMar>
              <w:top w:type="dxa" w:w="70"/>
              <w:left w:type="dxa" w:w="100"/>
              <w:bottom w:type="dxa" w:w="70"/>
              <w:right w:type="dxa" w:w="100"/>
            </w:tcMar>
            <w:vAlign w:val="center"/>
          </w:tcPr>
          <w:p>
            <w:r>
              <w:rPr>
                <w:sz w:val="20"/>
                <w:szCs w:val="20"/>
              </w:rPr>
              <w:t xml:space="preserve">0.701</w:t>
            </w:r>
          </w:p>
        </w:tc>
      </w:tr>
      <w:tr>
        <w:tc>
          <w:tcPr>
            <w:tcW w:type="dxa" w:w="1122"/>
            <w:tcMar>
              <w:top w:type="dxa" w:w="70"/>
              <w:left w:type="dxa" w:w="100"/>
              <w:bottom w:type="dxa" w:w="70"/>
              <w:right w:type="dxa" w:w="100"/>
            </w:tcMar>
            <w:vAlign w:val="center"/>
          </w:tcPr>
          <w:p>
            <w:r>
              <w:rPr>
                <w:sz w:val="20"/>
                <w:szCs w:val="20"/>
              </w:rPr>
              <w:t xml:space="preserve">4</w:t>
            </w:r>
          </w:p>
        </w:tc>
        <w:tc>
          <w:tcPr>
            <w:tcW w:type="dxa" w:w="5423"/>
            <w:tcMar>
              <w:top w:type="dxa" w:w="70"/>
              <w:left w:type="dxa" w:w="100"/>
              <w:bottom w:type="dxa" w:w="70"/>
              <w:right w:type="dxa" w:w="100"/>
            </w:tcMar>
            <w:vAlign w:val="center"/>
          </w:tcPr>
          <w:p>
            <w:r>
              <w:rPr>
                <w:sz w:val="20"/>
                <w:szCs w:val="20"/>
              </w:rPr>
              <w:t xml:space="preserve">Exter Qual</w:t>
            </w:r>
          </w:p>
        </w:tc>
        <w:tc>
          <w:tcPr>
            <w:tcW w:type="dxa" w:w="2805"/>
            <w:tcMar>
              <w:top w:type="dxa" w:w="70"/>
              <w:left w:type="dxa" w:w="100"/>
              <w:bottom w:type="dxa" w:w="70"/>
              <w:right w:type="dxa" w:w="100"/>
            </w:tcMar>
            <w:vAlign w:val="center"/>
          </w:tcPr>
          <w:p>
            <w:r>
              <w:rPr>
                <w:sz w:val="20"/>
                <w:szCs w:val="20"/>
              </w:rPr>
              <w:t xml:space="preserve">0.689</w:t>
            </w:r>
          </w:p>
        </w:tc>
      </w:tr>
      <w:tr>
        <w:tc>
          <w:tcPr>
            <w:tcW w:type="dxa" w:w="1122"/>
            <w:shd w:fill="F2F6F8" w:color="auto" w:val="clear"/>
            <w:tcMar>
              <w:top w:type="dxa" w:w="70"/>
              <w:left w:type="dxa" w:w="100"/>
              <w:bottom w:type="dxa" w:w="70"/>
              <w:right w:type="dxa" w:w="100"/>
            </w:tcMar>
            <w:vAlign w:val="center"/>
          </w:tcPr>
          <w:p>
            <w:r>
              <w:rPr>
                <w:sz w:val="20"/>
                <w:szCs w:val="20"/>
              </w:rPr>
              <w:t xml:space="preserve">5</w:t>
            </w:r>
          </w:p>
        </w:tc>
        <w:tc>
          <w:tcPr>
            <w:tcW w:type="dxa" w:w="5423"/>
            <w:shd w:fill="F2F6F8" w:color="auto" w:val="clear"/>
            <w:tcMar>
              <w:top w:type="dxa" w:w="70"/>
              <w:left w:type="dxa" w:w="100"/>
              <w:bottom w:type="dxa" w:w="70"/>
              <w:right w:type="dxa" w:w="100"/>
            </w:tcMar>
            <w:vAlign w:val="center"/>
          </w:tcPr>
          <w:p>
            <w:r>
              <w:rPr>
                <w:sz w:val="20"/>
                <w:szCs w:val="20"/>
              </w:rPr>
              <w:t xml:space="preserve">Kitchen Qual</w:t>
            </w:r>
          </w:p>
        </w:tc>
        <w:tc>
          <w:tcPr>
            <w:tcW w:type="dxa" w:w="2805"/>
            <w:shd w:fill="F2F6F8" w:color="auto" w:val="clear"/>
            <w:tcMar>
              <w:top w:type="dxa" w:w="70"/>
              <w:left w:type="dxa" w:w="100"/>
              <w:bottom w:type="dxa" w:w="70"/>
              <w:right w:type="dxa" w:w="100"/>
            </w:tcMar>
            <w:vAlign w:val="center"/>
          </w:tcPr>
          <w:p>
            <w:r>
              <w:rPr>
                <w:sz w:val="20"/>
                <w:szCs w:val="20"/>
              </w:rPr>
              <w:t xml:space="preserve">0.675</w:t>
            </w:r>
          </w:p>
        </w:tc>
      </w:tr>
      <w:tr>
        <w:tc>
          <w:tcPr>
            <w:tcW w:type="dxa" w:w="1122"/>
            <w:tcMar>
              <w:top w:type="dxa" w:w="70"/>
              <w:left w:type="dxa" w:w="100"/>
              <w:bottom w:type="dxa" w:w="70"/>
              <w:right w:type="dxa" w:w="100"/>
            </w:tcMar>
            <w:vAlign w:val="center"/>
          </w:tcPr>
          <w:p>
            <w:r>
              <w:rPr>
                <w:sz w:val="20"/>
                <w:szCs w:val="20"/>
              </w:rPr>
              <w:t xml:space="preserve">6</w:t>
            </w:r>
          </w:p>
        </w:tc>
        <w:tc>
          <w:tcPr>
            <w:tcW w:type="dxa" w:w="5423"/>
            <w:tcMar>
              <w:top w:type="dxa" w:w="70"/>
              <w:left w:type="dxa" w:w="100"/>
              <w:bottom w:type="dxa" w:w="70"/>
              <w:right w:type="dxa" w:w="100"/>
            </w:tcMar>
            <w:vAlign w:val="center"/>
          </w:tcPr>
          <w:p>
            <w:r>
              <w:rPr>
                <w:sz w:val="20"/>
                <w:szCs w:val="20"/>
              </w:rPr>
              <w:t xml:space="preserve">Total Bsmt SF</w:t>
            </w:r>
          </w:p>
        </w:tc>
        <w:tc>
          <w:tcPr>
            <w:tcW w:type="dxa" w:w="2805"/>
            <w:tcMar>
              <w:top w:type="dxa" w:w="70"/>
              <w:left w:type="dxa" w:w="100"/>
              <w:bottom w:type="dxa" w:w="70"/>
              <w:right w:type="dxa" w:w="100"/>
            </w:tcMar>
            <w:vAlign w:val="center"/>
          </w:tcPr>
          <w:p>
            <w:r>
              <w:rPr>
                <w:sz w:val="20"/>
                <w:szCs w:val="20"/>
              </w:rPr>
              <w:t xml:space="preserve">0.661</w:t>
            </w:r>
          </w:p>
        </w:tc>
      </w:tr>
      <w:tr>
        <w:tc>
          <w:tcPr>
            <w:tcW w:type="dxa" w:w="1122"/>
            <w:shd w:fill="F2F6F8" w:color="auto" w:val="clear"/>
            <w:tcMar>
              <w:top w:type="dxa" w:w="70"/>
              <w:left w:type="dxa" w:w="100"/>
              <w:bottom w:type="dxa" w:w="70"/>
              <w:right w:type="dxa" w:w="100"/>
            </w:tcMar>
            <w:vAlign w:val="center"/>
          </w:tcPr>
          <w:p>
            <w:r>
              <w:rPr>
                <w:sz w:val="20"/>
                <w:szCs w:val="20"/>
              </w:rPr>
              <w:t xml:space="preserve">7</w:t>
            </w:r>
          </w:p>
        </w:tc>
        <w:tc>
          <w:tcPr>
            <w:tcW w:type="dxa" w:w="5423"/>
            <w:shd w:fill="F2F6F8" w:color="auto" w:val="clear"/>
            <w:tcMar>
              <w:top w:type="dxa" w:w="70"/>
              <w:left w:type="dxa" w:w="100"/>
              <w:bottom w:type="dxa" w:w="70"/>
              <w:right w:type="dxa" w:w="100"/>
            </w:tcMar>
            <w:vAlign w:val="center"/>
          </w:tcPr>
          <w:p>
            <w:r>
              <w:rPr>
                <w:sz w:val="20"/>
                <w:szCs w:val="20"/>
              </w:rPr>
              <w:t xml:space="preserve">Garage Cars</w:t>
            </w:r>
          </w:p>
        </w:tc>
        <w:tc>
          <w:tcPr>
            <w:tcW w:type="dxa" w:w="2805"/>
            <w:shd w:fill="F2F6F8" w:color="auto" w:val="clear"/>
            <w:tcMar>
              <w:top w:type="dxa" w:w="70"/>
              <w:left w:type="dxa" w:w="100"/>
              <w:bottom w:type="dxa" w:w="70"/>
              <w:right w:type="dxa" w:w="100"/>
            </w:tcMar>
            <w:vAlign w:val="center"/>
          </w:tcPr>
          <w:p>
            <w:r>
              <w:rPr>
                <w:sz w:val="20"/>
                <w:szCs w:val="20"/>
              </w:rPr>
              <w:t xml:space="preserve">0.648</w:t>
            </w:r>
          </w:p>
        </w:tc>
      </w:tr>
      <w:tr>
        <w:tc>
          <w:tcPr>
            <w:tcW w:type="dxa" w:w="1122"/>
            <w:tcMar>
              <w:top w:type="dxa" w:w="70"/>
              <w:left w:type="dxa" w:w="100"/>
              <w:bottom w:type="dxa" w:w="70"/>
              <w:right w:type="dxa" w:w="100"/>
            </w:tcMar>
            <w:vAlign w:val="center"/>
          </w:tcPr>
          <w:p>
            <w:r>
              <w:rPr>
                <w:sz w:val="20"/>
                <w:szCs w:val="20"/>
              </w:rPr>
              <w:t xml:space="preserve">8</w:t>
            </w:r>
          </w:p>
        </w:tc>
        <w:tc>
          <w:tcPr>
            <w:tcW w:type="dxa" w:w="5423"/>
            <w:tcMar>
              <w:top w:type="dxa" w:w="70"/>
              <w:left w:type="dxa" w:w="100"/>
              <w:bottom w:type="dxa" w:w="70"/>
              <w:right w:type="dxa" w:w="100"/>
            </w:tcMar>
            <w:vAlign w:val="center"/>
          </w:tcPr>
          <w:p>
            <w:r>
              <w:rPr>
                <w:sz w:val="20"/>
                <w:szCs w:val="20"/>
              </w:rPr>
              <w:t xml:space="preserve">Garage Area</w:t>
            </w:r>
          </w:p>
        </w:tc>
        <w:tc>
          <w:tcPr>
            <w:tcW w:type="dxa" w:w="2805"/>
            <w:tcMar>
              <w:top w:type="dxa" w:w="70"/>
              <w:left w:type="dxa" w:w="100"/>
              <w:bottom w:type="dxa" w:w="70"/>
              <w:right w:type="dxa" w:w="100"/>
            </w:tcMar>
            <w:vAlign w:val="center"/>
          </w:tcPr>
          <w:p>
            <w:r>
              <w:rPr>
                <w:sz w:val="20"/>
                <w:szCs w:val="20"/>
              </w:rPr>
              <w:t xml:space="preserve">0.644</w:t>
            </w:r>
          </w:p>
        </w:tc>
      </w:tr>
      <w:tr>
        <w:tc>
          <w:tcPr>
            <w:tcW w:type="dxa" w:w="1122"/>
            <w:shd w:fill="F2F6F8" w:color="auto" w:val="clear"/>
            <w:tcMar>
              <w:top w:type="dxa" w:w="70"/>
              <w:left w:type="dxa" w:w="100"/>
              <w:bottom w:type="dxa" w:w="70"/>
              <w:right w:type="dxa" w:w="100"/>
            </w:tcMar>
            <w:vAlign w:val="center"/>
          </w:tcPr>
          <w:p>
            <w:r>
              <w:rPr>
                <w:sz w:val="20"/>
                <w:szCs w:val="20"/>
              </w:rPr>
              <w:t xml:space="preserve">9</w:t>
            </w:r>
          </w:p>
        </w:tc>
        <w:tc>
          <w:tcPr>
            <w:tcW w:type="dxa" w:w="5423"/>
            <w:shd w:fill="F2F6F8" w:color="auto" w:val="clear"/>
            <w:tcMar>
              <w:top w:type="dxa" w:w="70"/>
              <w:left w:type="dxa" w:w="100"/>
              <w:bottom w:type="dxa" w:w="70"/>
              <w:right w:type="dxa" w:w="100"/>
            </w:tcMar>
            <w:vAlign w:val="center"/>
          </w:tcPr>
          <w:p>
            <w:r>
              <w:rPr>
                <w:sz w:val="20"/>
                <w:szCs w:val="20"/>
              </w:rPr>
              <w:t xml:space="preserve">Total Bath (new)</w:t>
            </w:r>
          </w:p>
        </w:tc>
        <w:tc>
          <w:tcPr>
            <w:tcW w:type="dxa" w:w="2805"/>
            <w:shd w:fill="F2F6F8" w:color="auto" w:val="clear"/>
            <w:tcMar>
              <w:top w:type="dxa" w:w="70"/>
              <w:left w:type="dxa" w:w="100"/>
              <w:bottom w:type="dxa" w:w="70"/>
              <w:right w:type="dxa" w:w="100"/>
            </w:tcMar>
            <w:vAlign w:val="center"/>
          </w:tcPr>
          <w:p>
            <w:r>
              <w:rPr>
                <w:sz w:val="20"/>
                <w:szCs w:val="20"/>
              </w:rPr>
              <w:t xml:space="preserve">0.639</w:t>
            </w:r>
          </w:p>
        </w:tc>
      </w:tr>
      <w:tr>
        <w:tc>
          <w:tcPr>
            <w:tcW w:type="dxa" w:w="1122"/>
            <w:tcMar>
              <w:top w:type="dxa" w:w="70"/>
              <w:left w:type="dxa" w:w="100"/>
              <w:bottom w:type="dxa" w:w="70"/>
              <w:right w:type="dxa" w:w="100"/>
            </w:tcMar>
            <w:vAlign w:val="center"/>
          </w:tcPr>
          <w:p>
            <w:r>
              <w:rPr>
                <w:sz w:val="20"/>
                <w:szCs w:val="20"/>
              </w:rPr>
              <w:t xml:space="preserve">10</w:t>
            </w:r>
          </w:p>
        </w:tc>
        <w:tc>
          <w:tcPr>
            <w:tcW w:type="dxa" w:w="5423"/>
            <w:tcMar>
              <w:top w:type="dxa" w:w="70"/>
              <w:left w:type="dxa" w:w="100"/>
              <w:bottom w:type="dxa" w:w="70"/>
              <w:right w:type="dxa" w:w="100"/>
            </w:tcMar>
            <w:vAlign w:val="center"/>
          </w:tcPr>
          <w:p>
            <w:r>
              <w:rPr>
                <w:sz w:val="20"/>
                <w:szCs w:val="20"/>
              </w:rPr>
              <w:t xml:space="preserve">1st Flr SF</w:t>
            </w:r>
          </w:p>
        </w:tc>
        <w:tc>
          <w:tcPr>
            <w:tcW w:type="dxa" w:w="2805"/>
            <w:tcMar>
              <w:top w:type="dxa" w:w="70"/>
              <w:left w:type="dxa" w:w="100"/>
              <w:bottom w:type="dxa" w:w="70"/>
              <w:right w:type="dxa" w:w="100"/>
            </w:tcMar>
            <w:vAlign w:val="center"/>
          </w:tcPr>
          <w:p>
            <w:r>
              <w:rPr>
                <w:sz w:val="20"/>
                <w:szCs w:val="20"/>
              </w:rPr>
              <w:t xml:space="preserve">0.611</w:t>
            </w:r>
          </w:p>
        </w:tc>
      </w:tr>
    </w:tbl>
    <w:p>
      <w:pPr>
        <w:spacing w:after="120"/>
      </w:pPr>
    </w:p>
    <w:p>
      <w:pPr>
        <w:spacing w:after="160" w:line="300"/>
      </w:pPr>
      <w:r>
        <w:t xml:space="preserve">Notably, the engineered feature Total SF achieved the highest correlation of all (0.832) — even higher than any of its original component features (Total Bsmt SF, 1st Flr SF, etc.) — demonstrating that the feature engineering process was effective.</w:t>
      </w:r>
    </w:p>
    <w:p>
      <w:r>
        <w:br w:type="page"/>
      </w:r>
    </w:p>
    <w:p>
      <w:pPr>
        <w:pStyle w:val="Heading1"/>
        <w:spacing w:after="180" w:before="360"/>
      </w:pPr>
      <w:r>
        <w:rPr>
          <w:b/>
          <w:bCs/>
        </w:rPr>
        <w:t xml:space="preserve">08. Train/Test Split and Feature Scaling</w:t>
      </w:r>
    </w:p>
    <w:p>
      <w:pPr>
        <w:pBdr>
          <w:bottom w:val="single" w:color="AAAAAA" w:sz="6" w:space="1"/>
        </w:pBdr>
        <w:spacing w:after="200"/>
      </w:pPr>
    </w:p>
    <w:p>
      <w:pPr>
        <w:pStyle w:val="Heading2"/>
        <w:spacing w:after="140" w:before="260"/>
      </w:pPr>
      <w:r>
        <w:rPr>
          <w:b/>
          <w:bCs/>
        </w:rPr>
        <w:t xml:space="preserve">8.1 Train/Test Split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5"/>
            <w:shd w:fill="1F4E5F" w:color="auto" w:val="clear"/>
            <w:tcMar>
              <w:top w:type="dxa" w:w="80"/>
              <w:left w:type="dxa" w:w="100"/>
              <w:bottom w:type="dxa" w:w="80"/>
              <w:right w:type="dxa" w:w="100"/>
            </w:tcMar>
            <w:vAlign w:val="center"/>
          </w:tcPr>
          <w:p>
            <w:r>
              <w:rPr>
                <w:b/>
                <w:bCs/>
                <w:color w:val="FFFFFF"/>
                <w:sz w:val="20"/>
                <w:szCs w:val="20"/>
              </w:rPr>
              <w:t xml:space="preserve">Set</w:t>
            </w:r>
          </w:p>
        </w:tc>
        <w:tc>
          <w:tcPr>
            <w:tcW w:type="dxa" w:w="3740"/>
            <w:shd w:fill="1F4E5F" w:color="auto" w:val="clear"/>
            <w:tcMar>
              <w:top w:type="dxa" w:w="80"/>
              <w:left w:type="dxa" w:w="100"/>
              <w:bottom w:type="dxa" w:w="80"/>
              <w:right w:type="dxa" w:w="100"/>
            </w:tcMar>
            <w:vAlign w:val="center"/>
          </w:tcPr>
          <w:p>
            <w:r>
              <w:rPr>
                <w:b/>
                <w:bCs/>
                <w:color w:val="FFFFFF"/>
                <w:sz w:val="20"/>
                <w:szCs w:val="20"/>
              </w:rPr>
              <w:t xml:space="preserve">Shape</w:t>
            </w:r>
          </w:p>
        </w:tc>
        <w:tc>
          <w:tcPr>
            <w:tcW w:type="dxa" w:w="2805"/>
            <w:shd w:fill="1F4E5F" w:color="auto" w:val="clear"/>
            <w:tcMar>
              <w:top w:type="dxa" w:w="80"/>
              <w:left w:type="dxa" w:w="100"/>
              <w:bottom w:type="dxa" w:w="80"/>
              <w:right w:type="dxa" w:w="100"/>
            </w:tcMar>
            <w:vAlign w:val="center"/>
          </w:tcPr>
          <w:p>
            <w:r>
              <w:rPr>
                <w:b/>
                <w:bCs/>
                <w:color w:val="FFFFFF"/>
                <w:sz w:val="20"/>
                <w:szCs w:val="20"/>
              </w:rPr>
              <w:t xml:space="preserve">Percentage</w:t>
            </w:r>
          </w:p>
        </w:tc>
      </w:tr>
      <w:tr>
        <w:tc>
          <w:tcPr>
            <w:tcW w:type="dxa" w:w="2805"/>
            <w:shd w:fill="F2F6F8" w:color="auto" w:val="clear"/>
            <w:tcMar>
              <w:top w:type="dxa" w:w="70"/>
              <w:left w:type="dxa" w:w="100"/>
              <w:bottom w:type="dxa" w:w="70"/>
              <w:right w:type="dxa" w:w="100"/>
            </w:tcMar>
            <w:vAlign w:val="center"/>
          </w:tcPr>
          <w:p>
            <w:r>
              <w:rPr>
                <w:sz w:val="20"/>
                <w:szCs w:val="20"/>
              </w:rPr>
              <w:t xml:space="preserve">X_train</w:t>
            </w:r>
          </w:p>
        </w:tc>
        <w:tc>
          <w:tcPr>
            <w:tcW w:type="dxa" w:w="3740"/>
            <w:shd w:fill="F2F6F8" w:color="auto" w:val="clear"/>
            <w:tcMar>
              <w:top w:type="dxa" w:w="70"/>
              <w:left w:type="dxa" w:w="100"/>
              <w:bottom w:type="dxa" w:w="70"/>
              <w:right w:type="dxa" w:w="100"/>
            </w:tcMar>
            <w:vAlign w:val="center"/>
          </w:tcPr>
          <w:p>
            <w:r>
              <w:rPr>
                <w:sz w:val="20"/>
                <w:szCs w:val="20"/>
              </w:rPr>
              <w:t xml:space="preserve">(2341, 30)</w:t>
            </w:r>
          </w:p>
        </w:tc>
        <w:tc>
          <w:tcPr>
            <w:tcW w:type="dxa" w:w="2805"/>
            <w:shd w:fill="F2F6F8" w:color="auto" w:val="clear"/>
            <w:tcMar>
              <w:top w:type="dxa" w:w="70"/>
              <w:left w:type="dxa" w:w="100"/>
              <w:bottom w:type="dxa" w:w="70"/>
              <w:right w:type="dxa" w:w="100"/>
            </w:tcMar>
            <w:vAlign w:val="center"/>
          </w:tcPr>
          <w:p>
            <w:r>
              <w:rPr>
                <w:sz w:val="20"/>
                <w:szCs w:val="20"/>
              </w:rPr>
              <w:t xml:space="preserve">80%</w:t>
            </w:r>
          </w:p>
        </w:tc>
      </w:tr>
      <w:tr>
        <w:tc>
          <w:tcPr>
            <w:tcW w:type="dxa" w:w="2805"/>
            <w:tcMar>
              <w:top w:type="dxa" w:w="70"/>
              <w:left w:type="dxa" w:w="100"/>
              <w:bottom w:type="dxa" w:w="70"/>
              <w:right w:type="dxa" w:w="100"/>
            </w:tcMar>
            <w:vAlign w:val="center"/>
          </w:tcPr>
          <w:p>
            <w:r>
              <w:rPr>
                <w:sz w:val="20"/>
                <w:szCs w:val="20"/>
              </w:rPr>
              <w:t xml:space="preserve">X_test</w:t>
            </w:r>
          </w:p>
        </w:tc>
        <w:tc>
          <w:tcPr>
            <w:tcW w:type="dxa" w:w="3740"/>
            <w:tcMar>
              <w:top w:type="dxa" w:w="70"/>
              <w:left w:type="dxa" w:w="100"/>
              <w:bottom w:type="dxa" w:w="70"/>
              <w:right w:type="dxa" w:w="100"/>
            </w:tcMar>
            <w:vAlign w:val="center"/>
          </w:tcPr>
          <w:p>
            <w:r>
              <w:rPr>
                <w:sz w:val="20"/>
                <w:szCs w:val="20"/>
              </w:rPr>
              <w:t xml:space="preserve">(586, 30)</w:t>
            </w:r>
          </w:p>
        </w:tc>
        <w:tc>
          <w:tcPr>
            <w:tcW w:type="dxa" w:w="2805"/>
            <w:tcMar>
              <w:top w:type="dxa" w:w="70"/>
              <w:left w:type="dxa" w:w="100"/>
              <w:bottom w:type="dxa" w:w="70"/>
              <w:right w:type="dxa" w:w="100"/>
            </w:tcMar>
            <w:vAlign w:val="center"/>
          </w:tcPr>
          <w:p>
            <w:r>
              <w:rPr>
                <w:sz w:val="20"/>
                <w:szCs w:val="20"/>
              </w:rPr>
              <w:t xml:space="preserve">20%</w:t>
            </w:r>
          </w:p>
        </w:tc>
      </w:tr>
    </w:tbl>
    <w:p>
      <w:pPr>
        <w:spacing w:after="140"/>
      </w:pPr>
    </w:p>
    <w:p>
      <w:pPr>
        <w:spacing w:after="160" w:line="300"/>
      </w:pPr>
      <w:r>
        <w:t xml:space="preserve">random_state=42 was used to ensure results are reproducible.</w:t>
      </w:r>
    </w:p>
    <w:p>
      <w:pPr>
        <w:pStyle w:val="Heading2"/>
        <w:spacing w:after="140" w:before="260"/>
      </w:pPr>
      <w:r>
        <w:rPr>
          <w:b/>
          <w:bCs/>
        </w:rPr>
        <w:t xml:space="preserve">8.2 Model-Aware Feature Scaling</w:t>
      </w:r>
    </w:p>
    <w:p>
      <w:pPr>
        <w:spacing w:after="40" w:before="120"/>
        <w:jc w:val="center"/>
      </w:pPr>
      <w:r>
        <w:drawing>
          <wp:inline distT="0" distB="0" distL="0" distR="0">
            <wp:extent cx="484822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848225" cy="3571875"/>
                    </a:xfrm>
                    <a:prstGeom prst="rect">
                      <a:avLst/>
                    </a:prstGeom>
                  </pic:spPr>
                </pic:pic>
              </a:graphicData>
            </a:graphic>
          </wp:inline>
        </w:drawing>
      </w:r>
    </w:p>
    <w:p>
      <w:pPr>
        <w:spacing w:after="260" w:before="60"/>
        <w:jc w:val="center"/>
      </w:pPr>
      <w:r>
        <w:rPr>
          <w:i/>
          <w:iCs/>
          <w:color w:val="555555"/>
          <w:sz w:val="20"/>
          <w:szCs w:val="20"/>
        </w:rPr>
        <w:t xml:space="preserve">Figure 12: Feature distributions before and after scaling</w:t>
      </w:r>
    </w:p>
    <w:p>
      <w:pPr>
        <w:spacing w:after="160" w:line="300"/>
      </w:pPr>
      <w:r>
        <w:t xml:space="preserve">Interpretation: Given the vast difference in magnitude between features such as Lot Area (order of 10⁵) and Overall Qual (order of 10⁰), a StandardScaler was applied to transform all features to mean=0, std=1 — but only for scale-sensitive models (Linear Regression, Ridge, Lasso). Tree-based models (Random Forest, Gradient Boosting, XGBoost) were trained on unscaled data, since these models split on thresholds and do not require scaling. To avoid data leakage, the scaler was fit only on the training data, and only transformed (not re-fit) on the test data.</w:t>
      </w:r>
    </w:p>
    <w:p>
      <w:r>
        <w:br w:type="page"/>
      </w:r>
    </w:p>
    <w:p>
      <w:pPr>
        <w:pStyle w:val="Heading1"/>
        <w:spacing w:after="180" w:before="360"/>
      </w:pPr>
      <w:r>
        <w:rPr>
          <w:b/>
          <w:bCs/>
        </w:rPr>
        <w:t xml:space="preserve">09. Model Training and Comparative Evaluation</w:t>
      </w:r>
    </w:p>
    <w:p>
      <w:pPr>
        <w:pBdr>
          <w:bottom w:val="single" w:color="AAAAAA" w:sz="6" w:space="1"/>
        </w:pBdr>
        <w:spacing w:after="200"/>
      </w:pPr>
    </w:p>
    <w:p>
      <w:pPr>
        <w:spacing w:after="160" w:line="300"/>
      </w:pPr>
      <w:r>
        <w:t xml:space="preserve">Six regression models were trained and tested in total: Linear Regression, Ridge, and Lasso (on scaled data), and Random Forest, Gradient Boosting, and XGBoost (on unscaled data).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618"/>
            <w:shd w:fill="1F4E5F" w:color="auto" w:val="clear"/>
            <w:tcMar>
              <w:top w:type="dxa" w:w="80"/>
              <w:left w:type="dxa" w:w="100"/>
              <w:bottom w:type="dxa" w:w="80"/>
              <w:right w:type="dxa" w:w="100"/>
            </w:tcMar>
            <w:vAlign w:val="center"/>
          </w:tcPr>
          <w:p>
            <w:r>
              <w:rPr>
                <w:b/>
                <w:bCs/>
                <w:color w:val="FFFFFF"/>
                <w:sz w:val="20"/>
                <w:szCs w:val="20"/>
              </w:rPr>
              <w:t xml:space="preserve">Model</w:t>
            </w:r>
          </w:p>
        </w:tc>
        <w:tc>
          <w:tcPr>
            <w:tcW w:type="dxa" w:w="1403"/>
            <w:shd w:fill="1F4E5F" w:color="auto" w:val="clear"/>
            <w:tcMar>
              <w:top w:type="dxa" w:w="80"/>
              <w:left w:type="dxa" w:w="100"/>
              <w:bottom w:type="dxa" w:w="80"/>
              <w:right w:type="dxa" w:w="100"/>
            </w:tcMar>
            <w:vAlign w:val="center"/>
          </w:tcPr>
          <w:p>
            <w:r>
              <w:rPr>
                <w:b/>
                <w:bCs/>
                <w:color w:val="FFFFFF"/>
                <w:sz w:val="20"/>
                <w:szCs w:val="20"/>
              </w:rPr>
              <w:t xml:space="preserve">Scaling</w:t>
            </w:r>
          </w:p>
        </w:tc>
        <w:tc>
          <w:tcPr>
            <w:tcW w:type="dxa" w:w="1777"/>
            <w:shd w:fill="1F4E5F" w:color="auto" w:val="clear"/>
            <w:tcMar>
              <w:top w:type="dxa" w:w="80"/>
              <w:left w:type="dxa" w:w="100"/>
              <w:bottom w:type="dxa" w:w="80"/>
              <w:right w:type="dxa" w:w="100"/>
            </w:tcMar>
            <w:vAlign w:val="center"/>
          </w:tcPr>
          <w:p>
            <w:r>
              <w:rPr>
                <w:b/>
                <w:bCs/>
                <w:color w:val="FFFFFF"/>
                <w:sz w:val="20"/>
                <w:szCs w:val="20"/>
              </w:rPr>
              <w:t xml:space="preserve">MAE</w:t>
            </w:r>
          </w:p>
        </w:tc>
        <w:tc>
          <w:tcPr>
            <w:tcW w:type="dxa" w:w="1777"/>
            <w:shd w:fill="1F4E5F" w:color="auto" w:val="clear"/>
            <w:tcMar>
              <w:top w:type="dxa" w:w="80"/>
              <w:left w:type="dxa" w:w="100"/>
              <w:bottom w:type="dxa" w:w="80"/>
              <w:right w:type="dxa" w:w="100"/>
            </w:tcMar>
            <w:vAlign w:val="center"/>
          </w:tcPr>
          <w:p>
            <w:r>
              <w:rPr>
                <w:b/>
                <w:bCs/>
                <w:color w:val="FFFFFF"/>
                <w:sz w:val="20"/>
                <w:szCs w:val="20"/>
              </w:rPr>
              <w:t xml:space="preserve">RMSE</w:t>
            </w:r>
          </w:p>
        </w:tc>
        <w:tc>
          <w:tcPr>
            <w:tcW w:type="dxa" w:w="1777"/>
            <w:shd w:fill="1F4E5F" w:color="auto" w:val="clear"/>
            <w:tcMar>
              <w:top w:type="dxa" w:w="80"/>
              <w:left w:type="dxa" w:w="100"/>
              <w:bottom w:type="dxa" w:w="80"/>
              <w:right w:type="dxa" w:w="100"/>
            </w:tcMar>
            <w:vAlign w:val="center"/>
          </w:tcPr>
          <w:p>
            <w:r>
              <w:rPr>
                <w:b/>
                <w:bCs/>
                <w:color w:val="FFFFFF"/>
                <w:sz w:val="20"/>
                <w:szCs w:val="20"/>
              </w:rPr>
              <w:t xml:space="preserve">R²</w:t>
            </w:r>
          </w:p>
        </w:tc>
      </w:tr>
      <w:tr>
        <w:tc>
          <w:tcPr>
            <w:tcW w:type="dxa" w:w="2618"/>
            <w:shd w:fill="F2F6F8" w:color="auto" w:val="clear"/>
            <w:tcMar>
              <w:top w:type="dxa" w:w="70"/>
              <w:left w:type="dxa" w:w="100"/>
              <w:bottom w:type="dxa" w:w="70"/>
              <w:right w:type="dxa" w:w="100"/>
            </w:tcMar>
            <w:vAlign w:val="center"/>
          </w:tcPr>
          <w:p>
            <w:r>
              <w:rPr>
                <w:sz w:val="20"/>
                <w:szCs w:val="20"/>
              </w:rPr>
              <w:t xml:space="preserve">Gradient Boosting 🏆</w:t>
            </w:r>
          </w:p>
        </w:tc>
        <w:tc>
          <w:tcPr>
            <w:tcW w:type="dxa" w:w="1403"/>
            <w:shd w:fill="F2F6F8" w:color="auto" w:val="clear"/>
            <w:tcMar>
              <w:top w:type="dxa" w:w="70"/>
              <w:left w:type="dxa" w:w="100"/>
              <w:bottom w:type="dxa" w:w="70"/>
              <w:right w:type="dxa" w:w="100"/>
            </w:tcMar>
            <w:vAlign w:val="center"/>
          </w:tcPr>
          <w:p>
            <w:r>
              <w:rPr>
                <w:sz w:val="20"/>
                <w:szCs w:val="20"/>
              </w:rPr>
              <w:t xml:space="preserve">No</w:t>
            </w:r>
          </w:p>
        </w:tc>
        <w:tc>
          <w:tcPr>
            <w:tcW w:type="dxa" w:w="1777"/>
            <w:shd w:fill="F2F6F8" w:color="auto" w:val="clear"/>
            <w:tcMar>
              <w:top w:type="dxa" w:w="70"/>
              <w:left w:type="dxa" w:w="100"/>
              <w:bottom w:type="dxa" w:w="70"/>
              <w:right w:type="dxa" w:w="100"/>
            </w:tcMar>
            <w:vAlign w:val="center"/>
          </w:tcPr>
          <w:p>
            <w:r>
              <w:rPr>
                <w:sz w:val="20"/>
                <w:szCs w:val="20"/>
              </w:rPr>
              <w:t xml:space="preserve">$14,974.94</w:t>
            </w:r>
          </w:p>
        </w:tc>
        <w:tc>
          <w:tcPr>
            <w:tcW w:type="dxa" w:w="1777"/>
            <w:shd w:fill="F2F6F8" w:color="auto" w:val="clear"/>
            <w:tcMar>
              <w:top w:type="dxa" w:w="70"/>
              <w:left w:type="dxa" w:w="100"/>
              <w:bottom w:type="dxa" w:w="70"/>
              <w:right w:type="dxa" w:w="100"/>
            </w:tcMar>
            <w:vAlign w:val="center"/>
          </w:tcPr>
          <w:p>
            <w:r>
              <w:rPr>
                <w:sz w:val="20"/>
                <w:szCs w:val="20"/>
              </w:rPr>
              <w:t xml:space="preserve">$21,738.16</w:t>
            </w:r>
          </w:p>
        </w:tc>
        <w:tc>
          <w:tcPr>
            <w:tcW w:type="dxa" w:w="1777"/>
            <w:shd w:fill="F2F6F8" w:color="auto" w:val="clear"/>
            <w:tcMar>
              <w:top w:type="dxa" w:w="70"/>
              <w:left w:type="dxa" w:w="100"/>
              <w:bottom w:type="dxa" w:w="70"/>
              <w:right w:type="dxa" w:w="100"/>
            </w:tcMar>
            <w:vAlign w:val="center"/>
          </w:tcPr>
          <w:p>
            <w:r>
              <w:rPr>
                <w:sz w:val="20"/>
                <w:szCs w:val="20"/>
              </w:rPr>
              <w:t xml:space="preserve">0.9414</w:t>
            </w:r>
          </w:p>
        </w:tc>
      </w:tr>
      <w:tr>
        <w:tc>
          <w:tcPr>
            <w:tcW w:type="dxa" w:w="2618"/>
            <w:tcMar>
              <w:top w:type="dxa" w:w="70"/>
              <w:left w:type="dxa" w:w="100"/>
              <w:bottom w:type="dxa" w:w="70"/>
              <w:right w:type="dxa" w:w="100"/>
            </w:tcMar>
            <w:vAlign w:val="center"/>
          </w:tcPr>
          <w:p>
            <w:r>
              <w:rPr>
                <w:sz w:val="20"/>
                <w:szCs w:val="20"/>
              </w:rPr>
              <w:t xml:space="preserve">Random Forest</w:t>
            </w:r>
          </w:p>
        </w:tc>
        <w:tc>
          <w:tcPr>
            <w:tcW w:type="dxa" w:w="1403"/>
            <w:tcMar>
              <w:top w:type="dxa" w:w="70"/>
              <w:left w:type="dxa" w:w="100"/>
              <w:bottom w:type="dxa" w:w="70"/>
              <w:right w:type="dxa" w:w="100"/>
            </w:tcMar>
            <w:vAlign w:val="center"/>
          </w:tcPr>
          <w:p>
            <w:r>
              <w:rPr>
                <w:sz w:val="20"/>
                <w:szCs w:val="20"/>
              </w:rPr>
              <w:t xml:space="preserve">No</w:t>
            </w:r>
          </w:p>
        </w:tc>
        <w:tc>
          <w:tcPr>
            <w:tcW w:type="dxa" w:w="1777"/>
            <w:tcMar>
              <w:top w:type="dxa" w:w="70"/>
              <w:left w:type="dxa" w:w="100"/>
              <w:bottom w:type="dxa" w:w="70"/>
              <w:right w:type="dxa" w:w="100"/>
            </w:tcMar>
            <w:vAlign w:val="center"/>
          </w:tcPr>
          <w:p>
            <w:r>
              <w:rPr>
                <w:sz w:val="20"/>
                <w:szCs w:val="20"/>
              </w:rPr>
              <w:t xml:space="preserve">$15,191.81</w:t>
            </w:r>
          </w:p>
        </w:tc>
        <w:tc>
          <w:tcPr>
            <w:tcW w:type="dxa" w:w="1777"/>
            <w:tcMar>
              <w:top w:type="dxa" w:w="70"/>
              <w:left w:type="dxa" w:w="100"/>
              <w:bottom w:type="dxa" w:w="70"/>
              <w:right w:type="dxa" w:w="100"/>
            </w:tcMar>
            <w:vAlign w:val="center"/>
          </w:tcPr>
          <w:p>
            <w:r>
              <w:rPr>
                <w:sz w:val="20"/>
                <w:szCs w:val="20"/>
              </w:rPr>
              <w:t xml:space="preserve">$23,416.65</w:t>
            </w:r>
          </w:p>
        </w:tc>
        <w:tc>
          <w:tcPr>
            <w:tcW w:type="dxa" w:w="1777"/>
            <w:tcMar>
              <w:top w:type="dxa" w:w="70"/>
              <w:left w:type="dxa" w:w="100"/>
              <w:bottom w:type="dxa" w:w="70"/>
              <w:right w:type="dxa" w:w="100"/>
            </w:tcMar>
            <w:vAlign w:val="center"/>
          </w:tcPr>
          <w:p>
            <w:r>
              <w:rPr>
                <w:sz w:val="20"/>
                <w:szCs w:val="20"/>
              </w:rPr>
              <w:t xml:space="preserve">0.9320</w:t>
            </w:r>
          </w:p>
        </w:tc>
      </w:tr>
      <w:tr>
        <w:tc>
          <w:tcPr>
            <w:tcW w:type="dxa" w:w="2618"/>
            <w:shd w:fill="F2F6F8" w:color="auto" w:val="clear"/>
            <w:tcMar>
              <w:top w:type="dxa" w:w="70"/>
              <w:left w:type="dxa" w:w="100"/>
              <w:bottom w:type="dxa" w:w="70"/>
              <w:right w:type="dxa" w:w="100"/>
            </w:tcMar>
            <w:vAlign w:val="center"/>
          </w:tcPr>
          <w:p>
            <w:r>
              <w:rPr>
                <w:sz w:val="20"/>
                <w:szCs w:val="20"/>
              </w:rPr>
              <w:t xml:space="preserve">XGBoost</w:t>
            </w:r>
          </w:p>
        </w:tc>
        <w:tc>
          <w:tcPr>
            <w:tcW w:type="dxa" w:w="1403"/>
            <w:shd w:fill="F2F6F8" w:color="auto" w:val="clear"/>
            <w:tcMar>
              <w:top w:type="dxa" w:w="70"/>
              <w:left w:type="dxa" w:w="100"/>
              <w:bottom w:type="dxa" w:w="70"/>
              <w:right w:type="dxa" w:w="100"/>
            </w:tcMar>
            <w:vAlign w:val="center"/>
          </w:tcPr>
          <w:p>
            <w:r>
              <w:rPr>
                <w:sz w:val="20"/>
                <w:szCs w:val="20"/>
              </w:rPr>
              <w:t xml:space="preserve">No</w:t>
            </w:r>
          </w:p>
        </w:tc>
        <w:tc>
          <w:tcPr>
            <w:tcW w:type="dxa" w:w="1777"/>
            <w:shd w:fill="F2F6F8" w:color="auto" w:val="clear"/>
            <w:tcMar>
              <w:top w:type="dxa" w:w="70"/>
              <w:left w:type="dxa" w:w="100"/>
              <w:bottom w:type="dxa" w:w="70"/>
              <w:right w:type="dxa" w:w="100"/>
            </w:tcMar>
            <w:vAlign w:val="center"/>
          </w:tcPr>
          <w:p>
            <w:r>
              <w:rPr>
                <w:sz w:val="20"/>
                <w:szCs w:val="20"/>
              </w:rPr>
              <w:t xml:space="preserve">$17,244.79</w:t>
            </w:r>
          </w:p>
        </w:tc>
        <w:tc>
          <w:tcPr>
            <w:tcW w:type="dxa" w:w="1777"/>
            <w:shd w:fill="F2F6F8" w:color="auto" w:val="clear"/>
            <w:tcMar>
              <w:top w:type="dxa" w:w="70"/>
              <w:left w:type="dxa" w:w="100"/>
              <w:bottom w:type="dxa" w:w="70"/>
              <w:right w:type="dxa" w:w="100"/>
            </w:tcMar>
            <w:vAlign w:val="center"/>
          </w:tcPr>
          <w:p>
            <w:r>
              <w:rPr>
                <w:sz w:val="20"/>
                <w:szCs w:val="20"/>
              </w:rPr>
              <w:t xml:space="preserve">$25,502.23</w:t>
            </w:r>
          </w:p>
        </w:tc>
        <w:tc>
          <w:tcPr>
            <w:tcW w:type="dxa" w:w="1777"/>
            <w:shd w:fill="F2F6F8" w:color="auto" w:val="clear"/>
            <w:tcMar>
              <w:top w:type="dxa" w:w="70"/>
              <w:left w:type="dxa" w:w="100"/>
              <w:bottom w:type="dxa" w:w="70"/>
              <w:right w:type="dxa" w:w="100"/>
            </w:tcMar>
            <w:vAlign w:val="center"/>
          </w:tcPr>
          <w:p>
            <w:r>
              <w:rPr>
                <w:sz w:val="20"/>
                <w:szCs w:val="20"/>
              </w:rPr>
              <w:t xml:space="preserve">0.9193</w:t>
            </w:r>
          </w:p>
        </w:tc>
      </w:tr>
      <w:tr>
        <w:tc>
          <w:tcPr>
            <w:tcW w:type="dxa" w:w="2618"/>
            <w:tcMar>
              <w:top w:type="dxa" w:w="70"/>
              <w:left w:type="dxa" w:w="100"/>
              <w:bottom w:type="dxa" w:w="70"/>
              <w:right w:type="dxa" w:w="100"/>
            </w:tcMar>
            <w:vAlign w:val="center"/>
          </w:tcPr>
          <w:p>
            <w:r>
              <w:rPr>
                <w:sz w:val="20"/>
                <w:szCs w:val="20"/>
              </w:rPr>
              <w:t xml:space="preserve">Lasso</w:t>
            </w:r>
          </w:p>
        </w:tc>
        <w:tc>
          <w:tcPr>
            <w:tcW w:type="dxa" w:w="1403"/>
            <w:tcMar>
              <w:top w:type="dxa" w:w="70"/>
              <w:left w:type="dxa" w:w="100"/>
              <w:bottom w:type="dxa" w:w="70"/>
              <w:right w:type="dxa" w:w="100"/>
            </w:tcMar>
            <w:vAlign w:val="center"/>
          </w:tcPr>
          <w:p>
            <w:r>
              <w:rPr>
                <w:sz w:val="20"/>
                <w:szCs w:val="20"/>
              </w:rPr>
              <w:t xml:space="preserve">Yes</w:t>
            </w:r>
          </w:p>
        </w:tc>
        <w:tc>
          <w:tcPr>
            <w:tcW w:type="dxa" w:w="1777"/>
            <w:tcMar>
              <w:top w:type="dxa" w:w="70"/>
              <w:left w:type="dxa" w:w="100"/>
              <w:bottom w:type="dxa" w:w="70"/>
              <w:right w:type="dxa" w:w="100"/>
            </w:tcMar>
            <w:vAlign w:val="center"/>
          </w:tcPr>
          <w:p>
            <w:r>
              <w:rPr>
                <w:sz w:val="20"/>
                <w:szCs w:val="20"/>
              </w:rPr>
              <w:t xml:space="preserve">$20,180.00</w:t>
            </w:r>
          </w:p>
        </w:tc>
        <w:tc>
          <w:tcPr>
            <w:tcW w:type="dxa" w:w="1777"/>
            <w:tcMar>
              <w:top w:type="dxa" w:w="70"/>
              <w:left w:type="dxa" w:w="100"/>
              <w:bottom w:type="dxa" w:w="70"/>
              <w:right w:type="dxa" w:w="100"/>
            </w:tcMar>
            <w:vAlign w:val="center"/>
          </w:tcPr>
          <w:p>
            <w:r>
              <w:rPr>
                <w:sz w:val="20"/>
                <w:szCs w:val="20"/>
              </w:rPr>
              <w:t xml:space="preserve">$29,932.45</w:t>
            </w:r>
          </w:p>
        </w:tc>
        <w:tc>
          <w:tcPr>
            <w:tcW w:type="dxa" w:w="1777"/>
            <w:tcMar>
              <w:top w:type="dxa" w:w="70"/>
              <w:left w:type="dxa" w:w="100"/>
              <w:bottom w:type="dxa" w:w="70"/>
              <w:right w:type="dxa" w:w="100"/>
            </w:tcMar>
            <w:vAlign w:val="center"/>
          </w:tcPr>
          <w:p>
            <w:r>
              <w:rPr>
                <w:sz w:val="20"/>
                <w:szCs w:val="20"/>
              </w:rPr>
              <w:t xml:space="preserve">0.8888</w:t>
            </w:r>
          </w:p>
        </w:tc>
      </w:tr>
      <w:tr>
        <w:tc>
          <w:tcPr>
            <w:tcW w:type="dxa" w:w="2618"/>
            <w:shd w:fill="F2F6F8" w:color="auto" w:val="clear"/>
            <w:tcMar>
              <w:top w:type="dxa" w:w="70"/>
              <w:left w:type="dxa" w:w="100"/>
              <w:bottom w:type="dxa" w:w="70"/>
              <w:right w:type="dxa" w:w="100"/>
            </w:tcMar>
            <w:vAlign w:val="center"/>
          </w:tcPr>
          <w:p>
            <w:r>
              <w:rPr>
                <w:sz w:val="20"/>
                <w:szCs w:val="20"/>
              </w:rPr>
              <w:t xml:space="preserve">Linear Regression</w:t>
            </w:r>
          </w:p>
        </w:tc>
        <w:tc>
          <w:tcPr>
            <w:tcW w:type="dxa" w:w="1403"/>
            <w:shd w:fill="F2F6F8" w:color="auto" w:val="clear"/>
            <w:tcMar>
              <w:top w:type="dxa" w:w="70"/>
              <w:left w:type="dxa" w:w="100"/>
              <w:bottom w:type="dxa" w:w="70"/>
              <w:right w:type="dxa" w:w="100"/>
            </w:tcMar>
            <w:vAlign w:val="center"/>
          </w:tcPr>
          <w:p>
            <w:r>
              <w:rPr>
                <w:sz w:val="20"/>
                <w:szCs w:val="20"/>
              </w:rPr>
              <w:t xml:space="preserve">Yes</w:t>
            </w:r>
          </w:p>
        </w:tc>
        <w:tc>
          <w:tcPr>
            <w:tcW w:type="dxa" w:w="1777"/>
            <w:shd w:fill="F2F6F8" w:color="auto" w:val="clear"/>
            <w:tcMar>
              <w:top w:type="dxa" w:w="70"/>
              <w:left w:type="dxa" w:w="100"/>
              <w:bottom w:type="dxa" w:w="70"/>
              <w:right w:type="dxa" w:w="100"/>
            </w:tcMar>
            <w:vAlign w:val="center"/>
          </w:tcPr>
          <w:p>
            <w:r>
              <w:rPr>
                <w:sz w:val="20"/>
                <w:szCs w:val="20"/>
              </w:rPr>
              <w:t xml:space="preserve">$20,180.42</w:t>
            </w:r>
          </w:p>
        </w:tc>
        <w:tc>
          <w:tcPr>
            <w:tcW w:type="dxa" w:w="1777"/>
            <w:shd w:fill="F2F6F8" w:color="auto" w:val="clear"/>
            <w:tcMar>
              <w:top w:type="dxa" w:w="70"/>
              <w:left w:type="dxa" w:w="100"/>
              <w:bottom w:type="dxa" w:w="70"/>
              <w:right w:type="dxa" w:w="100"/>
            </w:tcMar>
            <w:vAlign w:val="center"/>
          </w:tcPr>
          <w:p>
            <w:r>
              <w:rPr>
                <w:sz w:val="20"/>
                <w:szCs w:val="20"/>
              </w:rPr>
              <w:t xml:space="preserve">$29,933.00</w:t>
            </w:r>
          </w:p>
        </w:tc>
        <w:tc>
          <w:tcPr>
            <w:tcW w:type="dxa" w:w="1777"/>
            <w:shd w:fill="F2F6F8" w:color="auto" w:val="clear"/>
            <w:tcMar>
              <w:top w:type="dxa" w:w="70"/>
              <w:left w:type="dxa" w:w="100"/>
              <w:bottom w:type="dxa" w:w="70"/>
              <w:right w:type="dxa" w:w="100"/>
            </w:tcMar>
            <w:vAlign w:val="center"/>
          </w:tcPr>
          <w:p>
            <w:r>
              <w:rPr>
                <w:sz w:val="20"/>
                <w:szCs w:val="20"/>
              </w:rPr>
              <w:t xml:space="preserve">0.8888</w:t>
            </w:r>
          </w:p>
        </w:tc>
      </w:tr>
      <w:tr>
        <w:tc>
          <w:tcPr>
            <w:tcW w:type="dxa" w:w="2618"/>
            <w:tcMar>
              <w:top w:type="dxa" w:w="70"/>
              <w:left w:type="dxa" w:w="100"/>
              <w:bottom w:type="dxa" w:w="70"/>
              <w:right w:type="dxa" w:w="100"/>
            </w:tcMar>
            <w:vAlign w:val="center"/>
          </w:tcPr>
          <w:p>
            <w:r>
              <w:rPr>
                <w:sz w:val="20"/>
                <w:szCs w:val="20"/>
              </w:rPr>
              <w:t xml:space="preserve">Ridge</w:t>
            </w:r>
          </w:p>
        </w:tc>
        <w:tc>
          <w:tcPr>
            <w:tcW w:type="dxa" w:w="1403"/>
            <w:tcMar>
              <w:top w:type="dxa" w:w="70"/>
              <w:left w:type="dxa" w:w="100"/>
              <w:bottom w:type="dxa" w:w="70"/>
              <w:right w:type="dxa" w:w="100"/>
            </w:tcMar>
            <w:vAlign w:val="center"/>
          </w:tcPr>
          <w:p>
            <w:r>
              <w:rPr>
                <w:sz w:val="20"/>
                <w:szCs w:val="20"/>
              </w:rPr>
              <w:t xml:space="preserve">Yes</w:t>
            </w:r>
          </w:p>
        </w:tc>
        <w:tc>
          <w:tcPr>
            <w:tcW w:type="dxa" w:w="1777"/>
            <w:tcMar>
              <w:top w:type="dxa" w:w="70"/>
              <w:left w:type="dxa" w:w="100"/>
              <w:bottom w:type="dxa" w:w="70"/>
              <w:right w:type="dxa" w:w="100"/>
            </w:tcMar>
            <w:vAlign w:val="center"/>
          </w:tcPr>
          <w:p>
            <w:r>
              <w:rPr>
                <w:sz w:val="20"/>
                <w:szCs w:val="20"/>
              </w:rPr>
              <w:t xml:space="preserve">$20,186.60</w:t>
            </w:r>
          </w:p>
        </w:tc>
        <w:tc>
          <w:tcPr>
            <w:tcW w:type="dxa" w:w="1777"/>
            <w:tcMar>
              <w:top w:type="dxa" w:w="70"/>
              <w:left w:type="dxa" w:w="100"/>
              <w:bottom w:type="dxa" w:w="70"/>
              <w:right w:type="dxa" w:w="100"/>
            </w:tcMar>
            <w:vAlign w:val="center"/>
          </w:tcPr>
          <w:p>
            <w:r>
              <w:rPr>
                <w:sz w:val="20"/>
                <w:szCs w:val="20"/>
              </w:rPr>
              <w:t xml:space="preserve">$29,961.57</w:t>
            </w:r>
          </w:p>
        </w:tc>
        <w:tc>
          <w:tcPr>
            <w:tcW w:type="dxa" w:w="1777"/>
            <w:tcMar>
              <w:top w:type="dxa" w:w="70"/>
              <w:left w:type="dxa" w:w="100"/>
              <w:bottom w:type="dxa" w:w="70"/>
              <w:right w:type="dxa" w:w="100"/>
            </w:tcMar>
            <w:vAlign w:val="center"/>
          </w:tcPr>
          <w:p>
            <w:r>
              <w:rPr>
                <w:sz w:val="20"/>
                <w:szCs w:val="20"/>
              </w:rPr>
              <w:t xml:space="preserve">0.8886</w:t>
            </w:r>
          </w:p>
        </w:tc>
      </w:tr>
    </w:tbl>
    <w:p>
      <w:pPr>
        <w:spacing w:after="140"/>
      </w:pPr>
    </w:p>
    <w:p>
      <w:pPr>
        <w:spacing w:after="40" w:before="120"/>
        <w:jc w:val="center"/>
      </w:pPr>
      <w:r>
        <w:drawing>
          <wp:inline distT="0" distB="0" distL="0" distR="0">
            <wp:extent cx="5762625"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2028825"/>
                    </a:xfrm>
                    <a:prstGeom prst="rect">
                      <a:avLst/>
                    </a:prstGeom>
                  </pic:spPr>
                </pic:pic>
              </a:graphicData>
            </a:graphic>
          </wp:inline>
        </w:drawing>
      </w:r>
    </w:p>
    <w:p>
      <w:pPr>
        <w:spacing w:after="260" w:before="60"/>
        <w:jc w:val="center"/>
      </w:pPr>
      <w:r>
        <w:rPr>
          <w:i/>
          <w:iCs/>
          <w:color w:val="555555"/>
          <w:sz w:val="20"/>
          <w:szCs w:val="20"/>
        </w:rPr>
        <w:t xml:space="preserve">Figure 13: Model comparison by RMSE and R²</w:t>
      </w:r>
    </w:p>
    <w:p>
      <w:pPr>
        <w:spacing w:after="160" w:line="300"/>
      </w:pPr>
      <w:r>
        <w:t xml:space="preserve">Interpretation: Tree-based ensemble models (Gradient Boosting, Random Forest, XGBoost) significantly outperformed the linear models (Linear Regression, Ridge, Lasso) — because the housing data contains non-linear relationships and feature interactions that linear models cannot capture. Gradient Boosting achieved the lowest error and highest R², making it the selected best model.</w:t>
      </w:r>
    </w:p>
    <w:p>
      <w:pPr>
        <w:pStyle w:val="Heading2"/>
        <w:spacing w:after="140" w:before="260"/>
      </w:pPr>
      <w:r>
        <w:rPr>
          <w:b/>
          <w:bCs/>
        </w:rPr>
        <w:t xml:space="preserve">9.1 Hyperparameter Tuning (GridSearchCV)</w:t>
      </w:r>
    </w:p>
    <w:p>
      <w:pPr>
        <w:spacing w:after="160" w:line="300"/>
      </w:pPr>
      <w:r>
        <w:t xml:space="preserve">A 5-fold GridSearchCV was applied to the best model, Gradient Boosting, to search for optimal hyperparameters (27 combinations, 135 total fits).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75"/>
            <w:shd w:fill="1F4E5F" w:color="auto" w:val="clear"/>
            <w:tcMar>
              <w:top w:type="dxa" w:w="80"/>
              <w:left w:type="dxa" w:w="100"/>
              <w:bottom w:type="dxa" w:w="80"/>
              <w:right w:type="dxa" w:w="100"/>
            </w:tcMar>
            <w:vAlign w:val="center"/>
          </w:tcPr>
          <w:p>
            <w:r>
              <w:rPr>
                <w:b/>
                <w:bCs/>
                <w:color w:val="FFFFFF"/>
                <w:sz w:val="20"/>
                <w:szCs w:val="20"/>
              </w:rPr>
              <w:t xml:space="preserve">Hyperparameter</w:t>
            </w:r>
          </w:p>
        </w:tc>
        <w:tc>
          <w:tcPr>
            <w:tcW w:type="dxa" w:w="4675"/>
            <w:shd w:fill="1F4E5F" w:color="auto" w:val="clear"/>
            <w:tcMar>
              <w:top w:type="dxa" w:w="80"/>
              <w:left w:type="dxa" w:w="100"/>
              <w:bottom w:type="dxa" w:w="80"/>
              <w:right w:type="dxa" w:w="100"/>
            </w:tcMar>
            <w:vAlign w:val="center"/>
          </w:tcPr>
          <w:p>
            <w:r>
              <w:rPr>
                <w:b/>
                <w:bCs/>
                <w:color w:val="FFFFFF"/>
                <w:sz w:val="20"/>
                <w:szCs w:val="20"/>
              </w:rPr>
              <w:t xml:space="preserve">Best Value</w:t>
            </w:r>
          </w:p>
        </w:tc>
      </w:tr>
      <w:tr>
        <w:tc>
          <w:tcPr>
            <w:tcW w:type="dxa" w:w="4675"/>
            <w:shd w:fill="F2F6F8" w:color="auto" w:val="clear"/>
            <w:tcMar>
              <w:top w:type="dxa" w:w="70"/>
              <w:left w:type="dxa" w:w="100"/>
              <w:bottom w:type="dxa" w:w="70"/>
              <w:right w:type="dxa" w:w="100"/>
            </w:tcMar>
            <w:vAlign w:val="center"/>
          </w:tcPr>
          <w:p>
            <w:r>
              <w:rPr>
                <w:sz w:val="20"/>
                <w:szCs w:val="20"/>
              </w:rPr>
              <w:t xml:space="preserve">learning_rate</w:t>
            </w:r>
          </w:p>
        </w:tc>
        <w:tc>
          <w:tcPr>
            <w:tcW w:type="dxa" w:w="4675"/>
            <w:shd w:fill="F2F6F8" w:color="auto" w:val="clear"/>
            <w:tcMar>
              <w:top w:type="dxa" w:w="70"/>
              <w:left w:type="dxa" w:w="100"/>
              <w:bottom w:type="dxa" w:w="70"/>
              <w:right w:type="dxa" w:w="100"/>
            </w:tcMar>
            <w:vAlign w:val="center"/>
          </w:tcPr>
          <w:p>
            <w:r>
              <w:rPr>
                <w:sz w:val="20"/>
                <w:szCs w:val="20"/>
              </w:rPr>
              <w:t xml:space="preserve">0.05</w:t>
            </w:r>
          </w:p>
        </w:tc>
      </w:tr>
      <w:tr>
        <w:tc>
          <w:tcPr>
            <w:tcW w:type="dxa" w:w="4675"/>
            <w:tcMar>
              <w:top w:type="dxa" w:w="70"/>
              <w:left w:type="dxa" w:w="100"/>
              <w:bottom w:type="dxa" w:w="70"/>
              <w:right w:type="dxa" w:w="100"/>
            </w:tcMar>
            <w:vAlign w:val="center"/>
          </w:tcPr>
          <w:p>
            <w:r>
              <w:rPr>
                <w:sz w:val="20"/>
                <w:szCs w:val="20"/>
              </w:rPr>
              <w:t xml:space="preserve">max_depth</w:t>
            </w:r>
          </w:p>
        </w:tc>
        <w:tc>
          <w:tcPr>
            <w:tcW w:type="dxa" w:w="4675"/>
            <w:tcMar>
              <w:top w:type="dxa" w:w="70"/>
              <w:left w:type="dxa" w:w="100"/>
              <w:bottom w:type="dxa" w:w="70"/>
              <w:right w:type="dxa" w:w="100"/>
            </w:tcMar>
            <w:vAlign w:val="center"/>
          </w:tcPr>
          <w:p>
            <w:r>
              <w:rPr>
                <w:sz w:val="20"/>
                <w:szCs w:val="20"/>
              </w:rPr>
              <w:t xml:space="preserve">3</w:t>
            </w:r>
          </w:p>
        </w:tc>
      </w:tr>
      <w:tr>
        <w:tc>
          <w:tcPr>
            <w:tcW w:type="dxa" w:w="4675"/>
            <w:shd w:fill="F2F6F8" w:color="auto" w:val="clear"/>
            <w:tcMar>
              <w:top w:type="dxa" w:w="70"/>
              <w:left w:type="dxa" w:w="100"/>
              <w:bottom w:type="dxa" w:w="70"/>
              <w:right w:type="dxa" w:w="100"/>
            </w:tcMar>
            <w:vAlign w:val="center"/>
          </w:tcPr>
          <w:p>
            <w:r>
              <w:rPr>
                <w:sz w:val="20"/>
                <w:szCs w:val="20"/>
              </w:rPr>
              <w:t xml:space="preserve">n_estimators</w:t>
            </w:r>
          </w:p>
        </w:tc>
        <w:tc>
          <w:tcPr>
            <w:tcW w:type="dxa" w:w="4675"/>
            <w:shd w:fill="F2F6F8" w:color="auto" w:val="clear"/>
            <w:tcMar>
              <w:top w:type="dxa" w:w="70"/>
              <w:left w:type="dxa" w:w="100"/>
              <w:bottom w:type="dxa" w:w="70"/>
              <w:right w:type="dxa" w:w="100"/>
            </w:tcMar>
            <w:vAlign w:val="center"/>
          </w:tcPr>
          <w:p>
            <w:r>
              <w:rPr>
                <w:sz w:val="20"/>
                <w:szCs w:val="20"/>
              </w:rPr>
              <w:t xml:space="preserve">300</w:t>
            </w:r>
          </w:p>
        </w:tc>
      </w:tr>
    </w:tbl>
    <w:p>
      <w:pPr>
        <w:spacing w:after="140"/>
      </w:pPr>
    </w:p>
    <w:p>
      <w:pPr>
        <w:spacing w:after="160" w:line="300"/>
      </w:pPr>
      <w:r>
        <w:t xml:space="preserve">After tuning, the final model achieved: MAE = $14,563.90, RMSE = $21,453.34, R² = 0.9429 — a modest improvement over the pre-tuning model.</w:t>
      </w:r>
    </w:p>
    <w:p>
      <w:pPr>
        <w:pStyle w:val="Heading2"/>
        <w:spacing w:after="140" w:before="260"/>
      </w:pPr>
      <w:r>
        <w:rPr>
          <w:b/>
          <w:bCs/>
        </w:rPr>
        <w:t xml:space="preserve">9.2 5-Fold Cross-Validation</w:t>
      </w:r>
    </w:p>
    <w:p>
      <w:pPr>
        <w:spacing w:after="40" w:before="120"/>
        <w:jc w:val="center"/>
      </w:pPr>
      <w:r>
        <w:drawing>
          <wp:inline distT="0" distB="0" distL="0" distR="0">
            <wp:extent cx="3933825"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933825" cy="2438400"/>
                    </a:xfrm>
                    <a:prstGeom prst="rect">
                      <a:avLst/>
                    </a:prstGeom>
                  </pic:spPr>
                </pic:pic>
              </a:graphicData>
            </a:graphic>
          </wp:inline>
        </w:drawing>
      </w:r>
    </w:p>
    <w:p>
      <w:pPr>
        <w:spacing w:after="260" w:before="60"/>
        <w:jc w:val="center"/>
      </w:pPr>
      <w:r>
        <w:rPr>
          <w:i/>
          <w:iCs/>
          <w:color w:val="555555"/>
          <w:sz w:val="20"/>
          <w:szCs w:val="20"/>
        </w:rPr>
        <w:t xml:space="preserve">Figure 14: Distribution of R² scores across 5 folds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75"/>
            <w:shd w:fill="1F4E5F" w:color="auto" w:val="clear"/>
            <w:tcMar>
              <w:top w:type="dxa" w:w="80"/>
              <w:left w:type="dxa" w:w="100"/>
              <w:bottom w:type="dxa" w:w="80"/>
              <w:right w:type="dxa" w:w="100"/>
            </w:tcMar>
            <w:vAlign w:val="center"/>
          </w:tcPr>
          <w:p>
            <w:r>
              <w:rPr>
                <w:b/>
                <w:bCs/>
                <w:color w:val="FFFFFF"/>
                <w:sz w:val="20"/>
                <w:szCs w:val="20"/>
              </w:rPr>
              <w:t xml:space="preserve">Fold</w:t>
            </w:r>
          </w:p>
        </w:tc>
        <w:tc>
          <w:tcPr>
            <w:tcW w:type="dxa" w:w="4675"/>
            <w:shd w:fill="1F4E5F" w:color="auto" w:val="clear"/>
            <w:tcMar>
              <w:top w:type="dxa" w:w="80"/>
              <w:left w:type="dxa" w:w="100"/>
              <w:bottom w:type="dxa" w:w="80"/>
              <w:right w:type="dxa" w:w="100"/>
            </w:tcMar>
            <w:vAlign w:val="center"/>
          </w:tcPr>
          <w:p>
            <w:r>
              <w:rPr>
                <w:b/>
                <w:bCs/>
                <w:color w:val="FFFFFF"/>
                <w:sz w:val="20"/>
                <w:szCs w:val="20"/>
              </w:rPr>
              <w:t xml:space="preserve">R² Score</w:t>
            </w:r>
          </w:p>
        </w:tc>
      </w:tr>
      <w:tr>
        <w:tc>
          <w:tcPr>
            <w:tcW w:type="dxa" w:w="4675"/>
            <w:shd w:fill="F2F6F8" w:color="auto" w:val="clear"/>
            <w:tcMar>
              <w:top w:type="dxa" w:w="70"/>
              <w:left w:type="dxa" w:w="100"/>
              <w:bottom w:type="dxa" w:w="70"/>
              <w:right w:type="dxa" w:w="100"/>
            </w:tcMar>
            <w:vAlign w:val="center"/>
          </w:tcPr>
          <w:p>
            <w:r>
              <w:rPr>
                <w:sz w:val="20"/>
                <w:szCs w:val="20"/>
              </w:rPr>
              <w:t xml:space="preserve">Fold 1</w:t>
            </w:r>
          </w:p>
        </w:tc>
        <w:tc>
          <w:tcPr>
            <w:tcW w:type="dxa" w:w="4675"/>
            <w:shd w:fill="F2F6F8" w:color="auto" w:val="clear"/>
            <w:tcMar>
              <w:top w:type="dxa" w:w="70"/>
              <w:left w:type="dxa" w:w="100"/>
              <w:bottom w:type="dxa" w:w="70"/>
              <w:right w:type="dxa" w:w="100"/>
            </w:tcMar>
            <w:vAlign w:val="center"/>
          </w:tcPr>
          <w:p>
            <w:r>
              <w:rPr>
                <w:sz w:val="20"/>
                <w:szCs w:val="20"/>
              </w:rPr>
              <w:t xml:space="preserve">0.9100</w:t>
            </w:r>
          </w:p>
        </w:tc>
      </w:tr>
      <w:tr>
        <w:tc>
          <w:tcPr>
            <w:tcW w:type="dxa" w:w="4675"/>
            <w:tcMar>
              <w:top w:type="dxa" w:w="70"/>
              <w:left w:type="dxa" w:w="100"/>
              <w:bottom w:type="dxa" w:w="70"/>
              <w:right w:type="dxa" w:w="100"/>
            </w:tcMar>
            <w:vAlign w:val="center"/>
          </w:tcPr>
          <w:p>
            <w:r>
              <w:rPr>
                <w:sz w:val="20"/>
                <w:szCs w:val="20"/>
              </w:rPr>
              <w:t xml:space="preserve">Fold 2</w:t>
            </w:r>
          </w:p>
        </w:tc>
        <w:tc>
          <w:tcPr>
            <w:tcW w:type="dxa" w:w="4675"/>
            <w:tcMar>
              <w:top w:type="dxa" w:w="70"/>
              <w:left w:type="dxa" w:w="100"/>
              <w:bottom w:type="dxa" w:w="70"/>
              <w:right w:type="dxa" w:w="100"/>
            </w:tcMar>
            <w:vAlign w:val="center"/>
          </w:tcPr>
          <w:p>
            <w:r>
              <w:rPr>
                <w:sz w:val="20"/>
                <w:szCs w:val="20"/>
              </w:rPr>
              <w:t xml:space="preserve">0.9238</w:t>
            </w:r>
          </w:p>
        </w:tc>
      </w:tr>
      <w:tr>
        <w:tc>
          <w:tcPr>
            <w:tcW w:type="dxa" w:w="4675"/>
            <w:shd w:fill="F2F6F8" w:color="auto" w:val="clear"/>
            <w:tcMar>
              <w:top w:type="dxa" w:w="70"/>
              <w:left w:type="dxa" w:w="100"/>
              <w:bottom w:type="dxa" w:w="70"/>
              <w:right w:type="dxa" w:w="100"/>
            </w:tcMar>
            <w:vAlign w:val="center"/>
          </w:tcPr>
          <w:p>
            <w:r>
              <w:rPr>
                <w:sz w:val="20"/>
                <w:szCs w:val="20"/>
              </w:rPr>
              <w:t xml:space="preserve">Fold 3</w:t>
            </w:r>
          </w:p>
        </w:tc>
        <w:tc>
          <w:tcPr>
            <w:tcW w:type="dxa" w:w="4675"/>
            <w:shd w:fill="F2F6F8" w:color="auto" w:val="clear"/>
            <w:tcMar>
              <w:top w:type="dxa" w:w="70"/>
              <w:left w:type="dxa" w:w="100"/>
              <w:bottom w:type="dxa" w:w="70"/>
              <w:right w:type="dxa" w:w="100"/>
            </w:tcMar>
            <w:vAlign w:val="center"/>
          </w:tcPr>
          <w:p>
            <w:r>
              <w:rPr>
                <w:sz w:val="20"/>
                <w:szCs w:val="20"/>
              </w:rPr>
              <w:t xml:space="preserve">0.8817</w:t>
            </w:r>
          </w:p>
        </w:tc>
      </w:tr>
      <w:tr>
        <w:tc>
          <w:tcPr>
            <w:tcW w:type="dxa" w:w="4675"/>
            <w:tcMar>
              <w:top w:type="dxa" w:w="70"/>
              <w:left w:type="dxa" w:w="100"/>
              <w:bottom w:type="dxa" w:w="70"/>
              <w:right w:type="dxa" w:w="100"/>
            </w:tcMar>
            <w:vAlign w:val="center"/>
          </w:tcPr>
          <w:p>
            <w:r>
              <w:rPr>
                <w:sz w:val="20"/>
                <w:szCs w:val="20"/>
              </w:rPr>
              <w:t xml:space="preserve">Fold 4</w:t>
            </w:r>
          </w:p>
        </w:tc>
        <w:tc>
          <w:tcPr>
            <w:tcW w:type="dxa" w:w="4675"/>
            <w:tcMar>
              <w:top w:type="dxa" w:w="70"/>
              <w:left w:type="dxa" w:w="100"/>
              <w:bottom w:type="dxa" w:w="70"/>
              <w:right w:type="dxa" w:w="100"/>
            </w:tcMar>
            <w:vAlign w:val="center"/>
          </w:tcPr>
          <w:p>
            <w:r>
              <w:rPr>
                <w:sz w:val="20"/>
                <w:szCs w:val="20"/>
              </w:rPr>
              <w:t xml:space="preserve">0.8977</w:t>
            </w:r>
          </w:p>
        </w:tc>
      </w:tr>
      <w:tr>
        <w:tc>
          <w:tcPr>
            <w:tcW w:type="dxa" w:w="4675"/>
            <w:shd w:fill="F2F6F8" w:color="auto" w:val="clear"/>
            <w:tcMar>
              <w:top w:type="dxa" w:w="70"/>
              <w:left w:type="dxa" w:w="100"/>
              <w:bottom w:type="dxa" w:w="70"/>
              <w:right w:type="dxa" w:w="100"/>
            </w:tcMar>
            <w:vAlign w:val="center"/>
          </w:tcPr>
          <w:p>
            <w:r>
              <w:rPr>
                <w:sz w:val="20"/>
                <w:szCs w:val="20"/>
              </w:rPr>
              <w:t xml:space="preserve">Fold 5</w:t>
            </w:r>
          </w:p>
        </w:tc>
        <w:tc>
          <w:tcPr>
            <w:tcW w:type="dxa" w:w="4675"/>
            <w:shd w:fill="F2F6F8" w:color="auto" w:val="clear"/>
            <w:tcMar>
              <w:top w:type="dxa" w:w="70"/>
              <w:left w:type="dxa" w:w="100"/>
              <w:bottom w:type="dxa" w:w="70"/>
              <w:right w:type="dxa" w:w="100"/>
            </w:tcMar>
            <w:vAlign w:val="center"/>
          </w:tcPr>
          <w:p>
            <w:r>
              <w:rPr>
                <w:sz w:val="20"/>
                <w:szCs w:val="20"/>
              </w:rPr>
              <w:t xml:space="preserve">0.9063</w:t>
            </w:r>
          </w:p>
        </w:tc>
      </w:tr>
      <w:tr>
        <w:tc>
          <w:tcPr>
            <w:tcW w:type="dxa" w:w="4675"/>
            <w:tcMar>
              <w:top w:type="dxa" w:w="70"/>
              <w:left w:type="dxa" w:w="100"/>
              <w:bottom w:type="dxa" w:w="70"/>
              <w:right w:type="dxa" w:w="100"/>
            </w:tcMar>
            <w:vAlign w:val="center"/>
          </w:tcPr>
          <w:p>
            <w:r>
              <w:rPr>
                <w:sz w:val="20"/>
                <w:szCs w:val="20"/>
              </w:rPr>
              <w:t xml:space="preserve">Mean</w:t>
            </w:r>
          </w:p>
        </w:tc>
        <w:tc>
          <w:tcPr>
            <w:tcW w:type="dxa" w:w="4675"/>
            <w:tcMar>
              <w:top w:type="dxa" w:w="70"/>
              <w:left w:type="dxa" w:w="100"/>
              <w:bottom w:type="dxa" w:w="70"/>
              <w:right w:type="dxa" w:w="100"/>
            </w:tcMar>
            <w:vAlign w:val="center"/>
          </w:tcPr>
          <w:p>
            <w:r>
              <w:rPr>
                <w:sz w:val="20"/>
                <w:szCs w:val="20"/>
              </w:rPr>
              <w:t xml:space="preserve">0.9039 ± 0.0139</w:t>
            </w:r>
          </w:p>
        </w:tc>
      </w:tr>
    </w:tbl>
    <w:p>
      <w:pPr>
        <w:spacing w:after="140"/>
      </w:pPr>
    </w:p>
    <w:p>
      <w:pPr>
        <w:spacing w:after="160" w:line="300"/>
      </w:pPr>
      <w:r>
        <w:t xml:space="preserve">Interpretation: The low standard deviation (±0.0139) indicates the model performs stably across different data subsets, with low risk of overfitting.</w:t>
      </w:r>
    </w:p>
    <w:p>
      <w:r>
        <w:br w:type="page"/>
      </w:r>
    </w:p>
    <w:p>
      <w:pPr>
        <w:pStyle w:val="Heading2"/>
        <w:spacing w:after="140" w:before="260"/>
      </w:pPr>
      <w:r>
        <w:rPr>
          <w:b/>
          <w:bCs/>
        </w:rPr>
        <w:t xml:space="preserve">9.3 Comparison with a Baseline Model</w:t>
      </w:r>
    </w:p>
    <w:p>
      <w:pPr>
        <w:spacing w:after="160" w:line="300"/>
      </w:pPr>
      <w:r>
        <w:t xml:space="preserve">To validate the model's real value, it was compared against a simple baseline (a Mean Predictor that always predicts the average price).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675"/>
            <w:shd w:fill="1F4E5F" w:color="auto" w:val="clear"/>
            <w:tcMar>
              <w:top w:type="dxa" w:w="80"/>
              <w:left w:type="dxa" w:w="100"/>
              <w:bottom w:type="dxa" w:w="80"/>
              <w:right w:type="dxa" w:w="100"/>
            </w:tcMar>
            <w:vAlign w:val="center"/>
          </w:tcPr>
          <w:p>
            <w:r>
              <w:rPr>
                <w:b/>
                <w:bCs/>
                <w:color w:val="FFFFFF"/>
                <w:sz w:val="20"/>
                <w:szCs w:val="20"/>
              </w:rPr>
              <w:t xml:space="preserve">Model</w:t>
            </w:r>
          </w:p>
        </w:tc>
        <w:tc>
          <w:tcPr>
            <w:tcW w:type="dxa" w:w="2338"/>
            <w:shd w:fill="1F4E5F" w:color="auto" w:val="clear"/>
            <w:tcMar>
              <w:top w:type="dxa" w:w="80"/>
              <w:left w:type="dxa" w:w="100"/>
              <w:bottom w:type="dxa" w:w="80"/>
              <w:right w:type="dxa" w:w="100"/>
            </w:tcMar>
            <w:vAlign w:val="center"/>
          </w:tcPr>
          <w:p>
            <w:r>
              <w:rPr>
                <w:b/>
                <w:bCs/>
                <w:color w:val="FFFFFF"/>
                <w:sz w:val="20"/>
                <w:szCs w:val="20"/>
              </w:rPr>
              <w:t xml:space="preserve">R²</w:t>
            </w:r>
          </w:p>
        </w:tc>
        <w:tc>
          <w:tcPr>
            <w:tcW w:type="dxa" w:w="2338"/>
            <w:shd w:fill="1F4E5F" w:color="auto" w:val="clear"/>
            <w:tcMar>
              <w:top w:type="dxa" w:w="80"/>
              <w:left w:type="dxa" w:w="100"/>
              <w:bottom w:type="dxa" w:w="80"/>
              <w:right w:type="dxa" w:w="100"/>
            </w:tcMar>
            <w:vAlign w:val="center"/>
          </w:tcPr>
          <w:p>
            <w:r>
              <w:rPr>
                <w:b/>
                <w:bCs/>
                <w:color w:val="FFFFFF"/>
                <w:sz w:val="20"/>
                <w:szCs w:val="20"/>
              </w:rPr>
              <w:t xml:space="preserve">RMSE</w:t>
            </w:r>
          </w:p>
        </w:tc>
      </w:tr>
      <w:tr>
        <w:tc>
          <w:tcPr>
            <w:tcW w:type="dxa" w:w="4675"/>
            <w:shd w:fill="F2F6F8" w:color="auto" w:val="clear"/>
            <w:tcMar>
              <w:top w:type="dxa" w:w="70"/>
              <w:left w:type="dxa" w:w="100"/>
              <w:bottom w:type="dxa" w:w="70"/>
              <w:right w:type="dxa" w:w="100"/>
            </w:tcMar>
            <w:vAlign w:val="center"/>
          </w:tcPr>
          <w:p>
            <w:r>
              <w:rPr>
                <w:sz w:val="20"/>
                <w:szCs w:val="20"/>
              </w:rPr>
              <w:t xml:space="preserve">Baseline (Mean Predictor)</w:t>
            </w:r>
          </w:p>
        </w:tc>
        <w:tc>
          <w:tcPr>
            <w:tcW w:type="dxa" w:w="2338"/>
            <w:shd w:fill="F2F6F8" w:color="auto" w:val="clear"/>
            <w:tcMar>
              <w:top w:type="dxa" w:w="70"/>
              <w:left w:type="dxa" w:w="100"/>
              <w:bottom w:type="dxa" w:w="70"/>
              <w:right w:type="dxa" w:w="100"/>
            </w:tcMar>
            <w:vAlign w:val="center"/>
          </w:tcPr>
          <w:p>
            <w:r>
              <w:rPr>
                <w:sz w:val="20"/>
                <w:szCs w:val="20"/>
              </w:rPr>
              <w:t xml:space="preserve">−0.0010</w:t>
            </w:r>
          </w:p>
        </w:tc>
        <w:tc>
          <w:tcPr>
            <w:tcW w:type="dxa" w:w="2338"/>
            <w:shd w:fill="F2F6F8" w:color="auto" w:val="clear"/>
            <w:tcMar>
              <w:top w:type="dxa" w:w="70"/>
              <w:left w:type="dxa" w:w="100"/>
              <w:bottom w:type="dxa" w:w="70"/>
              <w:right w:type="dxa" w:w="100"/>
            </w:tcMar>
            <w:vAlign w:val="center"/>
          </w:tcPr>
          <w:p>
            <w:r>
              <w:rPr>
                <w:sz w:val="20"/>
                <w:szCs w:val="20"/>
              </w:rPr>
              <w:t xml:space="preserve">$89,817.05</w:t>
            </w:r>
          </w:p>
        </w:tc>
      </w:tr>
      <w:tr>
        <w:tc>
          <w:tcPr>
            <w:tcW w:type="dxa" w:w="4675"/>
            <w:tcMar>
              <w:top w:type="dxa" w:w="70"/>
              <w:left w:type="dxa" w:w="100"/>
              <w:bottom w:type="dxa" w:w="70"/>
              <w:right w:type="dxa" w:w="100"/>
            </w:tcMar>
            <w:vAlign w:val="center"/>
          </w:tcPr>
          <w:p>
            <w:r>
              <w:rPr>
                <w:sz w:val="20"/>
                <w:szCs w:val="20"/>
              </w:rPr>
              <w:t xml:space="preserve">Best Model (Gradient Boosting, Tuned)</w:t>
            </w:r>
          </w:p>
        </w:tc>
        <w:tc>
          <w:tcPr>
            <w:tcW w:type="dxa" w:w="2338"/>
            <w:tcMar>
              <w:top w:type="dxa" w:w="70"/>
              <w:left w:type="dxa" w:w="100"/>
              <w:bottom w:type="dxa" w:w="70"/>
              <w:right w:type="dxa" w:w="100"/>
            </w:tcMar>
            <w:vAlign w:val="center"/>
          </w:tcPr>
          <w:p>
            <w:r>
              <w:rPr>
                <w:sz w:val="20"/>
                <w:szCs w:val="20"/>
              </w:rPr>
              <w:t xml:space="preserve">0.9429</w:t>
            </w:r>
          </w:p>
        </w:tc>
        <w:tc>
          <w:tcPr>
            <w:tcW w:type="dxa" w:w="2338"/>
            <w:tcMar>
              <w:top w:type="dxa" w:w="70"/>
              <w:left w:type="dxa" w:w="100"/>
              <w:bottom w:type="dxa" w:w="70"/>
              <w:right w:type="dxa" w:w="100"/>
            </w:tcMar>
            <w:vAlign w:val="center"/>
          </w:tcPr>
          <w:p>
            <w:r>
              <w:rPr>
                <w:sz w:val="20"/>
                <w:szCs w:val="20"/>
              </w:rPr>
              <w:t xml:space="preserve">$21,453.34</w:t>
            </w:r>
          </w:p>
        </w:tc>
      </w:tr>
      <w:tr>
        <w:tc>
          <w:tcPr>
            <w:tcW w:type="dxa" w:w="4675"/>
            <w:shd w:fill="F2F6F8" w:color="auto" w:val="clear"/>
            <w:tcMar>
              <w:top w:type="dxa" w:w="70"/>
              <w:left w:type="dxa" w:w="100"/>
              <w:bottom w:type="dxa" w:w="70"/>
              <w:right w:type="dxa" w:w="100"/>
            </w:tcMar>
            <w:vAlign w:val="center"/>
          </w:tcPr>
          <w:p>
            <w:r>
              <w:rPr>
                <w:sz w:val="20"/>
                <w:szCs w:val="20"/>
              </w:rPr>
              <w:t xml:space="preserve">Improvement</w:t>
            </w:r>
          </w:p>
        </w:tc>
        <w:tc>
          <w:tcPr>
            <w:tcW w:type="dxa" w:w="2338"/>
            <w:shd w:fill="F2F6F8" w:color="auto" w:val="clear"/>
            <w:tcMar>
              <w:top w:type="dxa" w:w="70"/>
              <w:left w:type="dxa" w:w="100"/>
              <w:bottom w:type="dxa" w:w="70"/>
              <w:right w:type="dxa" w:w="100"/>
            </w:tcMar>
            <w:vAlign w:val="center"/>
          </w:tcPr>
          <w:p>
            <w:r>
              <w:rPr>
                <w:sz w:val="20"/>
                <w:szCs w:val="20"/>
              </w:rPr>
              <w:t xml:space="preserve">+94.38%</w:t>
            </w:r>
          </w:p>
        </w:tc>
        <w:tc>
          <w:tcPr>
            <w:tcW w:type="dxa" w:w="2338"/>
            <w:shd w:fill="F2F6F8" w:color="auto" w:val="clear"/>
            <w:tcMar>
              <w:top w:type="dxa" w:w="70"/>
              <w:left w:type="dxa" w:w="100"/>
              <w:bottom w:type="dxa" w:w="70"/>
              <w:right w:type="dxa" w:w="100"/>
            </w:tcMar>
            <w:vAlign w:val="center"/>
          </w:tcPr>
          <w:p>
            <w:r>
              <w:rPr>
                <w:sz w:val="20"/>
                <w:szCs w:val="20"/>
              </w:rPr>
              <w:t xml:space="preserve">−76.11%</w:t>
            </w:r>
          </w:p>
        </w:tc>
      </w:tr>
    </w:tbl>
    <w:p>
      <w:pPr>
        <w:spacing w:after="140"/>
      </w:pPr>
    </w:p>
    <w:p>
      <w:pPr>
        <w:spacing w:after="160" w:line="300"/>
      </w:pPr>
      <w:r>
        <w:t xml:space="preserve">Interpretation: The baseline model essentially learns no pattern at all (R² near zero), while the final model explains 94.3% of the variance in the data — strong evidence that the feature engineering and model selection process was highly effective.</w:t>
      </w:r>
    </w:p>
    <w:p>
      <w:pPr>
        <w:pStyle w:val="Heading1"/>
        <w:spacing w:after="180" w:before="360"/>
      </w:pPr>
      <w:r>
        <w:rPr>
          <w:b/>
          <w:bCs/>
        </w:rPr>
        <w:t xml:space="preserve">10. Error Analysis</w:t>
      </w:r>
    </w:p>
    <w:p>
      <w:pPr>
        <w:pBdr>
          <w:bottom w:val="single" w:color="AAAAAA" w:sz="6" w:space="1"/>
        </w:pBdr>
        <w:spacing w:after="200"/>
      </w:pPr>
    </w:p>
    <w:p>
      <w:pPr>
        <w:spacing w:after="40" w:before="120"/>
        <w:jc w:val="center"/>
      </w:pPr>
      <w:r>
        <w:drawing>
          <wp:inline distT="0" distB="0" distL="0" distR="0">
            <wp:extent cx="5762625"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2028825"/>
                    </a:xfrm>
                    <a:prstGeom prst="rect">
                      <a:avLst/>
                    </a:prstGeom>
                  </pic:spPr>
                </pic:pic>
              </a:graphicData>
            </a:graphic>
          </wp:inline>
        </w:drawing>
      </w:r>
    </w:p>
    <w:p>
      <w:pPr>
        <w:spacing w:after="260" w:before="60"/>
        <w:jc w:val="center"/>
      </w:pPr>
      <w:r>
        <w:rPr>
          <w:i/>
          <w:iCs/>
          <w:color w:val="555555"/>
          <w:sz w:val="20"/>
          <w:szCs w:val="20"/>
        </w:rPr>
        <w:t xml:space="preserve">Figure 15: Average absolute error by price range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208"/>
            <w:shd w:fill="1F4E5F" w:color="auto" w:val="clear"/>
            <w:tcMar>
              <w:top w:type="dxa" w:w="80"/>
              <w:left w:type="dxa" w:w="100"/>
              <w:bottom w:type="dxa" w:w="80"/>
              <w:right w:type="dxa" w:w="100"/>
            </w:tcMar>
            <w:vAlign w:val="center"/>
          </w:tcPr>
          <w:p>
            <w:r>
              <w:rPr>
                <w:b/>
                <w:bCs/>
                <w:color w:val="FFFFFF"/>
                <w:sz w:val="20"/>
                <w:szCs w:val="20"/>
              </w:rPr>
              <w:t xml:space="preserve">Price Range</w:t>
            </w:r>
          </w:p>
        </w:tc>
        <w:tc>
          <w:tcPr>
            <w:tcW w:type="dxa" w:w="3273"/>
            <w:shd w:fill="1F4E5F" w:color="auto" w:val="clear"/>
            <w:tcMar>
              <w:top w:type="dxa" w:w="80"/>
              <w:left w:type="dxa" w:w="100"/>
              <w:bottom w:type="dxa" w:w="80"/>
              <w:right w:type="dxa" w:w="100"/>
            </w:tcMar>
            <w:vAlign w:val="center"/>
          </w:tcPr>
          <w:p>
            <w:r>
              <w:rPr>
                <w:b/>
                <w:bCs/>
                <w:color w:val="FFFFFF"/>
                <w:sz w:val="20"/>
                <w:szCs w:val="20"/>
              </w:rPr>
              <w:t xml:space="preserve">Average Absolute Error</w:t>
            </w:r>
          </w:p>
        </w:tc>
        <w:tc>
          <w:tcPr>
            <w:tcW w:type="dxa" w:w="1870"/>
            <w:shd w:fill="1F4E5F" w:color="auto" w:val="clear"/>
            <w:tcMar>
              <w:top w:type="dxa" w:w="80"/>
              <w:left w:type="dxa" w:w="100"/>
              <w:bottom w:type="dxa" w:w="80"/>
              <w:right w:type="dxa" w:w="100"/>
            </w:tcMar>
            <w:vAlign w:val="center"/>
          </w:tcPr>
          <w:p>
            <w:r>
              <w:rPr>
                <w:b/>
                <w:bCs/>
                <w:color w:val="FFFFFF"/>
                <w:sz w:val="20"/>
                <w:szCs w:val="20"/>
              </w:rPr>
              <w:t xml:space="preserve">Record Count</w:t>
            </w:r>
          </w:p>
        </w:tc>
      </w:tr>
      <w:tr>
        <w:tc>
          <w:tcPr>
            <w:tcW w:type="dxa" w:w="4208"/>
            <w:shd w:fill="F2F6F8" w:color="auto" w:val="clear"/>
            <w:tcMar>
              <w:top w:type="dxa" w:w="70"/>
              <w:left w:type="dxa" w:w="100"/>
              <w:bottom w:type="dxa" w:w="70"/>
              <w:right w:type="dxa" w:w="100"/>
            </w:tcMar>
            <w:vAlign w:val="center"/>
          </w:tcPr>
          <w:p>
            <w:r>
              <w:rPr>
                <w:sz w:val="20"/>
                <w:szCs w:val="20"/>
              </w:rPr>
              <w:t xml:space="preserve">Low (&lt;$150K)</w:t>
            </w:r>
          </w:p>
        </w:tc>
        <w:tc>
          <w:tcPr>
            <w:tcW w:type="dxa" w:w="3273"/>
            <w:shd w:fill="F2F6F8" w:color="auto" w:val="clear"/>
            <w:tcMar>
              <w:top w:type="dxa" w:w="70"/>
              <w:left w:type="dxa" w:w="100"/>
              <w:bottom w:type="dxa" w:w="70"/>
              <w:right w:type="dxa" w:w="100"/>
            </w:tcMar>
            <w:vAlign w:val="center"/>
          </w:tcPr>
          <w:p>
            <w:r>
              <w:rPr>
                <w:sz w:val="20"/>
                <w:szCs w:val="20"/>
              </w:rPr>
              <w:t xml:space="preserve">$11,140.35</w:t>
            </w:r>
          </w:p>
        </w:tc>
        <w:tc>
          <w:tcPr>
            <w:tcW w:type="dxa" w:w="1870"/>
            <w:shd w:fill="F2F6F8" w:color="auto" w:val="clear"/>
            <w:tcMar>
              <w:top w:type="dxa" w:w="70"/>
              <w:left w:type="dxa" w:w="100"/>
              <w:bottom w:type="dxa" w:w="70"/>
              <w:right w:type="dxa" w:w="100"/>
            </w:tcMar>
            <w:vAlign w:val="center"/>
          </w:tcPr>
          <w:p>
            <w:r>
              <w:rPr>
                <w:sz w:val="20"/>
                <w:szCs w:val="20"/>
              </w:rPr>
              <w:t xml:space="preserve">256</w:t>
            </w:r>
          </w:p>
        </w:tc>
      </w:tr>
      <w:tr>
        <w:tc>
          <w:tcPr>
            <w:tcW w:type="dxa" w:w="4208"/>
            <w:tcMar>
              <w:top w:type="dxa" w:w="70"/>
              <w:left w:type="dxa" w:w="100"/>
              <w:bottom w:type="dxa" w:w="70"/>
              <w:right w:type="dxa" w:w="100"/>
            </w:tcMar>
            <w:vAlign w:val="center"/>
          </w:tcPr>
          <w:p>
            <w:r>
              <w:rPr>
                <w:sz w:val="20"/>
                <w:szCs w:val="20"/>
              </w:rPr>
              <w:t xml:space="preserve">Mid ($150K–$250K)</w:t>
            </w:r>
          </w:p>
        </w:tc>
        <w:tc>
          <w:tcPr>
            <w:tcW w:type="dxa" w:w="3273"/>
            <w:tcMar>
              <w:top w:type="dxa" w:w="70"/>
              <w:left w:type="dxa" w:w="100"/>
              <w:bottom w:type="dxa" w:w="70"/>
              <w:right w:type="dxa" w:w="100"/>
            </w:tcMar>
            <w:vAlign w:val="center"/>
          </w:tcPr>
          <w:p>
            <w:r>
              <w:rPr>
                <w:sz w:val="20"/>
                <w:szCs w:val="20"/>
              </w:rPr>
              <w:t xml:space="preserve">$13,661.97</w:t>
            </w:r>
          </w:p>
        </w:tc>
        <w:tc>
          <w:tcPr>
            <w:tcW w:type="dxa" w:w="1870"/>
            <w:tcMar>
              <w:top w:type="dxa" w:w="70"/>
              <w:left w:type="dxa" w:w="100"/>
              <w:bottom w:type="dxa" w:w="70"/>
              <w:right w:type="dxa" w:w="100"/>
            </w:tcMar>
            <w:vAlign w:val="center"/>
          </w:tcPr>
          <w:p>
            <w:r>
              <w:rPr>
                <w:sz w:val="20"/>
                <w:szCs w:val="20"/>
              </w:rPr>
              <w:t xml:space="preserve">238</w:t>
            </w:r>
          </w:p>
        </w:tc>
      </w:tr>
      <w:tr>
        <w:tc>
          <w:tcPr>
            <w:tcW w:type="dxa" w:w="4208"/>
            <w:shd w:fill="F2F6F8" w:color="auto" w:val="clear"/>
            <w:tcMar>
              <w:top w:type="dxa" w:w="70"/>
              <w:left w:type="dxa" w:w="100"/>
              <w:bottom w:type="dxa" w:w="70"/>
              <w:right w:type="dxa" w:w="100"/>
            </w:tcMar>
            <w:vAlign w:val="center"/>
          </w:tcPr>
          <w:p>
            <w:r>
              <w:rPr>
                <w:sz w:val="20"/>
                <w:szCs w:val="20"/>
              </w:rPr>
              <w:t xml:space="preserve">High ($250K–$400K)</w:t>
            </w:r>
          </w:p>
        </w:tc>
        <w:tc>
          <w:tcPr>
            <w:tcW w:type="dxa" w:w="3273"/>
            <w:shd w:fill="F2F6F8" w:color="auto" w:val="clear"/>
            <w:tcMar>
              <w:top w:type="dxa" w:w="70"/>
              <w:left w:type="dxa" w:w="100"/>
              <w:bottom w:type="dxa" w:w="70"/>
              <w:right w:type="dxa" w:w="100"/>
            </w:tcMar>
            <w:vAlign w:val="center"/>
          </w:tcPr>
          <w:p>
            <w:r>
              <w:rPr>
                <w:sz w:val="20"/>
                <w:szCs w:val="20"/>
              </w:rPr>
              <w:t xml:space="preserve">$20,505.02</w:t>
            </w:r>
          </w:p>
        </w:tc>
        <w:tc>
          <w:tcPr>
            <w:tcW w:type="dxa" w:w="1870"/>
            <w:shd w:fill="F2F6F8" w:color="auto" w:val="clear"/>
            <w:tcMar>
              <w:top w:type="dxa" w:w="70"/>
              <w:left w:type="dxa" w:w="100"/>
              <w:bottom w:type="dxa" w:w="70"/>
              <w:right w:type="dxa" w:w="100"/>
            </w:tcMar>
            <w:vAlign w:val="center"/>
          </w:tcPr>
          <w:p>
            <w:r>
              <w:rPr>
                <w:sz w:val="20"/>
                <w:szCs w:val="20"/>
              </w:rPr>
              <w:t xml:space="preserve">70</w:t>
            </w:r>
          </w:p>
        </w:tc>
      </w:tr>
      <w:tr>
        <w:tc>
          <w:tcPr>
            <w:tcW w:type="dxa" w:w="4208"/>
            <w:tcMar>
              <w:top w:type="dxa" w:w="70"/>
              <w:left w:type="dxa" w:w="100"/>
              <w:bottom w:type="dxa" w:w="70"/>
              <w:right w:type="dxa" w:w="100"/>
            </w:tcMar>
            <w:vAlign w:val="center"/>
          </w:tcPr>
          <w:p>
            <w:r>
              <w:rPr>
                <w:sz w:val="20"/>
                <w:szCs w:val="20"/>
              </w:rPr>
              <w:t xml:space="preserve">Luxury (&gt;$400K)</w:t>
            </w:r>
          </w:p>
        </w:tc>
        <w:tc>
          <w:tcPr>
            <w:tcW w:type="dxa" w:w="3273"/>
            <w:tcMar>
              <w:top w:type="dxa" w:w="70"/>
              <w:left w:type="dxa" w:w="100"/>
              <w:bottom w:type="dxa" w:w="70"/>
              <w:right w:type="dxa" w:w="100"/>
            </w:tcMar>
            <w:vAlign w:val="center"/>
          </w:tcPr>
          <w:p>
            <w:r>
              <w:rPr>
                <w:sz w:val="20"/>
                <w:szCs w:val="20"/>
              </w:rPr>
              <w:t xml:space="preserve">$45,255.23</w:t>
            </w:r>
          </w:p>
        </w:tc>
        <w:tc>
          <w:tcPr>
            <w:tcW w:type="dxa" w:w="1870"/>
            <w:tcMar>
              <w:top w:type="dxa" w:w="70"/>
              <w:left w:type="dxa" w:w="100"/>
              <w:bottom w:type="dxa" w:w="70"/>
              <w:right w:type="dxa" w:w="100"/>
            </w:tcMar>
            <w:vAlign w:val="center"/>
          </w:tcPr>
          <w:p>
            <w:r>
              <w:rPr>
                <w:sz w:val="20"/>
                <w:szCs w:val="20"/>
              </w:rPr>
              <w:t xml:space="preserve">22</w:t>
            </w:r>
          </w:p>
        </w:tc>
      </w:tr>
    </w:tbl>
    <w:p>
      <w:pPr>
        <w:spacing w:after="140"/>
      </w:pPr>
    </w:p>
    <w:p>
      <w:pPr>
        <w:spacing w:after="160" w:line="300"/>
      </w:pPr>
      <w:r>
        <w:t xml:space="preserve">Interpretation: The model's error increases with price — the average error in the luxury segment ($45,255) is nearly 4x higher than in the low-price segment ($11,140). This is due to the smaller amount of training data available in that segment (only 22 test records) and the more complex, less-represented factors that drive pricing for high-end homes (e.g. rare architectural features or ultra-premium locations).</w:t>
      </w:r>
    </w:p>
    <w:p>
      <w:r>
        <w:br w:type="page"/>
      </w:r>
    </w:p>
    <w:p>
      <w:pPr>
        <w:pStyle w:val="Heading1"/>
        <w:spacing w:after="180" w:before="360"/>
      </w:pPr>
      <w:r>
        <w:rPr>
          <w:b/>
          <w:bCs/>
        </w:rPr>
        <w:t xml:space="preserve">11. Final Model and Business Insights</w:t>
      </w:r>
    </w:p>
    <w:p>
      <w:pPr>
        <w:pBdr>
          <w:bottom w:val="single" w:color="AAAAAA" w:sz="6" w:space="1"/>
        </w:pBdr>
        <w:spacing w:after="200"/>
      </w:pPr>
    </w:p>
    <w:p>
      <w:pPr>
        <w:pStyle w:val="Heading2"/>
        <w:spacing w:after="140" w:before="260"/>
      </w:pPr>
      <w:r>
        <w:rPr>
          <w:b/>
          <w:bCs/>
        </w:rPr>
        <w:t xml:space="preserve">11.1 Feature Importance</w:t>
      </w:r>
    </w:p>
    <w:p>
      <w:pPr>
        <w:spacing w:after="40" w:before="120"/>
        <w:jc w:val="center"/>
      </w:pPr>
      <w:r>
        <w:drawing>
          <wp:inline distT="0" distB="0" distL="0" distR="0">
            <wp:extent cx="447675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3581400"/>
                    </a:xfrm>
                    <a:prstGeom prst="rect">
                      <a:avLst/>
                    </a:prstGeom>
                  </pic:spPr>
                </pic:pic>
              </a:graphicData>
            </a:graphic>
          </wp:inline>
        </w:drawing>
      </w:r>
    </w:p>
    <w:p>
      <w:pPr>
        <w:spacing w:after="260" w:before="60"/>
        <w:jc w:val="center"/>
      </w:pPr>
      <w:r>
        <w:rPr>
          <w:i/>
          <w:iCs/>
          <w:color w:val="555555"/>
          <w:sz w:val="20"/>
          <w:szCs w:val="20"/>
        </w:rPr>
        <w:t xml:space="preserve">Figure 16: Top 15 feature importances (Gradient Boosting model)</w:t>
      </w:r>
    </w:p>
    <w:p>
      <w:pPr>
        <w:spacing w:after="160" w:line="300"/>
      </w:pPr>
      <w:r>
        <w:t xml:space="preserve">Interpretation: Overall Qual alone accounts for 41.1% of the model's decisions, and Total SF for 36.1% — together, these two features make up roughly 77% of total importance. The remaining features (Total Bath, House Age, Kitchen Qual, etc.) contribute smaller but still meaningful amounts.</w:t>
      </w:r>
    </w:p>
    <w:p>
      <w:pPr>
        <w:pStyle w:val="Heading2"/>
        <w:spacing w:after="140" w:before="260"/>
      </w:pPr>
      <w:r>
        <w:rPr>
          <w:b/>
          <w:bCs/>
        </w:rPr>
        <w:t xml:space="preserve">11.2 Actual vs. Predicted Price</w:t>
      </w:r>
    </w:p>
    <w:p>
      <w:pPr>
        <w:spacing w:after="40" w:before="120"/>
        <w:jc w:val="center"/>
      </w:pPr>
      <w:r>
        <w:drawing>
          <wp:inline distT="0" distB="0" distL="0" distR="0">
            <wp:extent cx="42100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10050" cy="3143250"/>
                    </a:xfrm>
                    <a:prstGeom prst="rect">
                      <a:avLst/>
                    </a:prstGeom>
                  </pic:spPr>
                </pic:pic>
              </a:graphicData>
            </a:graphic>
          </wp:inline>
        </w:drawing>
      </w:r>
    </w:p>
    <w:p>
      <w:pPr>
        <w:spacing w:after="260" w:before="60"/>
        <w:jc w:val="center"/>
      </w:pPr>
      <w:r>
        <w:rPr>
          <w:i/>
          <w:iCs/>
          <w:color w:val="555555"/>
          <w:sz w:val="20"/>
          <w:szCs w:val="20"/>
        </w:rPr>
        <w:t xml:space="preserve">Figure 17: Scatterplot of Actual vs. Predicted SalePrice</w:t>
      </w:r>
    </w:p>
    <w:p>
      <w:pPr>
        <w:spacing w:after="160" w:line="300"/>
      </w:pPr>
      <w:r>
        <w:t xml:space="preserve">Interpretation: Most points lie close to the red diagonal line (the line of perfect prediction), indicating a good model fit. Some deviation is visible above $500K, consistent with the earlier error analysis findings.</w:t>
      </w:r>
    </w:p>
    <w:p>
      <w:pPr>
        <w:spacing w:after="40" w:before="120"/>
        <w:jc w:val="center"/>
      </w:pPr>
      <w:r>
        <w:drawing>
          <wp:inline distT="0" distB="0" distL="0" distR="0">
            <wp:extent cx="5762625"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2028825"/>
                    </a:xfrm>
                    <a:prstGeom prst="rect">
                      <a:avLst/>
                    </a:prstGeom>
                  </pic:spPr>
                </pic:pic>
              </a:graphicData>
            </a:graphic>
          </wp:inline>
        </w:drawing>
      </w:r>
    </w:p>
    <w:p>
      <w:pPr>
        <w:spacing w:after="260" w:before="60"/>
        <w:jc w:val="center"/>
      </w:pPr>
      <w:r>
        <w:rPr>
          <w:i/>
          <w:iCs/>
          <w:color w:val="555555"/>
          <w:sz w:val="20"/>
          <w:szCs w:val="20"/>
        </w:rPr>
        <w:t xml:space="preserve">Figure 18: Residual distribution and residuals vs. predicted values</w:t>
      </w:r>
    </w:p>
    <w:p>
      <w:pPr>
        <w:spacing w:after="160" w:line="300"/>
      </w:pPr>
      <w:r>
        <w:t xml:space="preserve">Interpretation: The residuals (actual − predicted) are distributed roughly normally around zero, indicating no strong systematic bias in the model. In the right-hand plot, the residuals are scattered fairly randomly around zero, though the spread is somewhat wider for higher-priced predictions — a mild sign of heteroscedasticity.</w:t>
      </w:r>
    </w:p>
    <w:p>
      <w:pPr>
        <w:pStyle w:val="Heading2"/>
        <w:spacing w:after="140" w:before="260"/>
      </w:pPr>
      <w:r>
        <w:rPr>
          <w:b/>
          <w:bCs/>
        </w:rPr>
        <w:t xml:space="preserve">11.3 Key Business Insights</w:t>
      </w:r>
    </w:p>
    <w:p>
      <w:pPr>
        <w:pStyle w:val="ListParagraph"/>
        <w:numPr>
          <w:ilvl w:val="0"/>
          <w:numId w:val="1"/>
        </w:numPr>
        <w:spacing w:after="90" w:line="280"/>
      </w:pPr>
      <w:r>
        <w:t xml:space="preserve">Overall Qual is the #1 driver of price — quality matters more than sheer size.</w:t>
      </w:r>
    </w:p>
    <w:p>
      <w:pPr>
        <w:pStyle w:val="ListParagraph"/>
        <w:numPr>
          <w:ilvl w:val="0"/>
          <w:numId w:val="1"/>
        </w:numPr>
        <w:spacing w:after="90" w:line="280"/>
      </w:pPr>
      <w:r>
        <w:t xml:space="preserve">Total SF (basement + both floors) has a strong impact on price.</w:t>
      </w:r>
    </w:p>
    <w:p>
      <w:pPr>
        <w:pStyle w:val="ListParagraph"/>
        <w:numPr>
          <w:ilvl w:val="0"/>
          <w:numId w:val="1"/>
        </w:numPr>
        <w:spacing w:after="90" w:line="280"/>
      </w:pPr>
      <w:r>
        <w:t xml:space="preserve">Neighborhood premium — location is one of the biggest determinants of value.</w:t>
      </w:r>
    </w:p>
    <w:p>
      <w:pPr>
        <w:pStyle w:val="ListParagraph"/>
        <w:numPr>
          <w:ilvl w:val="0"/>
          <w:numId w:val="1"/>
        </w:numPr>
        <w:spacing w:after="90" w:line="280"/>
      </w:pPr>
      <w:r>
        <w:t xml:space="preserve">House Age is negatively correlated with price — older homes are worth less.</w:t>
      </w:r>
    </w:p>
    <w:p>
      <w:pPr>
        <w:pStyle w:val="ListParagraph"/>
        <w:numPr>
          <w:ilvl w:val="0"/>
          <w:numId w:val="1"/>
        </w:numPr>
        <w:spacing w:after="90" w:line="280"/>
      </w:pPr>
      <w:r>
        <w:t xml:space="preserve">Remodeling adds a measurable price premium.</w:t>
      </w:r>
    </w:p>
    <w:p>
      <w:pPr>
        <w:pStyle w:val="ListParagraph"/>
        <w:numPr>
          <w:ilvl w:val="0"/>
          <w:numId w:val="1"/>
        </w:numPr>
        <w:spacing w:after="90" w:line="280"/>
      </w:pPr>
      <w:r>
        <w:t xml:space="preserve">Kitchen and Exterior Quality are top-tier predictors.</w:t>
      </w:r>
    </w:p>
    <w:p>
      <w:pPr>
        <w:pStyle w:val="ListParagraph"/>
        <w:numPr>
          <w:ilvl w:val="0"/>
          <w:numId w:val="1"/>
        </w:numPr>
        <w:spacing w:after="90" w:line="280"/>
      </w:pPr>
      <w:r>
        <w:t xml:space="preserve">Garage capacity/finish adds value.</w:t>
      </w:r>
    </w:p>
    <w:p>
      <w:pPr>
        <w:pStyle w:val="ListParagraph"/>
        <w:numPr>
          <w:ilvl w:val="0"/>
          <w:numId w:val="1"/>
        </w:numPr>
        <w:spacing w:after="90" w:line="280"/>
      </w:pPr>
      <w:r>
        <w:t xml:space="preserve">Lot Area shows diminishing returns on price beyond a certain threshold.</w:t>
      </w:r>
    </w:p>
    <w:p>
      <w:pPr>
        <w:pStyle w:val="ListParagraph"/>
        <w:numPr>
          <w:ilvl w:val="0"/>
          <w:numId w:val="1"/>
        </w:numPr>
        <w:spacing w:after="90" w:line="280"/>
      </w:pPr>
      <w:r>
        <w:t xml:space="preserve">The luxury segment (&gt;$400K) is comparatively harder to predict (higher error).</w:t>
      </w:r>
    </w:p>
    <w:p>
      <w:pPr>
        <w:pStyle w:val="ListParagraph"/>
        <w:numPr>
          <w:ilvl w:val="0"/>
          <w:numId w:val="1"/>
        </w:numPr>
        <w:spacing w:after="90" w:line="280"/>
      </w:pPr>
      <w:r>
        <w:t xml:space="preserve">The best model generalizes satisfactorily across all price ranges.</w:t>
      </w:r>
    </w:p>
    <w:p>
      <w:r>
        <w:br w:type="page"/>
      </w:r>
    </w:p>
    <w:p>
      <w:pPr>
        <w:pStyle w:val="Heading1"/>
        <w:spacing w:after="180" w:before="360"/>
      </w:pPr>
      <w:r>
        <w:rPr>
          <w:b/>
          <w:bCs/>
        </w:rPr>
        <w:t xml:space="preserve">12. Conclusion</w:t>
      </w:r>
    </w:p>
    <w:p>
      <w:pPr>
        <w:pBdr>
          <w:bottom w:val="single" w:color="AAAAAA" w:sz="6" w:space="1"/>
        </w:pBdr>
        <w:spacing w:after="200"/>
      </w:pPr>
    </w:p>
    <w:p>
      <w:pPr>
        <w:spacing w:after="160" w:line="300"/>
      </w:pPr>
      <w:r>
        <w:t xml:space="preserve">This project built a complete end-to-end machine learning pipeline using the Ames Housing Dataset — from data cleaning and missing-value handling through feature engineering, multi-model training, hyperparameter tuning, and detailed error analysis. Domain-driven imputation, conservative outlier removal, and the creation of meaningful new features (such as Total SF) meaningfully improved data quality.</w:t>
      </w:r>
    </w:p>
    <w:p>
      <w:pPr>
        <w:spacing w:after="160" w:line="300"/>
      </w:pPr>
      <w:r>
        <w:t xml:space="preserve">The final GridSearchCV-tuned Gradient Boosting Regressor achieved a test R² of 0.9429 and RMSE of $21,453, representing roughly a 94% improvement over the baseline. The model's stability was confirmed via 5-fold cross-validation (0.9039 ± 0.0139), demonstrating that it is not overfit and should generalize reliably to new data.</w:t>
      </w:r>
    </w:p>
    <w:p>
      <w:pPr>
        <w:spacing w:after="160" w:line="300"/>
      </w:pPr>
      <w:r>
        <w:t xml:space="preserve">Potential directions for future improvement include: (i) building a separate model or gathering additional features for the luxury segment, (ii) evaluating more advanced ensemble algorithms such as LightGBM or CatBoost, (iii) applying stacking/blending ensemble techniques, and (iv) using SHAP values for deeper, more granular feature-impact explainability analysis.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House Price Prediction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d8307fbdb55ec83a555ec891eb04eb17e4c237.png"/><Relationship Id="rId10" Type="http://schemas.openxmlformats.org/officeDocument/2006/relationships/image" Target="media/aef4509787da0f69019afa90ea8c648c08250ed6.png"/><Relationship Id="rId11" Type="http://schemas.openxmlformats.org/officeDocument/2006/relationships/image" Target="media/1b54fd12aa06b1d2f4734fe866e47717729e4e99.png"/><Relationship Id="rId12" Type="http://schemas.openxmlformats.org/officeDocument/2006/relationships/image" Target="media/5ef67c5145b70917c40626a8b9803e19586890cb.png"/><Relationship Id="rId13" Type="http://schemas.openxmlformats.org/officeDocument/2006/relationships/image" Target="media/c8c9f4bd108330527a29770fddc362c4db6b4969.png"/><Relationship Id="rId14" Type="http://schemas.openxmlformats.org/officeDocument/2006/relationships/image" Target="media/12f1d8e2703113f7db36e452321d31e832a80ae1.png"/><Relationship Id="rId15" Type="http://schemas.openxmlformats.org/officeDocument/2006/relationships/image" Target="media/7c2513c43ea579039232ddb4c24cbe8902c8f115.png"/><Relationship Id="rId16" Type="http://schemas.openxmlformats.org/officeDocument/2006/relationships/image" Target="media/d84ac2bad7307b31acf8330423b3c24f16b3c004.png"/><Relationship Id="rId17" Type="http://schemas.openxmlformats.org/officeDocument/2006/relationships/image" Target="media/d4fd35ef2da438a299963b674fb4d4fdcabbfde3.png"/><Relationship Id="rId18" Type="http://schemas.openxmlformats.org/officeDocument/2006/relationships/image" Target="media/a9a7daf7a1ed5913a4b526915ee361f46c09f52f.png"/><Relationship Id="rId19" Type="http://schemas.openxmlformats.org/officeDocument/2006/relationships/image" Target="media/41537dd52898b42364032880024e7cfaa603dae5.png"/><Relationship Id="rId20" Type="http://schemas.openxmlformats.org/officeDocument/2006/relationships/image" Target="media/578fb03b43ea34ed0606e879697869bc609ce25e.png"/><Relationship Id="rId21" Type="http://schemas.openxmlformats.org/officeDocument/2006/relationships/image" Target="media/122c35f8a08b177f06c40f119e25f61d8ebd0b77.png"/><Relationship Id="rId22" Type="http://schemas.openxmlformats.org/officeDocument/2006/relationships/image" Target="media/8fed49c9b06c4ebc72c0db1c22d271cc7235afa1.png"/><Relationship Id="rId23" Type="http://schemas.openxmlformats.org/officeDocument/2006/relationships/image" Target="media/1ad8064f47d0bf1c8b62932cff5df4d44447aac4.png"/><Relationship Id="rId24" Type="http://schemas.openxmlformats.org/officeDocument/2006/relationships/image" Target="media/d5cfae6049d0e0d11799d4a1f1280f3b8a9f6838.png"/><Relationship Id="rId25" Type="http://schemas.openxmlformats.org/officeDocument/2006/relationships/image" Target="media/02148aee023fc2e9b3767c7ecafcbf87a634e035.png"/><Relationship Id="rId26" Type="http://schemas.openxmlformats.org/officeDocument/2006/relationships/image" Target="media/bda644886958ddb18ae5373bd2e2fbed32d933f0.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Price Prediction — Project Report</dc:title>
  <dc:creator>Data Science Team</dc:creator>
  <cp:lastModifiedBy>Un-named</cp:lastModifiedBy>
  <cp:revision>1</cp:revision>
  <dcterms:created xsi:type="dcterms:W3CDTF">2026-09-14T07:58:11.346Z</dcterms:created>
  <dcterms:modified xsi:type="dcterms:W3CDTF">2026-09-14T07:58:11.356Z</dcterms:modified>
</cp:coreProperties>
</file>

<file path=docProps/custom.xml><?xml version="1.0" encoding="utf-8"?>
<Properties xmlns="http://schemas.openxmlformats.org/officeDocument/2006/custom-properties" xmlns:vt="http://schemas.openxmlformats.org/officeDocument/2006/docPropsVTypes"/>
</file>