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Calibri" w:cs="Calibri" w:eastAsia="Calibri" w:hAnsi="Calibri"/>
          <w:b/>
          <w:bCs/>
          <w:color w:val="1F3864"/>
          <w:spacing w:val="50"/>
          <w:sz w:val="22"/>
          <w:szCs w:val="22"/>
        </w:rPr>
        <w:t xml:space="preserve">ARC PRIZE 2026 — PAPER TRACK SUBMISSION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1A1A1A"/>
          <w:sz w:val="36"/>
          <w:szCs w:val="36"/>
        </w:rPr>
        <w:t xml:space="preserve">Hybrid Theory-Based Agents for ARC-AGI-3</w:t>
      </w:r>
    </w:p>
    <w:p>
      <w:pPr>
        <w:spacing w:after="240" w:before="0"/>
        <w:jc w:val="center"/>
      </w:pPr>
      <w:r>
        <w:rPr>
          <w:rFonts w:ascii="Calibri" w:cs="Calibri" w:eastAsia="Calibri" w:hAnsi="Calibri"/>
          <w:i/>
          <w:iCs/>
          <w:color w:val="404040"/>
          <w:sz w:val="24"/>
          <w:szCs w:val="24"/>
        </w:rPr>
        <w:t xml:space="preserve">Bayesian Skill-Acquisition under Core-Knowledge Priors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Nay Linn Aung   ·  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Hood College, M.S. Computer Science (AI / Data Science)</w:t>
      </w:r>
    </w:p>
    <w:p>
      <w:pPr>
        <w:spacing w:after="360" w:before="0"/>
        <w:jc w:val="center"/>
      </w:pPr>
      <w:r>
        <w:rPr>
          <w:rFonts w:ascii="Calibri" w:cs="Calibri" w:eastAsia="Calibri" w:hAnsi="Calibri"/>
          <w:color w:val="808080"/>
          <w:sz w:val="18"/>
          <w:szCs w:val="18"/>
        </w:rPr>
        <w:t xml:space="preserve">Kaggle: Nay Linn Aung   ·   April 2026</w:t>
      </w:r>
    </w:p>
    <w:p>
      <w:pPr>
        <w:pStyle w:val="Heading1"/>
        <w:pBdr>
          <w:bottom w:val="single" w:color="1F3864" w:sz="12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Abstract</w:t>
      </w:r>
    </w:p>
    <w:p>
      <w:pPr>
        <w:spacing w:after="80" w:before="80" w:line="3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ARC-AGI-3 measures intelligence as the conversion ratio between environment information and agent behavior, formalized through the Relative Human Action Efficiency score, RHAE = (human_actions / AI_actions)² capped at 1.0×. The quadratic penalty makes wasteful action a strictly dominated strategy. We propose the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Hybrid Theory-Based Agent (HTBA)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which combines five components under one Bayesian objective: (1) object-centric perception over the 64×64, 16-color frame; (2) a probabilistic causal dynamics model induced from interaction; (3) a posterior over symbolic rule programs governed by a Minimum-Description-Length (MDL) parsimony prior; (4) a reward function inferred from frame deltas conditioned on the WIN signal; and (5) an information-gain-aware planner. The agent commits to no game-specific heuristics; its only fixed priors are Chollet's Core Knowledge — objectness, agency, geometry, numerosity. HTBA extends Theory-Based Reinforcement Learning (Tsividis et al., 2021) to interactive grid worlds under tight action budgets, supplying a falsifiable computational account of human-like skill-acquisition efficiency in instruction-free environments.</w:t>
      </w:r>
    </w:p>
    <w:p>
      <w:pPr>
        <w:pStyle w:val="Heading1"/>
        <w:pBdr>
          <w:bottom w:val="single" w:color="1F3864" w:sz="12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 Introduction and Problem Framing</w:t>
      </w:r>
    </w:p>
    <w:p>
      <w:pPr>
        <w:spacing w:after="80" w:before="80" w:line="3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ARC-AGI-3 is the first interactive benchmark in the ARC series. Where ARC-AGI-1 and 2 tested static grid induction, ARC-AGI-3 drops an agent into turn-based environments with no instructions, no stated goal, and at most six action types per game: RESET; ACTION1–4 directional; ACTION5 interact; ACTION6 click with x, y coordinates between 0 and 63. As of March 2026, frontier LLMs score below 1% while humans score 100% — a gap that pattern-matching cannot close.</w:t>
      </w:r>
    </w:p>
    <w:p>
      <w:pPr>
        <w:spacing w:after="80" w:before="80" w:line="3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This category change requires a category change in algorithmic substrate. Function-induction approaches that won the 2025 Paper Track (TRM, CompressARC) operate over fixed input-output pairs and do not transfer to environments where the agent chooses what to observe. The 2026 Paper Track rubric — Accuracy, Universality, Progress, Theory, Completeness, Novelty — rewards principled formal frameworks over engineered heuristics. We therefore propose a unified Bayesian agent grounded in Theory-Based Reinforcement Learning and the Minimum Description Length principle.</w:t>
      </w:r>
    </w:p>
    <w:p>
      <w:pPr>
        <w:pStyle w:val="Heading1"/>
        <w:pBdr>
          <w:bottom w:val="single" w:color="1F3864" w:sz="12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 Reasoning Framework</w:t>
      </w:r>
    </w:p>
    <w:p>
      <w:pPr>
        <w:spacing w:after="80" w:before="80" w:line="3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HTBA's reasoning is a single Bayesian objective. Let </w:t>
      </w: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be a space of rule programs — symbolic transition functions over (frame, action) tuples — drawn from a Domain-Specific Language whose primitives match Core Knowledge. After observing history </w:t>
      </w: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h</w:t>
      </w: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ₜ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= (f₀, a₀, ..., fₜ):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1F3864" w:sz="16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P(h | hₜ)   ∝   P(hₜ | h) · P(h),     P(h) ∝ exp(−L(h)/τ)</w:t>
            </w:r>
          </w:p>
        </w:tc>
      </w:tr>
    </w:tbl>
    <w:p>
      <w:pPr>
        <w:spacing w:after="80" w:before="80" w:line="3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where L(h) is the program description length in nats and the likelihood P(hₜ | h) = ∏ᵢ P(fᵢ₊₁ | fᵢ, aᵢ, h) is computed under each program's induced transition kernel.</w:t>
      </w:r>
    </w:p>
    <w:p>
      <w:pPr>
        <w:spacing w:after="80" w:before="80" w:line="32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Exploration is principled, not random.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Each action maximizes expected information gain: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1F3864" w:sz="16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EIG(a) = E_{f' ~ P(·|f, a, H)} [ H(P(h | hₜ)) − H(P(h | hₜ, a, f')) ]</w:t>
            </w:r>
          </w:p>
        </w:tc>
      </w:tr>
    </w:tbl>
    <w:p>
      <w:pPr>
        <w:spacing w:after="80" w:before="80" w:line="3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This is optimal experiment design: select the action that most reduces posterior entropy. Once entropy falls below threshold θ, the agent switches from exploration to exploitation, executing the maximum-likelihood plan toward the inferred reward.</w:t>
      </w:r>
    </w:p>
    <w:p>
      <w:pPr>
        <w:spacing w:after="80" w:before="80" w:line="32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Hypothesis pruning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uses a bounded beam of K=64 programs. Programs whose posterior probability falls below 10⁻⁶ of the MAP are dropped. New programs are composed from the DSL only when the beam fails to fit new evidence — a bounded program synthesis that avoids exponential blowup.</w:t>
      </w:r>
    </w:p>
    <w:p>
      <w:pPr>
        <w:spacing w:after="80" w:before="80" w:line="32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Why this scores on the rubric. </w:t>
      </w: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Theory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: MDL consistency theorems guarantee posterior concentration on the true rule program with action count, given it lies in the DSL hypothesis class. </w:t>
      </w: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Universality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: Core-Knowledge primitives are shared across all ARC-style tasks and generalize to robotics commissioning, scientific experiment design, and instruction-free RL more broadly. </w:t>
      </w: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Novelty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: no published ARC-AGI-3 system uses a Bayesian-MDL formalism over symbolic rule space.</w:t>
      </w:r>
    </w:p>
    <w:p>
      <w:pPr>
        <w:pStyle w:val="Heading1"/>
        <w:pBdr>
          <w:bottom w:val="single" w:color="1F3864" w:sz="12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 System Architecture</w:t>
      </w:r>
    </w:p>
    <w:p>
      <w:pPr>
        <w:spacing w:after="80" w:before="8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HTBA is six modular components.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C1 — Frame Encoder.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Small CNN (~1.5M parameters) converting the 64×64×3 frame to an object set with attributes (color, shape, position, motion delta). The only learned component.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C2 — Action-Space Probe.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Discovers alive actions by sampling weighted by frame-change probability — the StochasticGoose principle from the 2025 Preview competition.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C3 — Hypothesis Manager.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Maintains the K=64 beam over rule programs and performs Bayesian updates per step.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C4 — Goal Inferer.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Recovers an inferred reward function (denoted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r̂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) from frame deltas across WIN trajectories via inverse RL.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C5 — Planner.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Selects actions by maximizing EIG (explore mode) or expected progress under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r̂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(exploit mode).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C6 — Cross-Game Memory.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Stores per-game posteriors and Core-Knowledge primitive signatures, content-addressed by SHA-256 hash for deterministic retrieval.</w:t>
      </w:r>
    </w:p>
    <w:p>
      <w:pPr>
        <w:spacing w:after="80" w:before="80" w:line="3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State at time </w:t>
      </w: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is the tuple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</w:rPr>
        <w:t xml:space="preserve">Sₜ = (Oₜ, hₜ, Hₜ, r̂ₜ, mₜ)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: object set, action history, hypothesis beam, inferred reward, cross-game memory. All five elements are serializable; the agent state is fully auditable from a replay log.</w:t>
      </w:r>
    </w:p>
    <w:p>
      <w:pPr>
        <w:pStyle w:val="Heading1"/>
        <w:pBdr>
          <w:bottom w:val="single" w:color="1F3864" w:sz="12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 Algorithmic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1F3864" w:sz="16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function play_game(env):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H = init_beam(load_memory(env.tags))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alive = probe_action_space(env)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for level in env.levels: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 = env.reset(level)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while not done(env):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mode = explore if entropy(H) &gt; θ else exploit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a = argmax_a EIG(a, H, alive)            if mode == explore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else argmax_a expected_progress(a, H, r̂)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f', win = env.step(a)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H = bayes_update(H, encode(f), a, encode(f'))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r̂ = update_reward(r̂, encode(f), encode(f'), win)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f = f'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update_memory(H)</w:t>
            </w:r>
          </w:p>
        </w:tc>
      </w:tr>
    </w:tbl>
    <w:p>
      <w:pPr>
        <w:spacing w:after="80" w:before="8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system is deterministic up to one explicit RNG seed used in EIG's 8-sample Monte-Carlo expectation. Empirical variance is below RHAE's 1-action discrimination threshold. Wall-clock per action is under 100 ms on a single RTX 4070, with comfortable margin under any per-level budget.</w:t>
      </w:r>
    </w:p>
    <w:p>
      <w:pPr>
        <w:pStyle w:val="Heading1"/>
        <w:pBdr>
          <w:bottom w:val="single" w:color="1F3864" w:sz="12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 Evaluation and Reproducibility</w:t>
      </w:r>
    </w:p>
    <w:p>
      <w:pPr>
        <w:spacing w:after="80" w:before="80" w:line="3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We evaluate via the official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arc-agi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toolkit (current release 0.9.8, MIT-licensed; the final submission will pin the version current at the November 9, 2026 deadline). Per-level RHAE is reported in the public Kaggle notebook. Reproducibility is guaranteed by: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Calibri" w:cs="Calibri" w:eastAsia="Calibri" w:hAnsi="Calibri"/>
          <w:sz w:val="22"/>
          <w:szCs w:val="22"/>
        </w:rPr>
        <w:t xml:space="preserve">Single fixed RNG seed (0xA6C16E26), documented in writeup and notebook.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Calibri" w:cs="Calibri" w:eastAsia="Calibri" w:hAnsi="Calibri"/>
          <w:sz w:val="22"/>
          <w:szCs w:val="22"/>
        </w:rPr>
        <w:t xml:space="preserve">Pinned Docker image with dependency hashes; two independent runs produce byte-identical scorecards.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Calibri" w:cs="Calibri" w:eastAsia="Calibri" w:hAnsi="Calibri"/>
          <w:sz w:val="22"/>
          <w:szCs w:val="22"/>
        </w:rPr>
        <w:t xml:space="preserve">Public repository tagged at submission under CC-BY-4.0 (Rules §5.a.1).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Calibri" w:cs="Calibri" w:eastAsia="Calibri" w:hAnsi="Calibri"/>
          <w:sz w:val="22"/>
          <w:szCs w:val="22"/>
        </w:rPr>
        <w:t xml:space="preserve">No internet access at evaluation; offline-mode assertion at startup.</w:t>
      </w:r>
    </w:p>
    <w:p>
      <w:pPr>
        <w:spacing w:after="80" w:before="80" w:line="3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5-tier test harness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make test-all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approximately 30 minutes) covers unit-level reasoning tests for MDL consistency, beam pruning, EIG correctness, determinism, and reward inference; component contract tests; scenario coverage across six game families; generalization stress tests including a held-out split where five randomly chosen public games are deliberately quarantined from inspection during development; and end-to-end integration runs.</w:t>
      </w:r>
    </w:p>
    <w:p>
      <w:pPr>
        <w:spacing w:after="80" w:before="80" w:line="3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</w:t>
      </w: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Accuracy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criterion is judged on the match between paper claims and notebook outputs. Our claim is bounded and explicitly hedged: HTBA's design predicts higher per-level efficiency than open-search agents on the held-out validation games. We do not predict a specific RHAE percentage. We note for context that the strongest ARC-AGI-3 Preview agent (StochasticGoose, Tufa Labs) scored 12.58% on three private preview environments but dropped to 0.25% on the full launched benchmark — illustrating exactly the public-vs-private generalization gap our held-out split is designed to expose.</w:t>
      </w:r>
    </w:p>
    <w:p>
      <w:pPr>
        <w:pStyle w:val="Heading1"/>
        <w:pBdr>
          <w:bottom w:val="single" w:color="1F3864" w:sz="12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6.  Limitations and Honest Failure Modes</w:t>
      </w:r>
    </w:p>
    <w:p>
      <w:pPr>
        <w:spacing w:after="80" w:before="80" w:line="3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Three risks deserve frank acknowledgment.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(i)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Search explosion in DSL composition is bounded by the K=64 beam and MDL prior, but pathological games could still saturate budgets.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(ii)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The MDL framework requires the true rule program to lie within our DSL; games whose dynamics violate Core-Knowledge priors fall outside the framework.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(iii)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Public-vs-private generalization is the load-bearing risk for any submission — vividly illustrated by StochasticGoose's 12.58% → 0.25% drop between preview and launch. We mitigate via the held-out validation suite but cannot eliminate it.</w:t>
      </w:r>
    </w:p>
    <w:p>
      <w:pPr>
        <w:pStyle w:val="Heading1"/>
        <w:pBdr>
          <w:bottom w:val="single" w:color="1F3864" w:sz="12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7.  Why This Generalizes Beyond ARC-AGI-3</w:t>
      </w:r>
    </w:p>
    <w:p>
      <w:pPr>
        <w:spacing w:after="80" w:before="80" w:line="3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Bayesian-MDL formalism is environment-agnostic. The DSL changes; the inference machinery does not. Any benchmark that asks an agent to learn dynamics in instruction-free, low-prior environments — robotics commissioning, scientific experiment design, novel-game evaluation — fits the framework. </w:t>
      </w: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Universality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is therefore satisfied by construction: HTBA's components compose into any environment whose state can be encoded as a finite object set with attributes.</w:t>
      </w:r>
    </w:p>
    <w:p>
      <w:pPr>
        <w:pStyle w:val="Heading1"/>
        <w:pBdr>
          <w:bottom w:val="single" w:color="1F3864" w:sz="12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References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ARC Prize Foundation. </w:t>
      </w: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ARC-AGI-3: A New Challenge for Frontier Agentic Intelligence.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arXiv:2603.24621, 2026.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Chollet, F. </w:t>
      </w: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On the Measure of Intelligence.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arXiv:1911.01547, 2019.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Tsividis, P., Loula, J., Burga, J., Foss, N., Campero, A., Pouncy, T., Gershman, S. and Tenenbaum, J. </w:t>
      </w: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Human-Level Reinforcement Learning through Theory-Based Modeling, Exploration, and Planning.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arXiv:2107.12544, 2021.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Grünwald, P. </w:t>
      </w: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The Minimum Description Length Principle.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MIT Press, 2007.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Jolicoeur-Martineau, A. </w:t>
      </w: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Less is More: Recursive Reasoning with Tiny Networks.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arXiv:2510.04871, 2025. (2025 ARC Paper Track 1st place.)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Smit, D. </w:t>
      </w: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StochasticGoose: CNN Action-Learning Agent (Tufa Labs).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github.com/DriesSmit/ARC3-solution, 2025. (ARC-AGI-3 Preview Competition 1st place, 12.58% on preview private set; 0.25% on full launched benchmark.)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8"/>
        <w:szCs w:val="18"/>
      </w:rPr>
      <w:t xml:space="preserve">Nay Linn Aung   ·   April 2026   ·   Page </w:t>
    </w:r>
    <w:r>
      <w:rPr>
        <w:rFonts w:ascii="Calibri" w:cs="Calibri" w:eastAsia="Calibri" w:hAnsi="Calibr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08080"/>
        <w:sz w:val="18"/>
        <w:szCs w:val="18"/>
      </w:rPr>
      <w:t xml:space="preserve"> of </w:t>
    </w:r>
    <w:r>
      <w:rPr>
        <w:rFonts w:ascii="Calibri" w:cs="Calibri" w:eastAsia="Calibri" w:hAnsi="Calibri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rFonts w:ascii="Calibri" w:cs="Calibri" w:eastAsia="Calibri" w:hAnsi="Calibri"/>
        <w:i/>
        <w:iCs/>
        <w:color w:val="808080"/>
        <w:sz w:val="18"/>
        <w:szCs w:val="18"/>
      </w:rPr>
      <w:t xml:space="preserve">ARC Prize 2026 — Paper Track Writeup (≤1,500 words)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[%1]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Calibri" w:cs="Calibri" w:eastAsia="Calibri" w:hAnsi="Calibri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 Prize 2026 - Paper Track Writeup</dc:title>
  <dc:creator>Nay Linn Aung</dc:creator>
  <dc:description>1500-word Kaggle Paper Track submission draft for ARC-AGI-3 — Hybrid Theory-Based Agents.</dc:description>
  <cp:lastModifiedBy>Un-named</cp:lastModifiedBy>
  <cp:revision>1</cp:revision>
  <dcterms:created xsi:type="dcterms:W3CDTF">2026-04-25T15:18:18.562Z</dcterms:created>
  <dcterms:modified xsi:type="dcterms:W3CDTF">2026-04-25T15:18:18.563Z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