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Introduction to Hardware-Constrained Learning for Quantum Computing and Artificial Intelligence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Pr>
          <w:rFonts w:ascii="Google Sans" w:cs="Google Sans" w:eastAsia="Google Sans" w:hAnsi="Google Sans"/>
          <w:b w:val="1"/>
          <w:bCs w:val="1"/>
          <w:color w:val="1f1f1f"/>
          <w:rtl w:val="0"/>
        </w:rPr>
        <w:t xml:space="preserve">The Paradigm Shift to Hardware-Aware Design:</w:t>
      </w:r>
      <w:r>
        <w:rPr>
          <w:rFonts w:ascii="Google Sans" w:cs="Google Sans" w:eastAsia="Google Sans" w:hAnsi="Google Sans"/>
          <w:color w:val="1f1f1f"/>
          <w:rtl w:val="0"/>
        </w:rPr>
        <w:t xml:space="preserve"> The theoretical promise of quantum machine learning (QML) has historically relied on fault-tolerant assumptions that are wholly incompatible with current physical realities. Hardware-constrained learning fundamentally reconstructs QML architectures to align with the severe physical limitations of Noisy Intermediate-Scale Quantum (NISQ) devices, establishing a mandatory bridge between abstract quantum complexity theory and practical algorithmic deployment.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Pr>
          <w:rFonts w:ascii="Google Sans" w:cs="Google Sans" w:eastAsia="Google Sans" w:hAnsi="Google Sans"/>
          <w:b w:val="1"/>
          <w:bCs w:val="1"/>
          <w:color w:val="1f1f1f"/>
          <w:rtl w:val="0"/>
        </w:rPr>
        <w:t xml:space="preserve">The Benchmarking Reality and the Fallacy of "Quantumness":</w:t>
      </w:r>
      <w:r>
        <w:rPr>
          <w:rFonts w:ascii="Google Sans" w:cs="Google Sans" w:eastAsia="Google Sans" w:hAnsi="Google Sans"/>
          <w:color w:val="1f1f1f"/>
          <w:rtl w:val="0"/>
        </w:rPr>
        <w:t xml:space="preserve"> Rigorous empirical benchmarking across simulated and physical hardware reveals that unmodified classical machine learning models consistently outperform heuristic quantum classifiers on small-scale tasks. Furthermore, removing entanglement from quantum models frequently yields equivalent or superior performance, challenging the assumption that deep quantum entanglement is an automatic prerequisite for learning advantages in the NISQ era (Bowles et al., 2024).</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Pr>
          <w:rFonts w:ascii="Google Sans" w:cs="Google Sans" w:eastAsia="Google Sans" w:hAnsi="Google Sans"/>
          <w:b w:val="1"/>
          <w:bCs w:val="1"/>
          <w:color w:val="1f1f1f"/>
          <w:rtl w:val="0"/>
        </w:rPr>
        <w:t xml:space="preserve">Noise as a Fundamental Algorithmic Barrier:</w:t>
      </w:r>
      <w:r>
        <w:rPr>
          <w:rFonts w:ascii="Google Sans" w:cs="Google Sans" w:eastAsia="Google Sans" w:hAnsi="Google Sans"/>
          <w:color w:val="1f1f1f"/>
          <w:rtl w:val="0"/>
        </w:rPr>
        <w:t xml:space="preserve"> Hardware noise does not merely degrade the precision of model outputs; it fundamentally alters the geometric landscape of the optimization space. Decoherence and gate errors induce noise-induced barren plateaus (NIBPs), which exponentially suppress cost function gradients and render deep variational circuits mathematically untrainable, demanding entirely new mitigation strategies (Wang et al., 2021).</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Pr>
          <w:rFonts w:ascii="Google Sans" w:cs="Google Sans" w:eastAsia="Google Sans" w:hAnsi="Google Sans"/>
          <w:b w:val="1"/>
          <w:bCs w:val="1"/>
          <w:color w:val="1f1f1f"/>
          <w:rtl w:val="0"/>
        </w:rPr>
        <w:t xml:space="preserve">The Exponential Toll of Error Mitigation:</w:t>
      </w:r>
      <w:r>
        <w:rPr>
          <w:rFonts w:ascii="Google Sans" w:cs="Google Sans" w:eastAsia="Google Sans" w:hAnsi="Google Sans"/>
          <w:color w:val="1f1f1f"/>
          <w:rtl w:val="0"/>
        </w:rPr>
        <w:t xml:space="preserve"> While Quantum Error Mitigation (QEM) techniques—such as Zero-Noise Extrapolation (ZNE) and Probabilistic Error Cancellation (PEC)—are critical for recovering unbiased expectation values, they incur an exponential scaling overhead in measurement shots. Consequently, they cannot circumvent the trainability bottleneck but instead shift the exponential cost from hardware noise directly onto the sampling budget (Temme et al., 2017).</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Pr>
          <w:rFonts w:ascii="Google Sans" w:cs="Google Sans" w:eastAsia="Google Sans" w:hAnsi="Google Sans"/>
          <w:b w:val="1"/>
          <w:bCs w:val="1"/>
          <w:color w:val="1f1f1f"/>
          <w:rtl w:val="0"/>
        </w:rPr>
        <w:t xml:space="preserve">Architectural Trade-offs and the "Goldilocks" Regime:</w:t>
      </w:r>
      <w:r>
        <w:rPr>
          <w:rFonts w:ascii="Google Sans" w:cs="Google Sans" w:eastAsia="Google Sans" w:hAnsi="Google Sans"/>
          <w:color w:val="1f1f1f"/>
          <w:rtl w:val="0"/>
        </w:rPr>
        <w:t xml:space="preserve"> The deployment of Variational Quantum Circuits (VQCs) requires a precise equilibrium between expressivity and trainability. "Goldilocks" scenarios exist—specifically, the application of shallow Hardware-Efficient Ansätze (HEAs) to data exhibiting strict area-law entanglement—where models remain sufficiently expressive to capture data correlations while remaining immune to expressibility-induced barren plateaus (Cerezo et al., 2021).</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Pr>
          <w:rFonts w:ascii="Google Sans" w:cs="Google Sans" w:eastAsia="Google Sans" w:hAnsi="Google Sans"/>
          <w:b w:val="1"/>
          <w:bCs w:val="1"/>
          <w:color w:val="1f1f1f"/>
          <w:rtl w:val="0"/>
        </w:rPr>
        <w:t xml:space="preserve">The Shot-Noise Optimization Bottleneck:</w:t>
      </w:r>
      <w:r>
        <w:rPr>
          <w:rFonts w:ascii="Google Sans" w:cs="Google Sans" w:eastAsia="Google Sans" w:hAnsi="Google Sans"/>
          <w:color w:val="1f1f1f"/>
          <w:rtl w:val="0"/>
        </w:rPr>
        <w:t xml:space="preserve"> Beyond hardware decoherence, the probabilistic nature of quantum mechanics imposes a strict finite-sampling (shot noise) limit. Advanced training methodologies, notably variance regularization and dynamic shot allocation, are absolute necessities to accelerate convergence, stabilize gradients, and manage the prohibitive financial costs of cloud-based quantum execution (Kreplin, 2024).</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Pr>
          <w:rFonts w:ascii="Google Sans" w:cs="Google Sans" w:eastAsia="Google Sans" w:hAnsi="Google Sans"/>
          <w:b w:val="1"/>
          <w:bCs w:val="1"/>
          <w:color w:val="1f1f1f"/>
          <w:rtl w:val="0"/>
        </w:rPr>
        <w:t xml:space="preserve">Operational Risks and the Quantum Cloud Threat Model:</w:t>
      </w:r>
      <w:r>
        <w:rPr>
          <w:rFonts w:ascii="Google Sans" w:cs="Google Sans" w:eastAsia="Google Sans" w:hAnsi="Google Sans"/>
          <w:color w:val="1f1f1f"/>
          <w:rtl w:val="0"/>
        </w:rPr>
        <w:t xml:space="preserve"> The transition from localized laboratory environments to Quantum Machine Learning-as-a-Service (QMLaaS) cloud deployments exposes organizations to novel vulnerabilities. These include quantum data poisoning, adversarial state perturbations, crippling decision latency due to cloud queuing, and the overarching threat of post-quantum cryptographic decryption of sensitive training pipelines (Kundu et al., 2024).</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 Key Definitions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To navigate the intersection of quantum physics and machine learning, one must establish a rigorous vocabulary that bridges both disciplines. The following definitions form the conceptual foundation of hardware-constrained QML.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Hardware-Constrained Learning (Hardware-Aware QML):</w:t>
      </w:r>
      <w:r>
        <w:rPr>
          <w:rFonts w:ascii="Google Sans" w:cs="Google Sans" w:eastAsia="Google Sans" w:hAnsi="Google Sans"/>
          <w:color w:val="1f1f1f"/>
          <w:rtl w:val="0"/>
        </w:rPr>
        <w:t xml:space="preserve"> A methodological paradigm in quantum machine learning wherein the structural architecture, data encoding mechanisms, and classical optimization loops are explicitly designed around the physical constraints of the target Quantum Processing Unit (QPU). This approach abandons the assumption of ideal, noise-free qubits, instead optimizing for the specific native gate set, limited coherence times, localized topological connectivity, and distinct noise profiles of the physical hardware.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Noisy Intermediate-Scale Quantum (NISQ):</w:t>
      </w:r>
      <w:r>
        <w:rPr>
          <w:rFonts w:ascii="Google Sans" w:cs="Google Sans" w:eastAsia="Google Sans" w:hAnsi="Google Sans"/>
          <w:color w:val="1f1f1f"/>
          <w:rtl w:val="0"/>
        </w:rPr>
        <w:t xml:space="preserve"> The current technological epoch of quantum hardware, characterized by processors containing tens to hundreds of qubits that lack the necessary redundancy for universal, fault-tolerant quantum error correction. NISQ devices are inherently susceptible to environmental decoherence, crosstalk, and systematic control errors, fundamentally restricting the depth and complexity of algorithms that can be executed successfully (Schuld &amp; Petruccione, 2018).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Variational Quantum Circuit (VQC) / Parameterized Quantum Circuit (PQC):</w:t>
      </w:r>
      <w:r>
        <w:rPr>
          <w:rFonts w:ascii="Google Sans" w:cs="Google Sans" w:eastAsia="Google Sans" w:hAnsi="Google Sans"/>
          <w:color w:val="1f1f1f"/>
          <w:rtl w:val="0"/>
        </w:rPr>
        <w:t xml:space="preserve"> A hybrid quantum-classical algorithmic framework functioning as the quantum analog to a classical neural network. A VQC consists of a quantum circuit parameterized by adjustable variables (e.g., the angles of rotational gates). A classical optimizer iteratively updates these parameters to minimize a specified cost function, relying on the quantum computer solely to evaluate the cost function and its gradients via physical measurement (Peruzzo et al., 2014).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Quantum Kernel Method:</w:t>
      </w:r>
      <w:r>
        <w:rPr>
          <w:rFonts w:ascii="Google Sans" w:cs="Google Sans" w:eastAsia="Google Sans" w:hAnsi="Google Sans"/>
          <w:color w:val="1f1f1f"/>
          <w:rtl w:val="0"/>
        </w:rPr>
        <w:t xml:space="preserve"> An analytical QML approach that completely bypasses parameterized circuit optimization. Instead, it utilizes the quantum computer exclusively as a high-dimensional feature map, encoding classical data into complex quantum state vectors. The QPU computes the inner product (the kernel or similarity metric) between these quantum states. This resulting kernel matrix is subsequently extracted and processed by a classical convex optimizer, such as a Support Vector Machine (SVM) (Havlicek et al., 2019).</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Continuous-Variable Quantum Neural Network (CV-QNN):</w:t>
      </w:r>
      <w:r>
        <w:rPr>
          <w:rFonts w:ascii="Google Sans" w:cs="Google Sans" w:eastAsia="Google Sans" w:hAnsi="Google Sans"/>
          <w:color w:val="1f1f1f"/>
          <w:rtl w:val="0"/>
        </w:rPr>
        <w:t xml:space="preserve"> An alternative quantum machine learning architecture uniquely suited for photonic quantum hardware. Rather than utilizing discrete two-level systems (qubits), CV-QNNs encode information into the continuous degrees of freedom of the electromagnetic field, known as qumodes. They leverage Gaussian operations (e.g., beam splitters and squeezers) to execute affine transformations, and employ non-Gaussian resources (e.g., the Kerr effect or photon subtraction) to enact true non-linear activation functions, directly mirroring classical deep learning architectures (Killoran et al., 2019).</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Barren Plateaus (BPs):</w:t>
      </w:r>
      <w:r>
        <w:rPr>
          <w:rFonts w:ascii="Google Sans" w:cs="Google Sans" w:eastAsia="Google Sans" w:hAnsi="Google Sans"/>
          <w:color w:val="1f1f1f"/>
          <w:rtl w:val="0"/>
        </w:rPr>
        <w:t xml:space="preserve"> A catastrophic trainability phenomenon occurring in high-dimensional parameterized quantum circuits. In a barren plateau, the variance of the cost function gradient vanishes exponentially with respect to the number of qubits. This flattens the multidimensional optimization landscape into a featureless plane, ensuring that gradient-descent algorithms require an exponentially large number of measurements to determine an update direction, effectively halting the learning process (McClean et al., 2018).</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Dynamical Lie Algebra (DLA):</w:t>
      </w:r>
      <w:r>
        <w:rPr>
          <w:rFonts w:ascii="Google Sans" w:cs="Google Sans" w:eastAsia="Google Sans" w:hAnsi="Google Sans"/>
          <w:color w:val="1f1f1f"/>
          <w:rtl w:val="0"/>
        </w:rPr>
        <w:t xml:space="preserve"> A rigorous mathematical construct utilized to analyze the expressivity and trainability of quantum circuits. It is defined as the Lie algebra generated by the repeated commutators of the Hamiltonian generators present in a parameterized quantum circuit. The dimension of the DLA serves as a diagnostic metric: circuits generating exponentially large DLAs are highly expressive but mathematically guaranteed to exhibit barren plateaus, whereas circuits with polynomially sized DLAs remain trainable.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Shot Noise (Finite Sampling Noise):</w:t>
      </w:r>
      <w:r>
        <w:rPr>
          <w:rFonts w:ascii="Google Sans" w:cs="Google Sans" w:eastAsia="Google Sans" w:hAnsi="Google Sans"/>
          <w:color w:val="1f1f1f"/>
          <w:rtl w:val="0"/>
        </w:rPr>
        <w:t xml:space="preserve"> The statistical variance inherent in estimating the exact expectation value of a quantum observable. Because quantum measurement yields probabilistic outcomes (e.g., collapsing to 0 or 1), determining the true expectation value requires taking an ensemble of identical measurements, known as "shots." The standard error of this estimation scales inversely with the square root of the number of shots, imposing a severe computational and financial bottleneck on optimization loops (Kreplin, 2024).</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Quantum Error Mitigation (QEM):</w:t>
      </w:r>
      <w:r>
        <w:rPr>
          <w:rFonts w:ascii="Google Sans" w:cs="Google Sans" w:eastAsia="Google Sans" w:hAnsi="Google Sans"/>
          <w:color w:val="1f1f1f"/>
          <w:rtl w:val="0"/>
        </w:rPr>
        <w:t xml:space="preserve"> A suite of classical post-processing algorithms and quantum sampling techniques designed to mathematically extract noise-free expectation values from the outputs of noisy circuit executions. Unlike Quantum Error Correction (QEC), which actively protects quantum states during computation using physical redundancy, QEM operates post-measurement and requires no extra qubits, making it the primary method for improving fidelity in the NISQ era (Temme et al., 2017).</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3) Why Hardware-Constrained Learning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intersection of quantum computing and artificial intelligence has historically been dominated by complexity theory. Early literature in the field focused heavily on proving asymptotic, exponential speedups for specialized quantum algorithms operating under the assumption of universal, fault-tolerant quantum computers. While mathematically sound, this perspective has generated a profound methodological blind spot when applied to modern machine learning. In the context of the NISQ era, measuring the potential of a QML model purely through theoretical asymptotic complexity is fundamentally misaligned with the empirical reality of how machine learning models are trained, evaluated, and deployed.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Classical machine learning has achieved global dominance not through theoretical proofs of optimal time complexity, but through immense scalability. Deep neural networks succeed because their architectures have been relentlessly co-designed with highly parallelized, exceptionally reliable silicon-based hardware (GPUs and TPUs). The optimization landscapes are messy, non-convex, and highly dependent on vast datasets, yet they generalize effectively to unseen data. Conversely, current quantum hardware is defined by its fragility. It is strictly constrained by rapid environmental decoherence, highly restricted qubit connectivity, and operational error rates that exceed those of classical processors by several orders of magnitude.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prevalent practice in early QML research was to emulate classical methods—designing "quantum convolutional layers" or "quantum Boltzmann machines"—and assuming these would inherently inherit classical success while magically acquiring a quantum speedup. This "quantum prefix fallacy" completely ignores the physical reality of the hardware executing the instructions. When these idealized theoretical algorithms are compiled down to actual quantum hardware, they demand circuit depths that far exceed the coherence time of the qubits, resulting in outputs that are statistically indistinguishable from random noise.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Recent large-scale, rigorous benchmarking studies have systematically dismantled these early idealized narratives. In comprehensive evaluations testing diverse quantum machine learning models against out-of-the-box classical baselines across varied datasets, a stark reality emerges: classical algorithms consistently and significantly outperform unoptimized quantum classifiers at current scales (Bowles et al., 2024). More critically, these empirical benchmarks have revealed that removing entanglement from a quantum model—effectively stripping it of its primary "quantum" characteristic—often results in performance that is equal to, or even better than, highly entangled models.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counterintuitive finding exposes the core stakes of the field: deep entanglement is not a universal panacea for learning tasks. In fact, on near-term hardware, excessive entanglement rapidly accelerates the onset of barren plateaus and exponentially amplifies the accumulation of gate noise, actively destroying the model's ability to learn. Therefore, hardware-constrained learning is not merely a temporary engineering compromise; it is the fundamental scientific methodology required to achieve any form of quantum utility.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If an algorithm is designed under the assumption of infinite coherence and all-to-all connectivity, it is fundamentally useless today. Hardware-aware design demands that we explicitly exploit the native, physical gate sets of the specific Quantum Processing Unit (QPU), minimize costly SWAP-gate routing overhead, enforce shallow circuit depths, and intimately weave sophisticated error suppression protocols directly into the learning loop. Only by acknowledging and modeling within the strict confines of these physical limitations can researchers identify the highly specialized, narrow domains where quantum models might eventually secure a genuine, defensible advantage over classical systems.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4) Hardware Constraints That Shape Learning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design of a functional quantum machine learning algorithm cannot be divorced from the physical properties of the machine executing it. In the NISQ regime, the quantum state vector is continuously subjected to environmental interactions that collapse carefully engineered superpositions, while imperfect control electronics introduce systematic, coherent errors. To build robust models, researchers must translate these physical hardware limitations directly into algorithmic constraints and design appropriate mitigation strategies.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Hardware Constraint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Physical Origin &amp; Algorithmic 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Modeling &amp; 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Decoherence &amp; Gate Noise (</w:t>
            </w:r>
            <w:r>
              <w:rPr>
                <w:rFonts w:ascii="Google Sans" w:cs="Google Sans" w:eastAsia="Google Sans" w:hAnsi="Google Sans"/>
                <w:b w:val="1"/>
                <w:bCs w:val="1"/>
                <w:color w:val="1f1f1f"/>
              </w:rPr>
              <w:drawing>
                <wp:inline distB="19050" distT="19050" distL="19050" distR="19050">
                  <wp:extent cx="181496" cy="229258"/>
                  <wp:effectExtent b="0" l="0" r="0" t="0"/>
                  <wp:docPr id="1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b w:val="1"/>
                <w:bCs w:val="1"/>
                <w:color w:val="1f1f1f"/>
                <w:rtl w:val="0"/>
              </w:rPr>
              <w:t xml:space="preserve">/</w:t>
            </w:r>
            <w:r>
              <w:rPr>
                <w:rFonts w:ascii="Google Sans" w:cs="Google Sans" w:eastAsia="Google Sans" w:hAnsi="Google Sans"/>
                <w:b w:val="1"/>
                <w:bCs w:val="1"/>
                <w:color w:val="1f1f1f"/>
              </w:rPr>
              <w:drawing>
                <wp:inline distB="19050" distT="19050" distL="19050" distR="19050">
                  <wp:extent cx="181496" cy="229258"/>
                  <wp:effectExtent b="0" l="0" r="0" t="0"/>
                  <wp:docPr id="2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b w:val="1"/>
                <w:bCs w:val="1"/>
                <w:color w:val="1f1f1f"/>
                <w:rtl w:val="0"/>
              </w:rPr>
              <w:t xml:space="preserve"> times)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Qubits spontaneously lose energy to the environment (relaxation, </w:t>
            </w:r>
            <w:r>
              <w:rPr>
                <w:rFonts w:ascii="Google Sans" w:cs="Google Sans" w:eastAsia="Google Sans" w:hAnsi="Google Sans"/>
                <w:color w:val="1f1f1f"/>
              </w:rPr>
              <w:drawing>
                <wp:inline distB="19050" distT="19050" distL="19050" distR="19050">
                  <wp:extent cx="181496" cy="229258"/>
                  <wp:effectExtent b="0" l="0" r="0" t="0"/>
                  <wp:docPr id="1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and lose phase coherence (dephasing, </w:t>
            </w:r>
            <w:r>
              <w:rPr>
                <w:rFonts w:ascii="Google Sans" w:cs="Google Sans" w:eastAsia="Google Sans" w:hAnsi="Google Sans"/>
                <w:color w:val="1f1f1f"/>
              </w:rPr>
              <w:drawing>
                <wp:inline distB="19050" distT="19050" distL="19050" distR="19050">
                  <wp:extent cx="181496" cy="229258"/>
                  <wp:effectExtent b="0" l="0" r="0" t="0"/>
                  <wp:docPr id="2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This inevitably induces Noise-Induced Barren Plateaus (NIBPs), where cost function gradients vanish exponentially as circuit depth increases, halting learning.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Restrict architectures to shallow, Hardware-Efficient Ansätze (HEAs). Implement open-loop error suppression techniques such as Dynamical Decoupling (DD) to artificially extend effective coherence times during idle periods.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Limited Qubit Count &amp; The I/O Bottleneck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Current devices feature tens to hundreds of qubits, creating a severe bottleneck for data ingestion. Mapping high-dimensional classical datasets into quantum states is severely restricted by the Holevo bound, requiring impractically deep preparation circuits to encode large vectors.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Mandate rigorous classical dimensionality reduction (e.g., PCA, classical autoencoders) prior to quantum encoding. Utilize amplitude encoding for dense data packing only if coherence times permit the necessary deep preparation circuits.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Restricted Topology &amp; Connectivity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Physical qubits only interact with immediate neighbors (e.g., in heavy-hex or square lattice arrangements). Executing a two-qubit entangling gate between non-adjacent qubits requires injecting SWAP gates, tripling the effective circuit depth and exponentially compounding error rates.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Enforce topology-aware circuit compilation. Design ansatz blocks whose entanglement structure perfectly mirrors the physical connectivity graph of the target QPU to eliminate the need for SWAP routing entirely (Liu et al.,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Measurement SPAM Errors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State Preparation and Measurement (SPAM) errors occur when control electronics fail to initialize a state perfectly or misclassify a final state (e.g., recording |1⟩ when the true physical state was |0⟩). This introduces a systematic bias into all expectation-value-based loss functions, distorting gradient signals and shifting decision boundaries.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Apply classical readout error mitigation via confusion-matrix inversion (M3) or Twirled Readout Error Extinction (TREX). Calibrate measurement response matrices regularly to track drift in assignment fidelity.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Shot Noise (Finite Sampling)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laws of quantum mechanics dictate probabilistic outputs. Accurately estimating the expectation value of an observable requires thousands of identical circuit executions (shots). This inflates gradient variance, derails optimizer trajectories, and drastically inflates pay-per-shot cloud billing.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Incorporate variance regularization directly into the classical loss function. Utilize dynamic shot allocation strategies: execute very few shots during initial exploratory epochs, and exponentially increase shots only as the model approaches the local minimum (Kreplin, 2024).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Calibration Drift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physical parameters of a QPU (microwave pulse frequencies, laser intensities) drift over hours and days due to thermal and electromagnetic fluctuations. An optimization landscape mapped on Monday may be entirely invalid by Tuesday, causing sudden semantic and accuracy degradation.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 interleaved calibration monitoring. Utilize adaptive, real-time parameter tracking that triggers dynamic calibration routines or partial model re-initialization if baseline fidelity metrics drop below acceptable thresholds.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Error Mitigation Overhead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Advanced Quantum Error Mitigation (QEM) techniques like Zero-Noise Extrapolation (ZNE) and Probabilistic Error Cancellation (PEC) mathematically guarantee unbiased estimators, but their sampling cost scales exponentially with the depth of the circuit and the underlying noise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Restrict ZNE and PEC exclusively to the final inference evaluations or very shallow sub-routines. For the iterative training loop, rely on highly scalable, lower-overhead methods like Clifford Data Regression (CDR) or rely purely on error suppression (Temme et al., 2017).</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physics of decoherence fundamentally limits the depth of any parameterized quantum circuit. Every single-qubit rotation and two-qubit entanglement operation introduces a non-zero probability of error, typically on the order of </w:t>
      </w:r>
      <w:r>
        <w:rPr>
          <w:rFonts w:ascii="Google Sans" w:cs="Google Sans" w:eastAsia="Google Sans" w:hAnsi="Google Sans"/>
          <w:color w:val="1f1f1f"/>
        </w:rPr>
        <w:drawing>
          <wp:inline distB="19050" distT="19050" distL="19050" distR="19050">
            <wp:extent cx="358751" cy="217138"/>
            <wp:effectExtent b="0" l="0" r="0" t="0"/>
            <wp:docPr id="2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58751" cy="217138"/>
                    </a:xfrm>
                    <a:prstGeom prst="rect"/>
                    <a:ln/>
                  </pic:spPr>
                </pic:pic>
              </a:graphicData>
            </a:graphic>
          </wp:inline>
        </w:drawing>
      </w:r>
      <w:r>
        <w:rPr>
          <w:rFonts w:ascii="Google Sans" w:cs="Google Sans" w:eastAsia="Google Sans" w:hAnsi="Google Sans"/>
          <w:color w:val="1f1f1f"/>
          <w:rtl w:val="0"/>
        </w:rPr>
        <w:t xml:space="preserve"> to </w:t>
      </w:r>
      <w:r>
        <w:rPr>
          <w:rFonts w:ascii="Google Sans" w:cs="Google Sans" w:eastAsia="Google Sans" w:hAnsi="Google Sans"/>
          <w:color w:val="1f1f1f"/>
        </w:rPr>
        <w:drawing>
          <wp:inline distB="19050" distT="19050" distL="19050" distR="19050">
            <wp:extent cx="358751" cy="217138"/>
            <wp:effectExtent b="0" l="0" r="0" t="0"/>
            <wp:docPr id="2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58751" cy="217138"/>
                    </a:xfrm>
                    <a:prstGeom prst="rect"/>
                    <a:ln/>
                  </pic:spPr>
                </pic:pic>
              </a:graphicData>
            </a:graphic>
          </wp:inline>
        </w:drawing>
      </w:r>
      <w:r>
        <w:rPr>
          <w:rFonts w:ascii="Google Sans" w:cs="Google Sans" w:eastAsia="Google Sans" w:hAnsi="Google Sans"/>
          <w:color w:val="1f1f1f"/>
          <w:rtl w:val="0"/>
        </w:rPr>
        <w:t xml:space="preserve"> for state-of-the-art superconducting architectures. Because errors compound multiplicatively across the circuit depth, deep models rapidly converge to the maximally mixed state—a state of total entropy that yields zero useful information. This phenomenon physically manifests as a Noise-Induced Barren Plateau (NIBP). Unlike expressibility-induced barren plateaus, which are mathematical consequences of the circuit's unitary design, NIBPs are physical inevitabilities. Once a circuit reaches an </w:t>
      </w:r>
      <w:r>
        <w:rPr>
          <w:rFonts w:ascii="Google Sans" w:cs="Google Sans" w:eastAsia="Google Sans" w:hAnsi="Google Sans"/>
          <w:color w:val="1f1f1f"/>
        </w:rPr>
        <w:drawing>
          <wp:inline distB="19050" distT="19050" distL="19050" distR="19050">
            <wp:extent cx="787747" cy="227782"/>
            <wp:effectExtent b="0" l="0" r="0" t="0"/>
            <wp:docPr id="2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787747" cy="227782"/>
                    </a:xfrm>
                    <a:prstGeom prst="rect"/>
                    <a:ln/>
                  </pic:spPr>
                </pic:pic>
              </a:graphicData>
            </a:graphic>
          </wp:inline>
        </w:drawing>
      </w:r>
      <w:r>
        <w:rPr>
          <w:rFonts w:ascii="Google Sans" w:cs="Google Sans" w:eastAsia="Google Sans" w:hAnsi="Google Sans"/>
          <w:color w:val="1f1f1f"/>
          <w:rtl w:val="0"/>
        </w:rPr>
        <w:t xml:space="preserve"> depth limit under local depolarizing noise, the cost function landscape becomes exponentially flat, preventing classical optimizers from finding a gradient signal (Wang et al., 2021).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Compounding the problem of gate fidelity is the constraint of physical topology. Unlike idealized state-vector simulators which allow all-to-all connectivity, real quantum processors arrange qubits in strict physical geometries, such as the heavy-hex lattice utilized by IBM. If an algorithm requires an entanglement operation between Qubit 1 and Qubit 5, the compiler must insert a series of SWAP gates to physically move the quantum state across the lattice. Each SWAP gate is constructed from three distinct CNOT gates. Therefore, a poorly mapped circuit will experience an explosion in effective depth, immediately triggering NIBPs and rendering the model untrainable. Topology-aware design is not an optimization; it is a fundamental necessity.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Furthermore, the act of extracting information from the quantum system is severely constrained. State Preparation and Measurement (SPAM) errors remain persistently high, significantly skewing the output distribution. Even with perfect measurement fidelity, the inherent probabilistic nature of quantum mechanics requires researchers to combat finite sampling noise, commonly referred to as shot noise. Estimating the gradient of a loss function via the parameter-shift rule requires taking the difference between two expectation values. If these expectation values are evaluated with a low number of shots, the statistical variance of the estimate will be massive, causing the classical optimizer to take stochastic, incorrect steps. Conversely, allocating a high number of shots to every gradient evaluation imposes an insurmountable bottleneck on runtime and incurs massive financial costs when utilizing pay-per-shot cloud computing infrastructure.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 Methods Landscape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To navigate the severe restrictions imposed by NISQ hardware, researchers have developed diverse methodological paradigms. Selecting the appropriate architecture requires a rigorous assessment of the trade-offs between a model's expressivity, its trainability under noise, and its inherent hardware demands.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Variational Quantum Circuits (VQCs)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Variational Quantum Circuits represent the vanguard of near-term quantum machine learning. They operate via a hybrid architecture combining a parameterized unitary operation </w:t>
      </w:r>
      <w:r>
        <w:rPr>
          <w:rFonts w:ascii="Google Sans" w:cs="Google Sans" w:eastAsia="Google Sans" w:hAnsi="Google Sans"/>
          <w:color w:val="1f1f1f"/>
        </w:rPr>
        <w:drawing>
          <wp:inline distB="19050" distT="19050" distL="19050" distR="19050">
            <wp:extent cx="1568348" cy="228123"/>
            <wp:effectExtent b="0" l="0" r="0" t="0"/>
            <wp:docPr id="26"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1568348" cy="228123"/>
                    </a:xfrm>
                    <a:prstGeom prst="rect"/>
                    <a:ln/>
                  </pic:spPr>
                </pic:pic>
              </a:graphicData>
            </a:graphic>
          </wp:inline>
        </w:drawing>
      </w:r>
      <w:r>
        <w:rPr>
          <w:rFonts w:ascii="Google Sans" w:cs="Google Sans" w:eastAsia="Google Sans" w:hAnsi="Google Sans"/>
          <w:color w:val="1f1f1f"/>
          <w:rtl w:val="0"/>
        </w:rPr>
        <w:t xml:space="preserve">, where </w:t>
      </w:r>
      <w:r>
        <w:rPr>
          <w:rFonts w:ascii="Google Sans" w:cs="Google Sans" w:eastAsia="Google Sans" w:hAnsi="Google Sans"/>
          <w:color w:val="1f1f1f"/>
        </w:rPr>
        <w:drawing>
          <wp:inline distB="19050" distT="19050" distL="19050" distR="19050">
            <wp:extent cx="372666" cy="229333"/>
            <wp:effectExtent b="0" l="0" r="0" t="0"/>
            <wp:docPr id="2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72666" cy="229333"/>
                    </a:xfrm>
                    <a:prstGeom prst="rect"/>
                    <a:ln/>
                  </pic:spPr>
                </pic:pic>
              </a:graphicData>
            </a:graphic>
          </wp:inline>
        </w:drawing>
      </w:r>
      <w:r>
        <w:rPr>
          <w:rFonts w:ascii="Google Sans" w:cs="Google Sans" w:eastAsia="Google Sans" w:hAnsi="Google Sans"/>
          <w:color w:val="1f1f1f"/>
          <w:rtl w:val="0"/>
        </w:rPr>
        <w:t xml:space="preserve"> represents a rigid data encoding block, and </w:t>
      </w:r>
      <w:r>
        <w:rPr>
          <w:rFonts w:ascii="Google Sans" w:cs="Google Sans" w:eastAsia="Google Sans" w:hAnsi="Google Sans"/>
          <w:color w:val="1f1f1f"/>
        </w:rPr>
        <w:drawing>
          <wp:inline distB="19050" distT="19050" distL="19050" distR="19050">
            <wp:extent cx="381149" cy="228689"/>
            <wp:effectExtent b="0" l="0" r="0" t="0"/>
            <wp:docPr id="2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381149" cy="228689"/>
                    </a:xfrm>
                    <a:prstGeom prst="rect"/>
                    <a:ln/>
                  </pic:spPr>
                </pic:pic>
              </a:graphicData>
            </a:graphic>
          </wp:inline>
        </w:drawing>
      </w:r>
      <w:r>
        <w:rPr>
          <w:rFonts w:ascii="Google Sans" w:cs="Google Sans" w:eastAsia="Google Sans" w:hAnsi="Google Sans"/>
          <w:color w:val="1f1f1f"/>
          <w:rtl w:val="0"/>
        </w:rPr>
        <w:t xml:space="preserve"> is a trainable parameterized quantum circuit (PQC). The primary architectural decision within VQCs is the formulation of the ansatz </w:t>
      </w:r>
      <w:r>
        <w:rPr>
          <w:rFonts w:ascii="Google Sans" w:cs="Google Sans" w:eastAsia="Google Sans" w:hAnsi="Google Sans"/>
          <w:color w:val="1f1f1f"/>
        </w:rPr>
        <w:drawing>
          <wp:inline distB="19050" distT="19050" distL="19050" distR="19050">
            <wp:extent cx="381149" cy="228689"/>
            <wp:effectExtent b="0" l="0" r="0" t="0"/>
            <wp:docPr id="2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381149" cy="228689"/>
                    </a:xfrm>
                    <a:prstGeom prst="rect"/>
                    <a:ln/>
                  </pic:spPr>
                </pic:pic>
              </a:graphicData>
            </a:graphic>
          </wp:inline>
        </w:drawing>
      </w:r>
      <w:r>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Researchers must choose between problem-inspired ansätze and Hardware-Efficient Ansätze (HEAs). </w:t>
      </w:r>
      <w:r>
        <w:rPr>
          <w:rFonts w:ascii="Google Sans" w:cs="Google Sans" w:eastAsia="Google Sans" w:hAnsi="Google Sans"/>
          <w:b w:val="1"/>
          <w:bCs w:val="1"/>
          <w:color w:val="1f1f1f"/>
          <w:rtl w:val="0"/>
        </w:rPr>
        <w:t xml:space="preserve">Problem-inspired ansätze</w:t>
      </w:r>
      <w:r>
        <w:rPr>
          <w:rFonts w:ascii="Google Sans" w:cs="Google Sans" w:eastAsia="Google Sans" w:hAnsi="Google Sans"/>
          <w:color w:val="1f1f1f"/>
          <w:rtl w:val="0"/>
        </w:rPr>
        <w:t xml:space="preserve">, such as the Unitary Coupled Cluster Singles and Doubles (UCCSD) used in quantum chemistry, explicitly encode the known physical symmetries of the data into the circuit structure. While highly expressive and theoretically sound, these circuits frequently require deep layers and complex, all-to-all connectivity operations, rendering them highly susceptible to gate noise and NIBPs on physical hardware.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Conversely, </w:t>
      </w:r>
      <w:r>
        <w:rPr>
          <w:rFonts w:ascii="Google Sans" w:cs="Google Sans" w:eastAsia="Google Sans" w:hAnsi="Google Sans"/>
          <w:b w:val="1"/>
          <w:bCs w:val="1"/>
          <w:color w:val="1f1f1f"/>
          <w:rtl w:val="0"/>
        </w:rPr>
        <w:t xml:space="preserve">Hardware-Efficient Ansätze (HEAs)</w:t>
      </w:r>
      <w:r>
        <w:rPr>
          <w:rFonts w:ascii="Google Sans" w:cs="Google Sans" w:eastAsia="Google Sans" w:hAnsi="Google Sans"/>
          <w:color w:val="1f1f1f"/>
          <w:rtl w:val="0"/>
        </w:rPr>
        <w:t xml:space="preserve"> abandon strict theoretical symmetries in favor of physical execution. HEAs are constructed exclusively using the native single-qubit rotations and entangling gates intrinsic to the specific QPU, perfectly mirroring its connectivity graph. This minimizes compilation overhead and eliminates SWAP insertions, dramatically reducing physical circuit depth. However, HEAs possess a critical algorithmic vulnerability: expressivity-induced barren plateaus. If an HEA is deep enough to form a unitary 2-design—meaning it explores the Hilbert space too uniformly—the variance of its gradient shrinks exponentially as the number of qubits increases, halting training completely (McClean et al., 2018).</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Yet, recent theoretical analysis has identified a "Goldilocks" regime for VQCs. If the classical input data and the measurement observable possess a strict </w:t>
      </w:r>
      <w:r>
        <w:rPr>
          <w:rFonts w:ascii="Google Sans" w:cs="Google Sans" w:eastAsia="Google Sans" w:hAnsi="Google Sans"/>
          <w:i w:val="1"/>
          <w:iCs w:val="1"/>
          <w:color w:val="1f1f1f"/>
          <w:rtl w:val="0"/>
        </w:rPr>
        <w:t xml:space="preserve">area-law of entanglement</w:t>
      </w:r>
      <w:r>
        <w:rPr>
          <w:rFonts w:ascii="Google Sans" w:cs="Google Sans" w:eastAsia="Google Sans" w:hAnsi="Google Sans"/>
          <w:color w:val="1f1f1f"/>
          <w:rtl w:val="0"/>
        </w:rPr>
        <w:t xml:space="preserve">, shallow HEAs are mathematically guaranteed to be trainable. In these specific regimes, the models exhibit an anti-concentration of loss function values, successfully evading the barren plateau trap while retaining sufficient expressivity to learn (Cerezo et al., 2021). Therefore, intentionally limiting the entanglement capacity of the circuit architecture is not merely a hardware necessity, but a vital algorithmic requirement to enable successful gradient descent.</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Quantum Kernel Methods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Quantum Kernel Methods offer a fundamentally different approach, seeking to bypass the non-convex optimization landscape of parameterized circuits entirely. Instead of training a quantum circuit to output a discrete prediction, the quantum computer is utilized exclusively as a non-linear feature map. Classical data </w:t>
      </w:r>
      <w:r>
        <w:rPr>
          <w:rFonts w:ascii="Google Sans" w:cs="Google Sans" w:eastAsia="Google Sans" w:hAnsi="Google Sans"/>
          <w:color w:val="1f1f1f"/>
        </w:rPr>
        <w:drawing>
          <wp:inline distB="19050" distT="19050" distL="19050" distR="19050">
            <wp:extent cx="105519" cy="230223"/>
            <wp:effectExtent b="0" l="0" r="0" t="0"/>
            <wp:docPr id="28"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05519" cy="230223"/>
                    </a:xfrm>
                    <a:prstGeom prst="rect"/>
                    <a:ln/>
                  </pic:spPr>
                </pic:pic>
              </a:graphicData>
            </a:graphic>
          </wp:inline>
        </w:drawing>
      </w:r>
      <w:r>
        <w:rPr>
          <w:rFonts w:ascii="Google Sans" w:cs="Google Sans" w:eastAsia="Google Sans" w:hAnsi="Google Sans"/>
          <w:color w:val="1f1f1f"/>
          <w:rtl w:val="0"/>
        </w:rPr>
        <w:t xml:space="preserve"> is embedded into a high-dimensional quantum Hilbert space, creating the quantum state </w:t>
      </w:r>
      <w:r>
        <w:rPr>
          <w:rFonts w:ascii="Google Sans" w:cs="Google Sans" w:eastAsia="Google Sans" w:hAnsi="Google Sans"/>
          <w:color w:val="1f1f1f"/>
        </w:rPr>
        <w:drawing>
          <wp:inline distB="19050" distT="19050" distL="19050" distR="19050">
            <wp:extent cx="481906" cy="226779"/>
            <wp:effectExtent b="0" l="0" r="0" t="0"/>
            <wp:docPr id="3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81906" cy="226779"/>
                    </a:xfrm>
                    <a:prstGeom prst="rect"/>
                    <a:ln/>
                  </pic:spPr>
                </pic:pic>
              </a:graphicData>
            </a:graphic>
          </wp:inline>
        </w:drawing>
      </w:r>
      <w:r>
        <w:rPr>
          <w:rFonts w:ascii="Google Sans" w:cs="Google Sans" w:eastAsia="Google Sans" w:hAnsi="Google Sans"/>
          <w:color w:val="1f1f1f"/>
          <w:rtl w:val="0"/>
        </w:rPr>
        <w:t xml:space="preserve">. The QPU is then used to compute the inner product—representing the similarity or "kernel"—between two data points: </w:t>
      </w:r>
      <w:r>
        <w:rPr>
          <w:rFonts w:ascii="Google Sans" w:cs="Google Sans" w:eastAsia="Google Sans" w:hAnsi="Google Sans"/>
          <w:color w:val="1f1f1f"/>
        </w:rPr>
        <w:drawing>
          <wp:inline distB="19050" distT="19050" distL="19050" distR="19050">
            <wp:extent cx="2030235" cy="228759"/>
            <wp:effectExtent b="0" l="0" r="0" t="0"/>
            <wp:docPr id="3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030235" cy="228759"/>
                    </a:xfrm>
                    <a:prstGeom prst="rect"/>
                    <a:ln/>
                  </pic:spPr>
                </pic:pic>
              </a:graphicData>
            </a:graphic>
          </wp:inline>
        </w:drawing>
      </w:r>
      <w:r>
        <w:rPr>
          <w:rFonts w:ascii="Google Sans" w:cs="Google Sans" w:eastAsia="Google Sans" w:hAnsi="Google Sans"/>
          <w:color w:val="1f1f1f"/>
          <w:rtl w:val="0"/>
        </w:rPr>
        <w:t xml:space="preserve">. This kernel matrix is subsequently extracted and fed into a classical, convex optimizer, such as a Support Vector Machine (Havlicek et al., 2019).</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theoretical appeal is immense; convex optimization guarantees convergence to a global minimum, completely eliminating the threat of barren plateaus during the classical training phase. However, under strict NISQ hardware constraints, quantum kernels face profound scaling limitations. Evaluating the kernel matrix requires </w:t>
      </w:r>
      <w:r>
        <w:rPr>
          <w:rFonts w:ascii="Google Sans" w:cs="Google Sans" w:eastAsia="Google Sans" w:hAnsi="Google Sans"/>
          <w:color w:val="1f1f1f"/>
        </w:rPr>
        <w:drawing>
          <wp:inline distB="19050" distT="19050" distL="19050" distR="19050">
            <wp:extent cx="537269" cy="230258"/>
            <wp:effectExtent b="0" l="0" r="0" t="0"/>
            <wp:docPr id="3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7269" cy="230258"/>
                    </a:xfrm>
                    <a:prstGeom prst="rect"/>
                    <a:ln/>
                  </pic:spPr>
                </pic:pic>
              </a:graphicData>
            </a:graphic>
          </wp:inline>
        </w:drawing>
      </w:r>
      <w:r>
        <w:rPr>
          <w:rFonts w:ascii="Google Sans" w:cs="Google Sans" w:eastAsia="Google Sans" w:hAnsi="Google Sans"/>
          <w:color w:val="1f1f1f"/>
          <w:rtl w:val="0"/>
        </w:rPr>
        <w:t xml:space="preserve"> separate quantum circuit evaluations for </w:t>
      </w:r>
      <w:r>
        <w:rPr>
          <w:rFonts w:ascii="Google Sans" w:cs="Google Sans" w:eastAsia="Google Sans" w:hAnsi="Google Sans"/>
          <w:color w:val="1f1f1f"/>
        </w:rPr>
        <w:drawing>
          <wp:inline distB="19050" distT="19050" distL="19050" distR="19050">
            <wp:extent cx="168175" cy="224234"/>
            <wp:effectExtent b="0" l="0" r="0" t="0"/>
            <wp:docPr id="33"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168175" cy="224234"/>
                    </a:xfrm>
                    <a:prstGeom prst="rect"/>
                    <a:ln/>
                  </pic:spPr>
                </pic:pic>
              </a:graphicData>
            </a:graphic>
          </wp:inline>
        </w:drawing>
      </w:r>
      <w:r>
        <w:rPr>
          <w:rFonts w:ascii="Google Sans" w:cs="Google Sans" w:eastAsia="Google Sans" w:hAnsi="Google Sans"/>
          <w:color w:val="1f1f1f"/>
          <w:rtl w:val="0"/>
        </w:rPr>
        <w:t xml:space="preserve"> classical data points, placing an extreme burden on the measurement bottleneck and rapidly exhausting pay-per-shot budgets. Furthermore, as the number of qubits increases, the volume of the Hilbert space grows exponentially. This leads to the "exponential concentration" problem: the overlap between any two distinct quantum states vanishes to zero. Consequently, the kernel matrix degenerates into a useless identity matrix, stripping the model of any ability to generalize to unseen data. Overcoming this requires the integration of task-specific quantum metric learning—optimizing the embedding structure itself to match the topological properties of the dataset.</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Continuous-Variable Quantum Neural Networks (CV-QNNs)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While superconducting and trapped-ion systems manipulate discrete, two-level qubits, photonic quantum computing platforms utilize Continuous-Variable (CV) architectures. In a CV framework, information is encoded into the continuous quadratures (position and momentum analogs) of the electromagnetic field, referred to as qumodes.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CV-QNNs possess a distinct theoretical advantage: they can map the operations of classical deep neural networks with remarkable mathematical fidelity. Within the CV formalism, Gaussian operations—such as beam splitters, phase shifters, and squeezing operators—act as the linear weight matrices and affine transformations. Crucially, non-Gaussian operations, such as the Kerr effect or targeted photon subtraction, act as true non-linear activation functions (Killoran et al., 2019). Because unitary operations in the CV model natively enact non-linear transformations in the underlying basis functions (specifically within the infinite-dimensional vector space </w:t>
      </w:r>
      <w:r>
        <w:rPr>
          <w:rFonts w:ascii="Google Sans" w:cs="Google Sans" w:eastAsia="Google Sans" w:hAnsi="Google Sans"/>
          <w:color w:val="1f1f1f"/>
        </w:rPr>
        <w:drawing>
          <wp:inline distB="19050" distT="19050" distL="19050" distR="19050">
            <wp:extent cx="476027" cy="228493"/>
            <wp:effectExtent b="0" l="0" r="0" t="0"/>
            <wp:docPr id="34"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476027" cy="228493"/>
                    </a:xfrm>
                    <a:prstGeom prst="rect"/>
                    <a:ln/>
                  </pic:spPr>
                </pic:pic>
              </a:graphicData>
            </a:graphic>
          </wp:inline>
        </w:drawing>
      </w:r>
      <w:r>
        <w:rPr>
          <w:rFonts w:ascii="Google Sans" w:cs="Google Sans" w:eastAsia="Google Sans" w:hAnsi="Google Sans"/>
          <w:color w:val="1f1f1f"/>
          <w:rtl w:val="0"/>
        </w:rPr>
        <w:t xml:space="preserve">), CV-QNNs can naturally bypass the rigid linearity constraints that fundamentally restrict discrete qubit systems.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Despite these algorithmic advantages, physical hardware constraints remain severe. The practical implementation of CV-QNNs is strictly limited by the extreme experimental difficulty of maintaining highly squeezed optical states over prolonged periods, and the current inability to execute deterministic, high-fidelity non-Gaussian operations at scale, which often rely on probabilistic heralding mechanisms.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Hybrid Classical-Quantum Training Loops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Regardless of the chosen quantum architecture, the optimization process must occur within a closed, hybrid loop synchronized with a classical processor. Gradients of the quantum circuit are typically extracted using the </w:t>
      </w:r>
      <w:r>
        <w:rPr>
          <w:rFonts w:ascii="Google Sans" w:cs="Google Sans" w:eastAsia="Google Sans" w:hAnsi="Google Sans"/>
          <w:b w:val="1"/>
          <w:bCs w:val="1"/>
          <w:color w:val="1f1f1f"/>
          <w:rtl w:val="0"/>
        </w:rPr>
        <w:t xml:space="preserve">parameter-shift rule</w:t>
      </w:r>
      <w:r>
        <w:rPr>
          <w:rFonts w:ascii="Google Sans" w:cs="Google Sans" w:eastAsia="Google Sans" w:hAnsi="Google Sans"/>
          <w:color w:val="1f1f1f"/>
          <w:rtl w:val="0"/>
        </w:rPr>
        <w:t xml:space="preserve">. This technique allows exact, analytical gradients to be computed directly on the quantum hardware by executing the circuit twice for every parameter, shifting the specific gate by a macroscopic amount (e.g., </w:t>
      </w:r>
      <w:r>
        <w:rPr>
          <w:rFonts w:ascii="Google Sans" w:cs="Google Sans" w:eastAsia="Google Sans" w:hAnsi="Google Sans"/>
          <w:color w:val="1f1f1f"/>
        </w:rPr>
        <w:drawing>
          <wp:inline distB="19050" distT="19050" distL="19050" distR="19050">
            <wp:extent cx="439638" cy="229376"/>
            <wp:effectExtent b="0" l="0" r="0" t="0"/>
            <wp:docPr id="35"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39638" cy="229376"/>
                    </a:xfrm>
                    <a:prstGeom prst="rect"/>
                    <a:ln/>
                  </pic:spPr>
                </pic:pic>
              </a:graphicData>
            </a:graphic>
          </wp:inline>
        </w:drawing>
      </w:r>
      <w:r>
        <w:rPr>
          <w:rFonts w:ascii="Google Sans" w:cs="Google Sans" w:eastAsia="Google Sans" w:hAnsi="Google Sans"/>
          <w:color w:val="1f1f1f"/>
          <w:rtl w:val="0"/>
        </w:rPr>
        <w:t xml:space="preserve">) and calculating the difference.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methodology is fundamentally bottlenecked by finite sampling noise. Because each expectation value used in the parameter-shift rule requires thousands of discrete measurements, estimating the gradient for a network with hundreds of parameters is exceptionally slow. The stochasticity introduced by shot noise causes the gradient vector to fluctuate wildly, disrupting classical optimization algorithms like Adam or Gradient Descent. To stabilize training, researchers must deploy </w:t>
      </w:r>
      <w:r>
        <w:rPr>
          <w:rFonts w:ascii="Google Sans" w:cs="Google Sans" w:eastAsia="Google Sans" w:hAnsi="Google Sans"/>
          <w:b w:val="1"/>
          <w:bCs w:val="1"/>
          <w:color w:val="1f1f1f"/>
          <w:rtl w:val="0"/>
        </w:rPr>
        <w:t xml:space="preserve">variance regularization</w:t>
      </w:r>
      <w:r>
        <w:rPr>
          <w:rFonts w:ascii="Google Sans" w:cs="Google Sans" w:eastAsia="Google Sans" w:hAnsi="Google Sans"/>
          <w:color w:val="1f1f1f"/>
          <w:rtl w:val="0"/>
        </w:rPr>
        <w:t xml:space="preserve">. By explicitly adding a variance penalty </w:t>
      </w:r>
      <w:r>
        <w:rPr>
          <w:rFonts w:ascii="Google Sans" w:cs="Google Sans" w:eastAsia="Google Sans" w:hAnsi="Google Sans"/>
          <w:color w:val="1f1f1f"/>
        </w:rPr>
        <w:drawing>
          <wp:inline distB="19050" distT="19050" distL="19050" distR="19050">
            <wp:extent cx="332184" cy="227784"/>
            <wp:effectExtent b="0" l="0" r="0" t="0"/>
            <wp:docPr id="36"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332184" cy="227784"/>
                    </a:xfrm>
                    <a:prstGeom prst="rect"/>
                    <a:ln/>
                  </pic:spPr>
                </pic:pic>
              </a:graphicData>
            </a:graphic>
          </wp:inline>
        </w:drawing>
      </w:r>
      <w:r>
        <w:rPr>
          <w:rFonts w:ascii="Google Sans" w:cs="Google Sans" w:eastAsia="Google Sans" w:hAnsi="Google Sans"/>
          <w:color w:val="1f1f1f"/>
          <w:rtl w:val="0"/>
        </w:rPr>
        <w:t xml:space="preserve"> directly to the classical loss function </w:t>
      </w:r>
      <w:r>
        <w:rPr>
          <w:rFonts w:ascii="Google Sans" w:cs="Google Sans" w:eastAsia="Google Sans" w:hAnsi="Google Sans"/>
          <w:color w:val="1f1f1f"/>
        </w:rPr>
        <w:drawing>
          <wp:inline distB="19050" distT="19050" distL="19050" distR="19050">
            <wp:extent cx="303088" cy="227316"/>
            <wp:effectExtent b="0" l="0" r="0" t="0"/>
            <wp:docPr id="37"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303088" cy="227316"/>
                    </a:xfrm>
                    <a:prstGeom prst="rect"/>
                    <a:ln/>
                  </pic:spPr>
                </pic:pic>
              </a:graphicData>
            </a:graphic>
          </wp:inline>
        </w:drawing>
      </w:r>
      <w:r>
        <w:rPr>
          <w:rFonts w:ascii="Google Sans" w:cs="Google Sans" w:eastAsia="Google Sans" w:hAnsi="Google Sans"/>
          <w:color w:val="1f1f1f"/>
          <w:rtl w:val="0"/>
        </w:rPr>
        <w:t xml:space="preserve"> (</w:t>
      </w:r>
      <w:r>
        <w:rPr>
          <w:rFonts w:ascii="Google Sans" w:cs="Google Sans" w:eastAsia="Google Sans" w:hAnsi="Google Sans"/>
          <w:color w:val="1f1f1f"/>
        </w:rPr>
        <w:drawing>
          <wp:inline distB="19050" distT="19050" distL="19050" distR="19050">
            <wp:extent cx="1350759" cy="228297"/>
            <wp:effectExtent b="0" l="0" r="0" t="0"/>
            <wp:docPr id="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350759" cy="228297"/>
                    </a:xfrm>
                    <a:prstGeom prst="rect"/>
                    <a:ln/>
                  </pic:spPr>
                </pic:pic>
              </a:graphicData>
            </a:graphic>
          </wp:inline>
        </w:drawing>
      </w:r>
      <w:r>
        <w:rPr>
          <w:rFonts w:ascii="Google Sans" w:cs="Google Sans" w:eastAsia="Google Sans" w:hAnsi="Google Sans"/>
          <w:color w:val="1f1f1f"/>
          <w:rtl w:val="0"/>
        </w:rPr>
        <w:t xml:space="preserve">), the optimization trajectory is mathematically forced toward regions of the landscape that yield highly stable expectation values. This technique can reduce the required shot count by an order of magnitude without necessitating any additional circuit depth, serving as a critical tool for hardware-constrained optimization (Kreplin, 2024).</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6) Practical Design Workflow</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Architecting a QML solution for NISQ hardware is fundamentally distinct from classical machine learning design. It requires a meticulous, hardware-first approach, navigating a labyrinth of physical limitations. The following step-by-step workflow maps the critical decisions and diagnostic checkpoints required for a successful hardware-constrained deployment.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Step 1: Problem Framing and Utility Assessment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workflow must begin with a ruthless assessment of the dataset's mathematical structure and the problem's complexity.</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Pr>
          <w:rFonts w:ascii="Google Sans" w:cs="Google Sans" w:eastAsia="Google Sans" w:hAnsi="Google Sans"/>
          <w:i w:val="1"/>
          <w:iCs w:val="1"/>
          <w:color w:val="1f1f1f"/>
          <w:rtl w:val="0"/>
        </w:rPr>
        <w:t xml:space="preserve">Action:</w:t>
      </w:r>
      <w:r>
        <w:rPr>
          <w:rFonts w:ascii="Google Sans" w:cs="Google Sans" w:eastAsia="Google Sans" w:hAnsi="Google Sans"/>
          <w:color w:val="1f1f1f"/>
          <w:rtl w:val="0"/>
        </w:rPr>
        <w:t xml:space="preserve"> Analyze the data for inherent quantum-native properties. Does it feature high-dimensional but sparse structures? Does it contain complex, non-local correlations that are mathematically intractable for classical deep neural networks?</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Pr>
          <w:rFonts w:ascii="Google Sans" w:cs="Google Sans" w:eastAsia="Google Sans" w:hAnsi="Google Sans"/>
          <w:i w:val="1"/>
          <w:iCs w:val="1"/>
          <w:color w:val="1f1f1f"/>
          <w:rtl w:val="0"/>
        </w:rPr>
        <w:t xml:space="preserve">Checkpoint:</w:t>
      </w:r>
      <w:r>
        <w:rPr>
          <w:rFonts w:ascii="Google Sans" w:cs="Google Sans" w:eastAsia="Google Sans" w:hAnsi="Google Sans"/>
          <w:color w:val="1f1f1f"/>
          <w:rtl w:val="0"/>
        </w:rPr>
        <w:t xml:space="preserve"> If state-of-the-art classical methods (e.g., ResNets, XGBoost) solve the task efficiently and accurately (such as standard image classification on datasets like MNIST or CIFAR), immediately abandon the QML approach. The extreme overhead of quantum compilation and execution will not yield a competitive advantage (Bowles et al., 2024). Reserve QML exclusively for heavily correlated datasets, outputs from quantum chemistry simulations, or highly constrained, dense combinatorial optimization problems.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Step 2: Data Encoding (Navigating the I/O Bottleneck)</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transition of classical bits into quantum states is often the most expensive operation in the entire algorithm.</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Pr>
          <w:rFonts w:ascii="Google Sans" w:cs="Google Sans" w:eastAsia="Google Sans" w:hAnsi="Google Sans"/>
          <w:i w:val="1"/>
          <w:iCs w:val="1"/>
          <w:color w:val="1f1f1f"/>
          <w:rtl w:val="0"/>
        </w:rPr>
        <w:t xml:space="preserve">Action:</w:t>
      </w:r>
      <w:r>
        <w:rPr>
          <w:rFonts w:ascii="Google Sans" w:cs="Google Sans" w:eastAsia="Google Sans" w:hAnsi="Google Sans"/>
          <w:color w:val="1f1f1f"/>
          <w:rtl w:val="0"/>
        </w:rPr>
        <w:t xml:space="preserve"> Select a data encoding strategy that explicitly balances the available qubit count against the hardware's coherence limit.</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Pr>
          <w:rFonts w:ascii="Google Sans" w:cs="Google Sans" w:eastAsia="Google Sans" w:hAnsi="Google Sans"/>
          <w:i w:val="1"/>
          <w:iCs w:val="1"/>
          <w:color w:val="1f1f1f"/>
          <w:rtl w:val="0"/>
        </w:rPr>
        <w:t xml:space="preserve">Checkpoint:</w:t>
      </w:r>
      <w:r>
        <w:rPr>
          <w:rFonts w:ascii="Google Sans" w:cs="Google Sans" w:eastAsia="Google Sans" w:hAnsi="Google Sans"/>
          <w:color w:val="1f1f1f"/>
          <w:rtl w:val="0"/>
        </w:rPr>
        <w:t xml:space="preserve"> If the hardware provides a high qubit count but suffers from terrible coherence times (shallow </w:t>
      </w:r>
      <w:r>
        <w:rPr>
          <w:rFonts w:ascii="Google Sans" w:cs="Google Sans" w:eastAsia="Google Sans" w:hAnsi="Google Sans"/>
          <w:color w:val="1f1f1f"/>
        </w:rPr>
        <w:drawing>
          <wp:inline distB="19050" distT="19050" distL="19050" distR="19050">
            <wp:extent cx="181496" cy="229258"/>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utilize </w:t>
      </w:r>
      <w:r>
        <w:rPr>
          <w:rFonts w:ascii="Google Sans" w:cs="Google Sans" w:eastAsia="Google Sans" w:hAnsi="Google Sans"/>
          <w:b w:val="1"/>
          <w:bCs w:val="1"/>
          <w:color w:val="1f1f1f"/>
          <w:rtl w:val="0"/>
        </w:rPr>
        <w:t xml:space="preserve">angle encoding</w:t>
      </w:r>
      <w:r>
        <w:rPr>
          <w:rFonts w:ascii="Google Sans" w:cs="Google Sans" w:eastAsia="Google Sans" w:hAnsi="Google Sans"/>
          <w:color w:val="1f1f1f"/>
          <w:rtl w:val="0"/>
        </w:rPr>
        <w:t xml:space="preserve"> or </w:t>
      </w:r>
      <w:r>
        <w:rPr>
          <w:rFonts w:ascii="Google Sans" w:cs="Google Sans" w:eastAsia="Google Sans" w:hAnsi="Google Sans"/>
          <w:b w:val="1"/>
          <w:bCs w:val="1"/>
          <w:color w:val="1f1f1f"/>
          <w:rtl w:val="0"/>
        </w:rPr>
        <w:t xml:space="preserve">basis encoding</w:t>
      </w:r>
      <w:r>
        <w:rPr>
          <w:rFonts w:ascii="Google Sans" w:cs="Google Sans" w:eastAsia="Google Sans" w:hAnsi="Google Sans"/>
          <w:color w:val="1f1f1f"/>
          <w:rtl w:val="0"/>
        </w:rPr>
        <w:t xml:space="preserve">. These methods map one classical feature to one physical qubit using a single layer of </w:t>
      </w:r>
      <w:r>
        <w:rPr>
          <w:rFonts w:ascii="Google Sans" w:cs="Google Sans" w:eastAsia="Google Sans" w:hAnsi="Google Sans"/>
          <w:color w:val="1f1f1f"/>
        </w:rPr>
        <w:drawing>
          <wp:inline distB="19050" distT="19050" distL="19050" distR="19050">
            <wp:extent cx="216991" cy="226425"/>
            <wp:effectExtent b="0" l="0" r="0" t="0"/>
            <wp:docPr id="10"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216991" cy="226425"/>
                    </a:xfrm>
                    <a:prstGeom prst="rect"/>
                    <a:ln/>
                  </pic:spPr>
                </pic:pic>
              </a:graphicData>
            </a:graphic>
          </wp:inline>
        </w:drawing>
      </w:r>
      <w:r>
        <w:rPr>
          <w:rFonts w:ascii="Google Sans" w:cs="Google Sans" w:eastAsia="Google Sans" w:hAnsi="Google Sans"/>
          <w:color w:val="1f1f1f"/>
          <w:rtl w:val="0"/>
        </w:rPr>
        <w:t xml:space="preserve"> or </w:t>
      </w:r>
      <w:r>
        <w:rPr>
          <w:rFonts w:ascii="Google Sans" w:cs="Google Sans" w:eastAsia="Google Sans" w:hAnsi="Google Sans"/>
          <w:color w:val="1f1f1f"/>
        </w:rPr>
        <w:drawing>
          <wp:inline distB="19050" distT="19050" distL="19050" distR="19050">
            <wp:extent cx="223019" cy="232716"/>
            <wp:effectExtent b="0" l="0" r="0" t="0"/>
            <wp:docPr id="1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223019" cy="232716"/>
                    </a:xfrm>
                    <a:prstGeom prst="rect"/>
                    <a:ln/>
                  </pic:spPr>
                </pic:pic>
              </a:graphicData>
            </a:graphic>
          </wp:inline>
        </w:drawing>
      </w:r>
      <w:r>
        <w:rPr>
          <w:rFonts w:ascii="Google Sans" w:cs="Google Sans" w:eastAsia="Google Sans" w:hAnsi="Google Sans"/>
          <w:color w:val="1f1f1f"/>
          <w:rtl w:val="0"/>
        </w:rPr>
        <w:t xml:space="preserve"> gates, resulting in an </w:t>
      </w:r>
      <w:r>
        <w:rPr>
          <w:rFonts w:ascii="Google Sans" w:cs="Google Sans" w:eastAsia="Google Sans" w:hAnsi="Google Sans"/>
          <w:color w:val="1f1f1f"/>
        </w:rPr>
        <w:drawing>
          <wp:inline distB="19050" distT="19050" distL="19050" distR="19050">
            <wp:extent cx="387623" cy="217447"/>
            <wp:effectExtent b="0" l="0" r="0" t="0"/>
            <wp:docPr id="12"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387623" cy="217447"/>
                    </a:xfrm>
                    <a:prstGeom prst="rect"/>
                    <a:ln/>
                  </pic:spPr>
                </pic:pic>
              </a:graphicData>
            </a:graphic>
          </wp:inline>
        </w:drawing>
      </w:r>
      <w:r>
        <w:rPr>
          <w:rFonts w:ascii="Google Sans" w:cs="Google Sans" w:eastAsia="Google Sans" w:hAnsi="Google Sans"/>
          <w:color w:val="1f1f1f"/>
          <w:rtl w:val="0"/>
        </w:rPr>
        <w:t xml:space="preserve"> circuit depth. Conversely, if you are strictly limited by a small number of qubits but possess exceptionally long coherence times (e.g., advanced trapped-ion systems), utilize </w:t>
      </w:r>
      <w:r>
        <w:rPr>
          <w:rFonts w:ascii="Google Sans" w:cs="Google Sans" w:eastAsia="Google Sans" w:hAnsi="Google Sans"/>
          <w:b w:val="1"/>
          <w:bCs w:val="1"/>
          <w:color w:val="1f1f1f"/>
          <w:rtl w:val="0"/>
        </w:rPr>
        <w:t xml:space="preserve">amplitude encoding</w:t>
      </w:r>
      <w:r>
        <w:rPr>
          <w:rFonts w:ascii="Google Sans" w:cs="Google Sans" w:eastAsia="Google Sans" w:hAnsi="Google Sans"/>
          <w:color w:val="1f1f1f"/>
          <w:rtl w:val="0"/>
        </w:rPr>
        <w:t xml:space="preserve">. This method can compress </w:t>
      </w:r>
      <w:r>
        <w:rPr>
          <w:rFonts w:ascii="Google Sans" w:cs="Google Sans" w:eastAsia="Google Sans" w:hAnsi="Google Sans"/>
          <w:color w:val="1f1f1f"/>
        </w:rPr>
        <w:drawing>
          <wp:inline distB="19050" distT="19050" distL="19050" distR="19050">
            <wp:extent cx="178891" cy="216552"/>
            <wp:effectExtent b="0" l="0" r="0" t="0"/>
            <wp:docPr id="13"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178891" cy="216552"/>
                    </a:xfrm>
                    <a:prstGeom prst="rect"/>
                    <a:ln/>
                  </pic:spPr>
                </pic:pic>
              </a:graphicData>
            </a:graphic>
          </wp:inline>
        </w:drawing>
      </w:r>
      <w:r>
        <w:rPr>
          <w:rFonts w:ascii="Google Sans" w:cs="Google Sans" w:eastAsia="Google Sans" w:hAnsi="Google Sans"/>
          <w:color w:val="1f1f1f"/>
          <w:rtl w:val="0"/>
        </w:rPr>
        <w:t xml:space="preserve"> classical features into </w:t>
      </w:r>
      <w:r>
        <w:rPr>
          <w:rFonts w:ascii="Google Sans" w:cs="Google Sans" w:eastAsia="Google Sans" w:hAnsi="Google Sans"/>
          <w:color w:val="1f1f1f"/>
        </w:rPr>
        <w:drawing>
          <wp:inline distB="19050" distT="19050" distL="19050" distR="19050">
            <wp:extent cx="110654" cy="221308"/>
            <wp:effectExtent b="0" l="0" r="0" t="0"/>
            <wp:docPr id="14"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110654" cy="221308"/>
                    </a:xfrm>
                    <a:prstGeom prst="rect"/>
                    <a:ln/>
                  </pic:spPr>
                </pic:pic>
              </a:graphicData>
            </a:graphic>
          </wp:inline>
        </w:drawing>
      </w:r>
      <w:r>
        <w:rPr>
          <w:rFonts w:ascii="Google Sans" w:cs="Google Sans" w:eastAsia="Google Sans" w:hAnsi="Google Sans"/>
          <w:color w:val="1f1f1f"/>
          <w:rtl w:val="0"/>
        </w:rPr>
        <w:t xml:space="preserve"> qubits, but demands an exponentially deep preparation circuit. In almost all scenarios, aggressive classical dimensionality reduction (via Principal Component Analysis or classical Autoencoders) is mandatory to forcefully fit the dataset into the restrictive NISQ hardware budget.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Step 3: Circuit Design and Topology Mapping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parameterized ansatz must be physically executable on the target QPU without triggering noise-induced barren plateaus.</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Pr>
          <w:rFonts w:ascii="Google Sans" w:cs="Google Sans" w:eastAsia="Google Sans" w:hAnsi="Google Sans"/>
          <w:i w:val="1"/>
          <w:iCs w:val="1"/>
          <w:color w:val="1f1f1f"/>
          <w:rtl w:val="0"/>
        </w:rPr>
        <w:t xml:space="preserve">Action:</w:t>
      </w:r>
      <w:r>
        <w:rPr>
          <w:rFonts w:ascii="Google Sans" w:cs="Google Sans" w:eastAsia="Google Sans" w:hAnsi="Google Sans"/>
          <w:color w:val="1f1f1f"/>
          <w:rtl w:val="0"/>
        </w:rPr>
        <w:t xml:space="preserve"> Abandon idealized, all-to-all connectivity assumptions. Design the ansatz by explicitly referencing the target QPU's physical connectivity graph.</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Pr>
          <w:rFonts w:ascii="Google Sans" w:cs="Google Sans" w:eastAsia="Google Sans" w:hAnsi="Google Sans"/>
          <w:i w:val="1"/>
          <w:iCs w:val="1"/>
          <w:color w:val="1f1f1f"/>
          <w:rtl w:val="0"/>
        </w:rPr>
        <w:t xml:space="preserve">Checkpoint:</w:t>
      </w:r>
      <w:r>
        <w:rPr>
          <w:rFonts w:ascii="Google Sans" w:cs="Google Sans" w:eastAsia="Google Sans" w:hAnsi="Google Sans"/>
          <w:color w:val="1f1f1f"/>
          <w:rtl w:val="0"/>
        </w:rPr>
        <w:t xml:space="preserve"> Utilize automated hardware-aware architecture search frameworks (such as HaQGNN) to evaluate the probability of successful circuit trials based on live, real-time hardware calibration data (Liu et al., 2025). If deploying to a restricted heavy-hex lattice architecture, strictly enforce a </w:t>
      </w:r>
      <w:r>
        <w:rPr>
          <w:rFonts w:ascii="Google Sans" w:cs="Google Sans" w:eastAsia="Google Sans" w:hAnsi="Google Sans"/>
          <w:b w:val="1"/>
          <w:bCs w:val="1"/>
          <w:color w:val="1f1f1f"/>
          <w:rtl w:val="0"/>
        </w:rPr>
        <w:t xml:space="preserve">Hardware-Efficient Ansatz</w:t>
      </w:r>
      <w:r>
        <w:rPr>
          <w:rFonts w:ascii="Google Sans" w:cs="Google Sans" w:eastAsia="Google Sans" w:hAnsi="Google Sans"/>
          <w:color w:val="1f1f1f"/>
          <w:rtl w:val="0"/>
        </w:rPr>
        <w:t xml:space="preserve"> tailored precisely to that physical topology to completely eliminate SWAP gate insertions. Strictly limit the circuit to </w:t>
      </w:r>
      <w:r>
        <w:rPr>
          <w:rFonts w:ascii="Google Sans" w:cs="Google Sans" w:eastAsia="Google Sans" w:hAnsi="Google Sans"/>
          <w:color w:val="1f1f1f"/>
        </w:rPr>
        <w:drawing>
          <wp:inline distB="19050" distT="19050" distL="19050" distR="19050">
            <wp:extent cx="787747" cy="227782"/>
            <wp:effectExtent b="0" l="0" r="0" t="0"/>
            <wp:docPr id="1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787747" cy="227782"/>
                    </a:xfrm>
                    <a:prstGeom prst="rect"/>
                    <a:ln/>
                  </pic:spPr>
                </pic:pic>
              </a:graphicData>
            </a:graphic>
          </wp:inline>
        </w:drawing>
      </w:r>
      <w:r>
        <w:rPr>
          <w:rFonts w:ascii="Google Sans" w:cs="Google Sans" w:eastAsia="Google Sans" w:hAnsi="Google Sans"/>
          <w:color w:val="1f1f1f"/>
          <w:rtl w:val="0"/>
        </w:rPr>
        <w:t xml:space="preserve"> layers to prevent the accumulation of catastrophic gate noise and to avoid expressibility-induced barren plateaus.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Step 4: Training and Optimization Strategy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optimization loop must be designed to survive the high variance of shot noise and the fragility of the quantum landscape.</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Pr>
          <w:rFonts w:ascii="Google Sans" w:cs="Google Sans" w:eastAsia="Google Sans" w:hAnsi="Google Sans"/>
          <w:i w:val="1"/>
          <w:iCs w:val="1"/>
          <w:color w:val="1f1f1f"/>
          <w:rtl w:val="0"/>
        </w:rPr>
        <w:t xml:space="preserve">Action:</w:t>
      </w:r>
      <w:r>
        <w:rPr>
          <w:rFonts w:ascii="Google Sans" w:cs="Google Sans" w:eastAsia="Google Sans" w:hAnsi="Google Sans"/>
          <w:color w:val="1f1f1f"/>
          <w:rtl w:val="0"/>
        </w:rPr>
        <w:t xml:space="preserve"> Initialize parameters strategically and execute the loop using a noise-resilient optimizer, such as Simultaneous Perturbation Stochastic Approximation (SPSA), which is highly robust to stochastic shot noise compared to standard gradient descent.</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Pr>
          <w:rFonts w:ascii="Google Sans" w:cs="Google Sans" w:eastAsia="Google Sans" w:hAnsi="Google Sans"/>
          <w:i w:val="1"/>
          <w:iCs w:val="1"/>
          <w:color w:val="1f1f1f"/>
          <w:rtl w:val="0"/>
        </w:rPr>
        <w:t xml:space="preserve">Checkpoint:</w:t>
      </w:r>
      <w:r>
        <w:rPr>
          <w:rFonts w:ascii="Google Sans" w:cs="Google Sans" w:eastAsia="Google Sans" w:hAnsi="Google Sans"/>
          <w:color w:val="1f1f1f"/>
          <w:rtl w:val="0"/>
        </w:rPr>
        <w:t xml:space="preserve"> To prevent the optimizer from immediately stalling in a barren plateau, never initialize the circuit parameters completely at random. Instead, utilize identity block initialization or bounded Gaussian distributions to ensure the initial gradients are resolvable. If operating under a severe measurement bottleneck with strict pay-per-shot cloud billing limits, enforce dynamic </w:t>
      </w:r>
      <w:r>
        <w:rPr>
          <w:rFonts w:ascii="Google Sans" w:cs="Google Sans" w:eastAsia="Google Sans" w:hAnsi="Google Sans"/>
          <w:b w:val="1"/>
          <w:bCs w:val="1"/>
          <w:color w:val="1f1f1f"/>
          <w:rtl w:val="0"/>
        </w:rPr>
        <w:t xml:space="preserve">variance regularization</w:t>
      </w:r>
      <w:r>
        <w:rPr>
          <w:rFonts w:ascii="Google Sans" w:cs="Google Sans" w:eastAsia="Google Sans" w:hAnsi="Google Sans"/>
          <w:color w:val="1f1f1f"/>
          <w:rtl w:val="0"/>
        </w:rPr>
        <w:t xml:space="preserve"> to suppress the variance of expectation values early in the training process, transitioning to higher shot counts only during final convergence fine-tuning (Kreplin, 2024).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Step 5: Error Suppression and Mitigation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Hardware noise must be actively combated throughout the execution pipeline, distinguishing between suppression (during execution) and mitigation (post-execution).</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Pr>
          <w:rFonts w:ascii="Google Sans" w:cs="Google Sans" w:eastAsia="Google Sans" w:hAnsi="Google Sans"/>
          <w:i w:val="1"/>
          <w:iCs w:val="1"/>
          <w:color w:val="1f1f1f"/>
          <w:rtl w:val="0"/>
        </w:rPr>
        <w:t xml:space="preserve">Action:</w:t>
      </w:r>
      <w:r>
        <w:rPr>
          <w:rFonts w:ascii="Google Sans" w:cs="Google Sans" w:eastAsia="Google Sans" w:hAnsi="Google Sans"/>
          <w:color w:val="1f1f1f"/>
          <w:rtl w:val="0"/>
        </w:rPr>
        <w:t xml:space="preserve"> Apply baseline open-loop error suppression uniformly. Implement Dynamical Decoupling (DD) sequences on all idle qubits to actively reverse environmental dephasing without requiring additional gate overhead.</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Pr>
          <w:rFonts w:ascii="Google Sans" w:cs="Google Sans" w:eastAsia="Google Sans" w:hAnsi="Google Sans"/>
          <w:i w:val="1"/>
          <w:iCs w:val="1"/>
          <w:color w:val="1f1f1f"/>
          <w:rtl w:val="0"/>
        </w:rPr>
        <w:t xml:space="preserve">Checkpoint:</w:t>
      </w:r>
      <w:r>
        <w:rPr>
          <w:rFonts w:ascii="Google Sans" w:cs="Google Sans" w:eastAsia="Google Sans" w:hAnsi="Google Sans"/>
          <w:color w:val="1f1f1f"/>
          <w:rtl w:val="0"/>
        </w:rPr>
        <w:t xml:space="preserve"> Assess the required precision of the final output. If the task requires high-precision expectation values (e.g., calculating ground state energies in quantum chemistry) and the computational budget allows, apply </w:t>
      </w:r>
      <w:r>
        <w:rPr>
          <w:rFonts w:ascii="Google Sans" w:cs="Google Sans" w:eastAsia="Google Sans" w:hAnsi="Google Sans"/>
          <w:b w:val="1"/>
          <w:bCs w:val="1"/>
          <w:color w:val="1f1f1f"/>
          <w:rtl w:val="0"/>
        </w:rPr>
        <w:t xml:space="preserve">Probabilistic Error Cancellation (PEC)</w:t>
      </w:r>
      <w:r>
        <w:rPr>
          <w:rFonts w:ascii="Google Sans" w:cs="Google Sans" w:eastAsia="Google Sans" w:hAnsi="Google Sans"/>
          <w:color w:val="1f1f1f"/>
          <w:rtl w:val="0"/>
        </w:rPr>
        <w:t xml:space="preserve"> or </w:t>
      </w:r>
      <w:r>
        <w:rPr>
          <w:rFonts w:ascii="Google Sans" w:cs="Google Sans" w:eastAsia="Google Sans" w:hAnsi="Google Sans"/>
          <w:b w:val="1"/>
          <w:bCs w:val="1"/>
          <w:color w:val="1f1f1f"/>
          <w:rtl w:val="0"/>
        </w:rPr>
        <w:t xml:space="preserve">Zero-Noise Extrapolation (ZNE)</w:t>
      </w:r>
      <w:r>
        <w:rPr>
          <w:rFonts w:ascii="Google Sans" w:cs="Google Sans" w:eastAsia="Google Sans" w:hAnsi="Google Sans"/>
          <w:color w:val="1f1f1f"/>
          <w:rtl w:val="0"/>
        </w:rPr>
        <w:t xml:space="preserve"> to the final evaluations. However, recognize that ZNE and PEC incur an exponential sampling overhead relative to the noise rate. If the circuit is highly scalable and the sampling budget is tight, abandon PEC/ZNE entirely and utilize lower-overhead methods like </w:t>
      </w:r>
      <w:r>
        <w:rPr>
          <w:rFonts w:ascii="Google Sans" w:cs="Google Sans" w:eastAsia="Google Sans" w:hAnsi="Google Sans"/>
          <w:b w:val="1"/>
          <w:bCs w:val="1"/>
          <w:color w:val="1f1f1f"/>
          <w:rtl w:val="0"/>
        </w:rPr>
        <w:t xml:space="preserve">Clifford Data Regression (CDR)</w:t>
      </w:r>
      <w:r>
        <w:rPr>
          <w:rFonts w:ascii="Google Sans" w:cs="Google Sans" w:eastAsia="Google Sans" w:hAnsi="Google Sans"/>
          <w:color w:val="1f1f1f"/>
          <w:rtl w:val="0"/>
        </w:rPr>
        <w:t xml:space="preserve">, or rely solely on robust base-level error suppression (Temme et al., 2017).</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Step 6: Evaluation and Deployment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ultimate test of a QML model is its robustness and generalizability when executed on physical hardware outside of a controlled simulation environment.</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Pr>
          <w:rFonts w:ascii="Google Sans" w:cs="Google Sans" w:eastAsia="Google Sans" w:hAnsi="Google Sans"/>
          <w:i w:val="1"/>
          <w:iCs w:val="1"/>
          <w:color w:val="1f1f1f"/>
          <w:rtl w:val="0"/>
        </w:rPr>
        <w:t xml:space="preserve">Action:</w:t>
      </w:r>
      <w:r>
        <w:rPr>
          <w:rFonts w:ascii="Google Sans" w:cs="Google Sans" w:eastAsia="Google Sans" w:hAnsi="Google Sans"/>
          <w:color w:val="1f1f1f"/>
          <w:rtl w:val="0"/>
        </w:rPr>
        <w:t xml:space="preserve"> Evaluate the trained model on a physical QPU against rigorous, highly optimized classical baselines.</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Pr>
          <w:rFonts w:ascii="Google Sans" w:cs="Google Sans" w:eastAsia="Google Sans" w:hAnsi="Google Sans"/>
          <w:i w:val="1"/>
          <w:iCs w:val="1"/>
          <w:color w:val="1f1f1f"/>
          <w:rtl w:val="0"/>
        </w:rPr>
        <w:t xml:space="preserve">Checkpoint:</w:t>
      </w:r>
      <w:r>
        <w:rPr>
          <w:rFonts w:ascii="Google Sans" w:cs="Google Sans" w:eastAsia="Google Sans" w:hAnsi="Google Sans"/>
          <w:color w:val="1f1f1f"/>
          <w:rtl w:val="0"/>
        </w:rPr>
        <w:t xml:space="preserve"> Decide on the deployment architecture. For resource-constrained edge devices (IoT sensors), utilize an </w:t>
      </w:r>
      <w:r>
        <w:rPr>
          <w:rFonts w:ascii="Google Sans" w:cs="Google Sans" w:eastAsia="Google Sans" w:hAnsi="Google Sans"/>
          <w:b w:val="1"/>
          <w:bCs w:val="1"/>
          <w:color w:val="1f1f1f"/>
          <w:rtl w:val="0"/>
        </w:rPr>
        <w:t xml:space="preserve">Embedded QML (EQML)</w:t>
      </w:r>
      <w:r>
        <w:rPr>
          <w:rFonts w:ascii="Google Sans" w:cs="Google Sans" w:eastAsia="Google Sans" w:hAnsi="Google Sans"/>
          <w:color w:val="1f1f1f"/>
          <w:rtl w:val="0"/>
        </w:rPr>
        <w:t xml:space="preserve"> framework, where a local classical microprocessor handles general data processing and offloads only a highly specific, narrow mathematical subroutine to a remote quantum co-processor. In cloud-based deployments, establish continuous monitoring protocols for calibration drift, as physical shifts in the remote QPU can cause severe semantic drift and degraded accuracy over time, requiring periodic dynamic calibration routines.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Concrete Use Cases and Hardware Realities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To understand the practical implications of this workflow, one must examine how QML performs on real devices across diverse domains.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Classification (e.g., MNIST/Iris):</w:t>
      </w:r>
      <w:r>
        <w:rPr>
          <w:rFonts w:ascii="Google Sans" w:cs="Google Sans" w:eastAsia="Google Sans" w:hAnsi="Google Sans"/>
          <w:color w:val="1f1f1f"/>
          <w:rtl w:val="0"/>
        </w:rPr>
        <w:t xml:space="preserve"> When deploying Quantum Support Vector Machines (QSVM) or VQCs for standard classification tasks, the theoretical simulations often show high accuracy. However, when deployed on actual superconducting hardware, the accuracy routinely drops by 10% to 30% due to gate noise and readout errors. The requirement to downscale images drastically (e.g., from 784 pixels to 4 or 8 features using classical PCA) means the quantum model is learning on a highly lossy representation of the data. In these regimes, classical Random Forests or Support Vector Machines universally achieve higher accuracy with a fraction of the computational latency.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Chemistry and Materials Science:</w:t>
      </w:r>
      <w:r>
        <w:rPr>
          <w:rFonts w:ascii="Google Sans" w:cs="Google Sans" w:eastAsia="Google Sans" w:hAnsi="Google Sans"/>
          <w:color w:val="1f1f1f"/>
          <w:rtl w:val="0"/>
        </w:rPr>
        <w:t xml:space="preserve"> QML holds significant promise here, as the objective is to learn the properties of fundamentally quantum systems. Hybrid algorithms like the Variational Quantum Eigensolver (VQE) are used to predict molecular ground state energies. However, on current NISQ devices, performance parity with classical methods has only been achieved for trivial, toy systems (e.g., the </w:t>
      </w:r>
      <w:r>
        <w:rPr>
          <w:rFonts w:ascii="Google Sans" w:cs="Google Sans" w:eastAsia="Google Sans" w:hAnsi="Google Sans"/>
          <w:color w:val="1f1f1f"/>
        </w:rPr>
        <w:drawing>
          <wp:inline distB="19050" distT="19050" distL="19050" distR="19050">
            <wp:extent cx="227037" cy="227037"/>
            <wp:effectExtent b="0" l="0" r="0" t="0"/>
            <wp:docPr id="16"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227037" cy="227037"/>
                    </a:xfrm>
                    <a:prstGeom prst="rect"/>
                    <a:ln/>
                  </pic:spPr>
                </pic:pic>
              </a:graphicData>
            </a:graphic>
          </wp:inline>
        </w:drawing>
      </w:r>
      <w:r>
        <w:rPr>
          <w:rFonts w:ascii="Google Sans" w:cs="Google Sans" w:eastAsia="Google Sans" w:hAnsi="Google Sans"/>
          <w:color w:val="1f1f1f"/>
          <w:rtl w:val="0"/>
        </w:rPr>
        <w:t xml:space="preserve"> or </w:t>
      </w:r>
      <w:r>
        <w:rPr>
          <w:rFonts w:ascii="Google Sans" w:cs="Google Sans" w:eastAsia="Google Sans" w:hAnsi="Google Sans"/>
          <w:color w:val="1f1f1f"/>
        </w:rPr>
        <w:drawing>
          <wp:inline distB="19050" distT="19050" distL="19050" distR="19050">
            <wp:extent cx="357485" cy="225780"/>
            <wp:effectExtent b="0" l="0" r="0" t="0"/>
            <wp:docPr id="17"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357485" cy="225780"/>
                    </a:xfrm>
                    <a:prstGeom prst="rect"/>
                    <a:ln/>
                  </pic:spPr>
                </pic:pic>
              </a:graphicData>
            </a:graphic>
          </wp:inline>
        </w:drawing>
      </w:r>
      <w:r>
        <w:rPr>
          <w:rFonts w:ascii="Google Sans" w:cs="Google Sans" w:eastAsia="Google Sans" w:hAnsi="Google Sans"/>
          <w:color w:val="1f1f1f"/>
          <w:rtl w:val="0"/>
        </w:rPr>
        <w:t xml:space="preserve"> molecules) under heavy simplifications and massive error mitigation overhead. Currently, classical machine learning force-fields and graph neural networks dominate this space in both speed and scalability, pushing the timeline for true QML advantage in chemistry into the fault-tolerant era (Schuld &amp; Petruccione, 2018).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Anomaly Detection in Cybersecurity:</w:t>
      </w:r>
      <w:r>
        <w:rPr>
          <w:rFonts w:ascii="Google Sans" w:cs="Google Sans" w:eastAsia="Google Sans" w:hAnsi="Google Sans"/>
          <w:color w:val="1f1f1f"/>
          <w:rtl w:val="0"/>
        </w:rPr>
        <w:t xml:space="preserve"> Deploying Quantum Variational Autoencoders (Q-VAE) to detect anomalous network traffic demonstrates the nuanced reality of near-term QML. In benchmark studies using network datasets (e.g., UNSW-NB15), Q-VAEs have achieved F1-scores comparable to classical baselines, proving that hybrid quantum models can identify latent correlations in complex security data. However, the models suffer heavily from the slow training times inherent to the parameter-shift rule and exhibit high sensitivity to calibration drift over long training runs, requiring constant re-tuning of the learning rate and batch sizes to maintain stability (Kshatriya et al., 2022).</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Actionable Guidance: Hardware-to-Strategy Mapping</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Pr>
          <w:rFonts w:ascii="Google Sans" w:cs="Google Sans" w:eastAsia="Google Sans" w:hAnsi="Google Sans"/>
          <w:b w:val="1"/>
          <w:bCs w:val="1"/>
          <w:color w:val="1f1f1f"/>
          <w:rtl w:val="0"/>
        </w:rPr>
        <w:t xml:space="preserve">If you have:</w:t>
      </w:r>
      <w:r>
        <w:rPr>
          <w:rFonts w:ascii="Google Sans" w:cs="Google Sans" w:eastAsia="Google Sans" w:hAnsi="Google Sans"/>
          <w:color w:val="1f1f1f"/>
          <w:rtl w:val="0"/>
        </w:rPr>
        <w:t xml:space="preserve"> Severe qubit count constraints (e.g., &lt; 10 qubits) but highly reliable, long-coherence qubits (e.g., trapped-ion arrays), </w:t>
      </w:r>
      <w:r>
        <w:rPr>
          <w:rFonts w:ascii="Google Sans" w:cs="Google Sans" w:eastAsia="Google Sans" w:hAnsi="Google Sans"/>
          <w:b w:val="1"/>
          <w:bCs w:val="1"/>
          <w:color w:val="1f1f1f"/>
          <w:rtl w:val="0"/>
        </w:rPr>
        <w:t xml:space="preserve">choose:</w:t>
      </w:r>
      <w:r>
        <w:rPr>
          <w:rFonts w:ascii="Google Sans" w:cs="Google Sans" w:eastAsia="Google Sans" w:hAnsi="Google Sans"/>
          <w:color w:val="1f1f1f"/>
          <w:rtl w:val="0"/>
        </w:rPr>
        <w:t xml:space="preserve"> Amplitude encoding coupled with deeper, highly expressive Variational Quantum Circuits.</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Pr>
          <w:rFonts w:ascii="Google Sans" w:cs="Google Sans" w:eastAsia="Google Sans" w:hAnsi="Google Sans"/>
          <w:b w:val="1"/>
          <w:bCs w:val="1"/>
          <w:color w:val="1f1f1f"/>
          <w:rtl w:val="0"/>
        </w:rPr>
        <w:t xml:space="preserve">If you have:</w:t>
      </w:r>
      <w:r>
        <w:rPr>
          <w:rFonts w:ascii="Google Sans" w:cs="Google Sans" w:eastAsia="Google Sans" w:hAnsi="Google Sans"/>
          <w:color w:val="1f1f1f"/>
          <w:rtl w:val="0"/>
        </w:rPr>
        <w:t xml:space="preserve"> High qubit counts (&gt; 100) but terrible coherence times and highly restricted heavy-hex lattice connectivity, </w:t>
      </w:r>
      <w:r>
        <w:rPr>
          <w:rFonts w:ascii="Google Sans" w:cs="Google Sans" w:eastAsia="Google Sans" w:hAnsi="Google Sans"/>
          <w:b w:val="1"/>
          <w:bCs w:val="1"/>
          <w:color w:val="1f1f1f"/>
          <w:rtl w:val="0"/>
        </w:rPr>
        <w:t xml:space="preserve">choose:</w:t>
      </w:r>
      <w:r>
        <w:rPr>
          <w:rFonts w:ascii="Google Sans" w:cs="Google Sans" w:eastAsia="Google Sans" w:hAnsi="Google Sans"/>
          <w:color w:val="1f1f1f"/>
          <w:rtl w:val="0"/>
        </w:rPr>
        <w:t xml:space="preserve"> Angle encoding mapped directly to a shallow, heavily restricted Hardware-Efficient Ansatz, heavily supported by variance regularization and SPSA optimization.</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Pr>
          <w:rFonts w:ascii="Google Sans" w:cs="Google Sans" w:eastAsia="Google Sans" w:hAnsi="Google Sans"/>
          <w:b w:val="1"/>
          <w:bCs w:val="1"/>
          <w:color w:val="1f1f1f"/>
          <w:rtl w:val="0"/>
        </w:rPr>
        <w:t xml:space="preserve">If you have:</w:t>
      </w:r>
      <w:r>
        <w:rPr>
          <w:rFonts w:ascii="Google Sans" w:cs="Google Sans" w:eastAsia="Google Sans" w:hAnsi="Google Sans"/>
          <w:color w:val="1f1f1f"/>
          <w:rtl w:val="0"/>
        </w:rPr>
        <w:t xml:space="preserve"> An algorithmic requirement for convex optimization and exact global minima, but a strict limit on pay-per-shot cloud budgets, </w:t>
      </w:r>
      <w:r>
        <w:rPr>
          <w:rFonts w:ascii="Google Sans" w:cs="Google Sans" w:eastAsia="Google Sans" w:hAnsi="Google Sans"/>
          <w:b w:val="1"/>
          <w:bCs w:val="1"/>
          <w:color w:val="1f1f1f"/>
          <w:rtl w:val="0"/>
        </w:rPr>
        <w:t xml:space="preserve">choose:</w:t>
      </w:r>
      <w:r>
        <w:rPr>
          <w:rFonts w:ascii="Google Sans" w:cs="Google Sans" w:eastAsia="Google Sans" w:hAnsi="Google Sans"/>
          <w:color w:val="1f1f1f"/>
          <w:rtl w:val="0"/>
        </w:rPr>
        <w:t xml:space="preserve"> Classical Support Vector Machines. Avoid Quantum Kernel Methods entirely, as the </w:t>
      </w:r>
      <w:r>
        <w:rPr>
          <w:rFonts w:ascii="Google Sans" w:cs="Google Sans" w:eastAsia="Google Sans" w:hAnsi="Google Sans"/>
          <w:color w:val="1f1f1f"/>
        </w:rPr>
        <w:drawing>
          <wp:inline distB="19050" distT="19050" distL="19050" distR="19050">
            <wp:extent cx="537269" cy="230258"/>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7269" cy="230258"/>
                    </a:xfrm>
                    <a:prstGeom prst="rect"/>
                    <a:ln/>
                  </pic:spPr>
                </pic:pic>
              </a:graphicData>
            </a:graphic>
          </wp:inline>
        </w:drawing>
      </w:r>
      <w:r>
        <w:rPr>
          <w:rFonts w:ascii="Google Sans" w:cs="Google Sans" w:eastAsia="Google Sans" w:hAnsi="Google Sans"/>
          <w:color w:val="1f1f1f"/>
          <w:rtl w:val="0"/>
        </w:rPr>
        <w:t xml:space="preserve"> kernel matrix evaluation will immediately exhaust the financial budget.</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Pr>
          <w:rFonts w:ascii="Google Sans" w:cs="Google Sans" w:eastAsia="Google Sans" w:hAnsi="Google Sans"/>
          <w:b w:val="1"/>
          <w:bCs w:val="1"/>
          <w:color w:val="1f1f1f"/>
          <w:rtl w:val="0"/>
        </w:rPr>
        <w:t xml:space="preserve">If you have:</w:t>
      </w:r>
      <w:r>
        <w:rPr>
          <w:rFonts w:ascii="Google Sans" w:cs="Google Sans" w:eastAsia="Google Sans" w:hAnsi="Google Sans"/>
          <w:color w:val="1f1f1f"/>
          <w:rtl w:val="0"/>
        </w:rPr>
        <w:t xml:space="preserve"> Access to photonic continuous-variable hardware and a dataset requiring highly non-linear decision boundaries, </w:t>
      </w:r>
      <w:r>
        <w:rPr>
          <w:rFonts w:ascii="Google Sans" w:cs="Google Sans" w:eastAsia="Google Sans" w:hAnsi="Google Sans"/>
          <w:b w:val="1"/>
          <w:bCs w:val="1"/>
          <w:color w:val="1f1f1f"/>
          <w:rtl w:val="0"/>
        </w:rPr>
        <w:t xml:space="preserve">choose:</w:t>
      </w:r>
      <w:r>
        <w:rPr>
          <w:rFonts w:ascii="Google Sans" w:cs="Google Sans" w:eastAsia="Google Sans" w:hAnsi="Google Sans"/>
          <w:color w:val="1f1f1f"/>
          <w:rtl w:val="0"/>
        </w:rPr>
        <w:t xml:space="preserve"> CV-QNN architectures, leveraging non-Gaussian photon subtraction to natively model the non-linearities without the architectural constraints of discrete qubit systems.</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7) Failure Modes &amp; Diagnostics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When a classical neural network fails to converge or generalize, standard debugging techniques—such as adjusting learning rates, batch normalization, or altering layer structures—are usually sufficient. Failures in quantum models, however, are driven by geometric collapses of the multidimensional Hilbert space and the physical degradation of the QPU. Identifying these failures requires highly specific mathematical and physical diagnostics.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Barren Plateaus (Gradient Vanishing)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most prominent and severe failure mode in QML is the barren plateau. As the number of qubits increases, the optimization landscape exponentially flattens. A gradient descent algorithm attempting a random walk in this high-dimensional space has an exponentially small probability of finding a minimum, effectively halting all learning. This phenomenon occurs through two distinct mechanisms:</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Pr>
          <w:rFonts w:ascii="Google Sans" w:cs="Google Sans" w:eastAsia="Google Sans" w:hAnsi="Google Sans"/>
          <w:b w:val="1"/>
          <w:bCs w:val="1"/>
          <w:color w:val="1f1f1f"/>
          <w:rtl w:val="0"/>
        </w:rPr>
        <w:t xml:space="preserve">Expressibility-Induced BPs:</w:t>
      </w:r>
      <w:r>
        <w:rPr>
          <w:rFonts w:ascii="Google Sans" w:cs="Google Sans" w:eastAsia="Google Sans" w:hAnsi="Google Sans"/>
          <w:color w:val="1f1f1f"/>
          <w:rtl w:val="0"/>
        </w:rPr>
        <w:t xml:space="preserve"> If the parameterized circuit is highly expressive, it begins to mimic a unitary 2-design, exploring the Hilbert space uniformly. As a consequence of the concentration of measure, the gradients mathematically vanish (McClean et al., 2018).</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Pr>
          <w:rFonts w:ascii="Google Sans" w:cs="Google Sans" w:eastAsia="Google Sans" w:hAnsi="Google Sans"/>
          <w:b w:val="1"/>
          <w:bCs w:val="1"/>
          <w:color w:val="1f1f1f"/>
          <w:rtl w:val="0"/>
        </w:rPr>
        <w:t xml:space="preserve">Noise-Induced BPs (NIBPs):</w:t>
      </w:r>
      <w:r>
        <w:rPr>
          <w:rFonts w:ascii="Google Sans" w:cs="Google Sans" w:eastAsia="Google Sans" w:hAnsi="Google Sans"/>
          <w:color w:val="1f1f1f"/>
          <w:rtl w:val="0"/>
        </w:rPr>
        <w:t xml:space="preserve"> Even shallow circuits with restricted expressivity suffer from NIBPs. Local Pauli noise, depolarizing channels, and amplitude damping iteratively shrink the radius of the reachable state space with every subsequent gate layer. This physical entropy collapses the gradient vector toward zero regardless of the underlying ansatz design (Wang et al., 2021).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Pr>
          <w:rFonts w:ascii="Google Sans" w:cs="Google Sans" w:eastAsia="Google Sans" w:hAnsi="Google Sans"/>
          <w:i w:val="1"/>
          <w:iCs w:val="1"/>
          <w:color w:val="1f1f1f"/>
          <w:rtl w:val="0"/>
        </w:rPr>
        <w:t xml:space="preserve">Diagnostic Mechanism:</w:t>
      </w:r>
      <w:r>
        <w:rPr>
          <w:rFonts w:ascii="Google Sans" w:cs="Google Sans" w:eastAsia="Google Sans" w:hAnsi="Google Sans"/>
          <w:color w:val="1f1f1f"/>
          <w:rtl w:val="0"/>
        </w:rPr>
        <w:t xml:space="preserve"> The trainability of a circuit architecture must be diagnosed prior to full training. By calculating the variance of the gradient, </w:t>
      </w:r>
      <w:r>
        <w:rPr>
          <w:rFonts w:ascii="Google Sans" w:cs="Google Sans" w:eastAsia="Google Sans" w:hAnsi="Google Sans"/>
          <w:color w:val="1f1f1f"/>
        </w:rPr>
        <w:drawing>
          <wp:inline distB="19050" distT="19050" distL="19050" distR="19050">
            <wp:extent cx="701130" cy="227393"/>
            <wp:effectExtent b="0" l="0" r="0" t="0"/>
            <wp:docPr id="2"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701130" cy="227393"/>
                    </a:xfrm>
                    <a:prstGeom prst="rect"/>
                    <a:ln/>
                  </pic:spPr>
                </pic:pic>
              </a:graphicData>
            </a:graphic>
          </wp:inline>
        </w:drawing>
      </w:r>
      <w:r>
        <w:rPr>
          <w:rFonts w:ascii="Google Sans" w:cs="Google Sans" w:eastAsia="Google Sans" w:hAnsi="Google Sans"/>
          <w:color w:val="1f1f1f"/>
          <w:rtl w:val="0"/>
        </w:rPr>
        <w:t xml:space="preserve">, over a batch of randomly initialized parameter settings, one can plot the scaling. If </w:t>
      </w:r>
      <w:r>
        <w:rPr>
          <w:rFonts w:ascii="Google Sans" w:cs="Google Sans" w:eastAsia="Google Sans" w:hAnsi="Google Sans"/>
          <w:color w:val="1f1f1f"/>
        </w:rPr>
        <w:drawing>
          <wp:inline distB="19050" distT="19050" distL="19050" distR="19050">
            <wp:extent cx="701130" cy="227393"/>
            <wp:effectExtent b="0" l="0" r="0" t="0"/>
            <wp:docPr id="3"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701130" cy="227393"/>
                    </a:xfrm>
                    <a:prstGeom prst="rect"/>
                    <a:ln/>
                  </pic:spPr>
                </pic:pic>
              </a:graphicData>
            </a:graphic>
          </wp:inline>
        </w:drawing>
      </w:r>
      <w:r>
        <w:rPr>
          <w:rFonts w:ascii="Google Sans" w:cs="Google Sans" w:eastAsia="Google Sans" w:hAnsi="Google Sans"/>
          <w:color w:val="1f1f1f"/>
          <w:rtl w:val="0"/>
        </w:rPr>
        <w:t xml:space="preserve"> scales as </w:t>
      </w:r>
      <w:r>
        <w:rPr>
          <w:rFonts w:ascii="Google Sans" w:cs="Google Sans" w:eastAsia="Google Sans" w:hAnsi="Google Sans"/>
          <w:color w:val="1f1f1f"/>
        </w:rPr>
        <w:drawing>
          <wp:inline distB="19050" distT="19050" distL="19050" distR="19050">
            <wp:extent cx="658713" cy="219571"/>
            <wp:effectExtent b="0" l="0" r="0" t="0"/>
            <wp:docPr id="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658713" cy="219571"/>
                    </a:xfrm>
                    <a:prstGeom prst="rect"/>
                    <a:ln/>
                  </pic:spPr>
                </pic:pic>
              </a:graphicData>
            </a:graphic>
          </wp:inline>
        </w:drawing>
      </w:r>
      <w:r>
        <w:rPr>
          <w:rFonts w:ascii="Google Sans" w:cs="Google Sans" w:eastAsia="Google Sans" w:hAnsi="Google Sans"/>
          <w:color w:val="1f1f1f"/>
          <w:rtl w:val="0"/>
        </w:rPr>
        <w:t xml:space="preserve"> with </w:t>
      </w:r>
      <w:r>
        <w:rPr>
          <w:rFonts w:ascii="Google Sans" w:cs="Google Sans" w:eastAsia="Google Sans" w:hAnsi="Google Sans"/>
          <w:color w:val="1f1f1f"/>
        </w:rPr>
        <w:drawing>
          <wp:inline distB="19050" distT="19050" distL="19050" distR="19050">
            <wp:extent cx="110654" cy="221308"/>
            <wp:effectExtent b="0" l="0" r="0" t="0"/>
            <wp:docPr id="5"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110654" cy="221308"/>
                    </a:xfrm>
                    <a:prstGeom prst="rect"/>
                    <a:ln/>
                  </pic:spPr>
                </pic:pic>
              </a:graphicData>
            </a:graphic>
          </wp:inline>
        </w:drawing>
      </w:r>
      <w:r>
        <w:rPr>
          <w:rFonts w:ascii="Google Sans" w:cs="Google Sans" w:eastAsia="Google Sans" w:hAnsi="Google Sans"/>
          <w:color w:val="1f1f1f"/>
          <w:rtl w:val="0"/>
        </w:rPr>
        <w:t xml:space="preserve"> qubits, the system is demonstrably trapped in a barren plateau. More advanced diagnostics utilize the </w:t>
      </w:r>
      <w:r>
        <w:rPr>
          <w:rFonts w:ascii="Google Sans" w:cs="Google Sans" w:eastAsia="Google Sans" w:hAnsi="Google Sans"/>
          <w:b w:val="1"/>
          <w:bCs w:val="1"/>
          <w:color w:val="1f1f1f"/>
          <w:rtl w:val="0"/>
        </w:rPr>
        <w:t xml:space="preserve">Dynamical Lie Algebra (DLA)</w:t>
      </w:r>
      <w:r>
        <w:rPr>
          <w:rFonts w:ascii="Google Sans" w:cs="Google Sans" w:eastAsia="Google Sans" w:hAnsi="Google Sans"/>
          <w:color w:val="1f1f1f"/>
          <w:rtl w:val="0"/>
        </w:rPr>
        <w:t xml:space="preserve">. By computing the dimension of the DLA generated by the circuit's operators, engineers can predict cost-function concentration theoretically; exponential DLA dimensions definitively indicate algorithmic untrainability prior to any physical execution.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Information Matrix Degeneracy (Cost Concentration)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Even in shallow regimes where gradients are non-zero, the geometric curvature of the parameter space may prevent actual learning. The Quantum Fisher Information Matrix (QFIM) describes the curvature and metric tensor of the quantum state space with respect to the trainable parameters.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i w:val="1"/>
          <w:iCs w:val="1"/>
          <w:color w:val="1f1f1f"/>
          <w:rtl w:val="0"/>
        </w:rPr>
        <w:t xml:space="preserve">Diagnostic Mechanism:</w:t>
      </w:r>
      <w:r>
        <w:rPr>
          <w:rFonts w:ascii="Google Sans" w:cs="Google Sans" w:eastAsia="Google Sans" w:hAnsi="Google Sans"/>
          <w:color w:val="1f1f1f"/>
          <w:rtl w:val="0"/>
        </w:rPr>
        <w:t xml:space="preserve"> Calculate the condition number and effective rank of the empirical Fisher Information Matrix during the initial epochs. If the matrix elements exponentially vanish, or if the condition number diverges toward infinity, the model lacks parameter identifiability. This indicates a critical failure mode: while the model might achieve a low training error on paper, it is merely overfitting to the local hardware noise profile rather than learning meaningful, generalizable representations of the underlying classical data.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Calibration and Semantic Drift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Hardware properties—such as </w:t>
      </w:r>
      <w:r>
        <w:rPr>
          <w:rFonts w:ascii="Google Sans" w:cs="Google Sans" w:eastAsia="Google Sans" w:hAnsi="Google Sans"/>
          <w:color w:val="1f1f1f"/>
        </w:rPr>
        <w:drawing>
          <wp:inline distB="19050" distT="19050" distL="19050" distR="19050">
            <wp:extent cx="181496" cy="229258"/>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times, </w:t>
      </w:r>
      <w:r>
        <w:rPr>
          <w:rFonts w:ascii="Google Sans" w:cs="Google Sans" w:eastAsia="Google Sans" w:hAnsi="Google Sans"/>
          <w:color w:val="1f1f1f"/>
        </w:rPr>
        <w:drawing>
          <wp:inline distB="19050" distT="19050" distL="19050" distR="19050">
            <wp:extent cx="181496" cy="229258"/>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times, and readout fidelities—are not static variables. They drift continuously due to ambient thermal changes and electromagnetic fluctuations in the laboratory environment. A model trained on hardware parameters evaluated at 9:00 AM may fail completely when executed at 3:00 PM.</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i w:val="1"/>
          <w:iCs w:val="1"/>
          <w:color w:val="1f1f1f"/>
          <w:rtl w:val="0"/>
        </w:rPr>
        <w:t xml:space="preserve">Diagnostic Mechanism:</w:t>
      </w:r>
      <w:r>
        <w:rPr>
          <w:rFonts w:ascii="Google Sans" w:cs="Google Sans" w:eastAsia="Google Sans" w:hAnsi="Google Sans"/>
          <w:color w:val="1f1f1f"/>
          <w:rtl w:val="0"/>
        </w:rPr>
        <w:t xml:space="preserve"> When a previously successful model silently degrades in accuracy during deployment, it is almost certainly due to calibration drift altering the implicit noise model the VQC had adapted to. Developers must implement interleaved benchmark circuits to continuously monitor QPU fidelity metrics. If the hardware fidelity drops below a predetermined statistical threshold, the system must automatically trigger dynamic logits calibration or force a partial re-initialization of the model parameters to adapt to the new physical landscape.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8) Risks &amp; Mitigations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Transitioning QML models from idealized theoretical physics simulators to operational enterprise and scientific environments exposes organizations to severe, novel vectors of technical and operational risk. Managing these vulnerabilities requires a complex fusion of cybersecurity, financial engineering, and quantum physics.</w:t>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Pr>
          <w:rFonts w:ascii="Google Sans" w:cs="Google Sans" w:eastAsia="Google Sans" w:hAnsi="Google Sans"/>
          <w:b w:val="1"/>
          <w:bCs w:val="1"/>
          <w:color w:val="1f1f1f"/>
          <w:rtl w:val="0"/>
        </w:rPr>
        <w:t xml:space="preserve">Adversarial Quantum Attacks:</w:t>
      </w:r>
      <w:r>
        <w:rPr>
          <w:rFonts w:ascii="Google Sans" w:cs="Google Sans" w:eastAsia="Google Sans" w:hAnsi="Google Sans"/>
          <w:color w:val="1f1f1f"/>
          <w:rtl w:val="0"/>
        </w:rPr>
        <w:t xml:space="preserve"> Just as classical vision models are vulnerable to adversarial pixel perturbations, QML models can be deliberately deceived. Because quantum states exist in a highly sensitive, high-dimensional Hilbert space, infinitesimal, targeted perturbations to the input quantum state (or subtle manipulation of the data encoding circuit) can cause complete misclassification. This poses a severe risk when QML is deployed in anomaly detection, financial fraud, or critical infrastructure systems.</w:t>
      </w:r>
    </w:p>
    <w:p w:rsidR="00000000" w:rsidDel="00000000" w:rsidP="00000000" w:rsidRDefault="00000000" w:rsidRPr="00000000" w14:paraId="0000007E">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Pr>
          <w:rFonts w:ascii="Google Sans" w:cs="Google Sans" w:eastAsia="Google Sans" w:hAnsi="Google Sans"/>
          <w:i w:val="1"/>
          <w:iCs w:val="1"/>
          <w:color w:val="1f1f1f"/>
          <w:rtl w:val="0"/>
        </w:rPr>
        <w:t xml:space="preserve">Mitigation Strategy:</w:t>
      </w:r>
      <w:r>
        <w:rPr>
          <w:rFonts w:ascii="Google Sans" w:cs="Google Sans" w:eastAsia="Google Sans" w:hAnsi="Google Sans"/>
          <w:color w:val="1f1f1f"/>
          <w:rtl w:val="0"/>
        </w:rPr>
        <w:t xml:space="preserve"> Implement robust quantum adversarial training loops and monitor the trace distance of encoded states to detect anomalous, out-of-distribution phase shifts.</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Pr>
          <w:rFonts w:ascii="Google Sans" w:cs="Google Sans" w:eastAsia="Google Sans" w:hAnsi="Google Sans"/>
          <w:b w:val="1"/>
          <w:bCs w:val="1"/>
          <w:color w:val="1f1f1f"/>
          <w:rtl w:val="0"/>
        </w:rPr>
        <w:t xml:space="preserve">Quantum Data Poisoning:</w:t>
      </w:r>
      <w:r>
        <w:rPr>
          <w:rFonts w:ascii="Google Sans" w:cs="Google Sans" w:eastAsia="Google Sans" w:hAnsi="Google Sans"/>
          <w:color w:val="1f1f1f"/>
          <w:rtl w:val="0"/>
        </w:rPr>
        <w:t xml:space="preserve"> Malicious actors with multi-tenant access to the quantum cloud architecture could exploit physical qubit crosstalk or introduce subtle unitary rotations during the training phase. This physically alters the learned parameters, creating "backdoors" in the model that are exceptionally difficult to detect classically.</w:t>
      </w:r>
    </w:p>
    <w:p w:rsidR="00000000" w:rsidDel="00000000" w:rsidP="00000000" w:rsidRDefault="00000000" w:rsidRPr="00000000" w14:paraId="00000080">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Pr>
          <w:rFonts w:ascii="Google Sans" w:cs="Google Sans" w:eastAsia="Google Sans" w:hAnsi="Google Sans"/>
          <w:i w:val="1"/>
          <w:iCs w:val="1"/>
          <w:color w:val="1f1f1f"/>
          <w:rtl w:val="0"/>
        </w:rPr>
        <w:t xml:space="preserve">Mitigation Strategy:</w:t>
      </w:r>
      <w:r>
        <w:rPr>
          <w:rFonts w:ascii="Google Sans" w:cs="Google Sans" w:eastAsia="Google Sans" w:hAnsi="Google Sans"/>
          <w:color w:val="1f1f1f"/>
          <w:rtl w:val="0"/>
        </w:rPr>
        <w:t xml:space="preserve"> Enforce strict hardware isolation in QMLaaS environments and utilize randomized compiling to obfuscate the physical circuit execution from potential hardware-level interception.</w:t>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Pr>
          <w:rFonts w:ascii="Google Sans" w:cs="Google Sans" w:eastAsia="Google Sans" w:hAnsi="Google Sans"/>
          <w:b w:val="1"/>
          <w:bCs w:val="1"/>
          <w:color w:val="1f1f1f"/>
          <w:rtl w:val="0"/>
        </w:rPr>
        <w:t xml:space="preserve">Privacy and Model Inversion (Leakage):</w:t>
      </w:r>
      <w:r>
        <w:rPr>
          <w:rFonts w:ascii="Google Sans" w:cs="Google Sans" w:eastAsia="Google Sans" w:hAnsi="Google Sans"/>
          <w:color w:val="1f1f1f"/>
          <w:rtl w:val="0"/>
        </w:rPr>
        <w:t xml:space="preserve"> Hybrid quantum-classical optimization loops frequently leak highly sensitive information. Intermediate measurement outcomes, exposed gradient vectors, and partially collapsed states routed back to classical processors can be exploited by adversaries to reverse-engineer sensitive training data (e.g., proprietary financial data or patient records in medical QML).</w:t>
      </w:r>
    </w:p>
    <w:p w:rsidR="00000000" w:rsidDel="00000000" w:rsidP="00000000" w:rsidRDefault="00000000" w:rsidRPr="00000000" w14:paraId="00000082">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Pr>
          <w:rFonts w:ascii="Google Sans" w:cs="Google Sans" w:eastAsia="Google Sans" w:hAnsi="Google Sans"/>
          <w:i w:val="1"/>
          <w:iCs w:val="1"/>
          <w:color w:val="1f1f1f"/>
          <w:rtl w:val="0"/>
        </w:rPr>
        <w:t xml:space="preserve">Mitigation Strategy:</w:t>
      </w:r>
      <w:r>
        <w:rPr>
          <w:rFonts w:ascii="Google Sans" w:cs="Google Sans" w:eastAsia="Google Sans" w:hAnsi="Google Sans"/>
          <w:color w:val="1f1f1f"/>
          <w:rtl w:val="0"/>
        </w:rPr>
        <w:t xml:space="preserve"> Implement Quantum Differential Privacy frameworks, strictly limit the public exposure of intermediate expectation values, and utilize physically verifiable deletion protocols (Quantum Machine Unlearning) to guarantee the physical irreversibility of removed data.</w:t>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Pr>
          <w:rFonts w:ascii="Google Sans" w:cs="Google Sans" w:eastAsia="Google Sans" w:hAnsi="Google Sans"/>
          <w:b w:val="1"/>
          <w:bCs w:val="1"/>
          <w:color w:val="1f1f1f"/>
          <w:rtl w:val="0"/>
        </w:rPr>
        <w:t xml:space="preserve">Pay-Per-Shot Financial Exhaustion:</w:t>
      </w:r>
      <w:r>
        <w:rPr>
          <w:rFonts w:ascii="Google Sans" w:cs="Google Sans" w:eastAsia="Google Sans" w:hAnsi="Google Sans"/>
          <w:color w:val="1f1f1f"/>
          <w:rtl w:val="0"/>
        </w:rPr>
        <w:t xml:space="preserve"> Premium access to physical quantum hardware via cloud providers is heavily metered by the individual "shot" or execution millisecond. Given that variational algorithms require thousands of training epochs, with each epoch demanding tens of thousands of shots for accurate parameter-shift gradient estimation, unoptimized training loops can incur catastrophic financial runaways.</w:t>
      </w:r>
    </w:p>
    <w:p w:rsidR="00000000" w:rsidDel="00000000" w:rsidP="00000000" w:rsidRDefault="00000000" w:rsidRPr="00000000" w14:paraId="00000084">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Pr>
          <w:rFonts w:ascii="Google Sans" w:cs="Google Sans" w:eastAsia="Google Sans" w:hAnsi="Google Sans"/>
          <w:i w:val="1"/>
          <w:iCs w:val="1"/>
          <w:color w:val="1f1f1f"/>
          <w:rtl w:val="0"/>
        </w:rPr>
        <w:t xml:space="preserve">Mitigation Strategy:</w:t>
      </w:r>
      <w:r>
        <w:rPr>
          <w:rFonts w:ascii="Google Sans" w:cs="Google Sans" w:eastAsia="Google Sans" w:hAnsi="Google Sans"/>
          <w:color w:val="1f1f1f"/>
          <w:rtl w:val="0"/>
        </w:rPr>
        <w:t xml:space="preserve"> Strictly enforce variance regularization, leverage classical surrogate models to pre-train parameters up to 80% convergence, and restrict expensive quantum hardware execution exclusively to the final fine-tuning epochs.</w:t>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Pr>
          <w:rFonts w:ascii="Google Sans" w:cs="Google Sans" w:eastAsia="Google Sans" w:hAnsi="Google Sans"/>
          <w:b w:val="1"/>
          <w:bCs w:val="1"/>
          <w:color w:val="1f1f1f"/>
          <w:rtl w:val="0"/>
        </w:rPr>
        <w:t xml:space="preserve">Cloud Decision Latency:</w:t>
      </w:r>
      <w:r>
        <w:rPr>
          <w:rFonts w:ascii="Google Sans" w:cs="Google Sans" w:eastAsia="Google Sans" w:hAnsi="Google Sans"/>
          <w:color w:val="1f1f1f"/>
          <w:rtl w:val="0"/>
        </w:rPr>
        <w:t xml:space="preserve"> Relying on third-party remote QPUs introduces massive network transit and queuing latencies. In time-sensitive deployments—such as high-frequency quantitative trading or real-time cyber intrusion detection—the physical wait time for circuit execution in a shared cloud queue fundamentally negates any theoretical quantum algorithmic speedup.</w:t>
      </w:r>
    </w:p>
    <w:p w:rsidR="00000000" w:rsidDel="00000000" w:rsidP="00000000" w:rsidRDefault="00000000" w:rsidRPr="00000000" w14:paraId="00000086">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Pr>
          <w:rFonts w:ascii="Google Sans" w:cs="Google Sans" w:eastAsia="Google Sans" w:hAnsi="Google Sans"/>
          <w:i w:val="1"/>
          <w:iCs w:val="1"/>
          <w:color w:val="1f1f1f"/>
          <w:rtl w:val="0"/>
        </w:rPr>
        <w:t xml:space="preserve">Mitigation Strategy:</w:t>
      </w:r>
      <w:r>
        <w:rPr>
          <w:rFonts w:ascii="Google Sans" w:cs="Google Sans" w:eastAsia="Google Sans" w:hAnsi="Google Sans"/>
          <w:color w:val="1f1f1f"/>
          <w:rtl w:val="0"/>
        </w:rPr>
        <w:t xml:space="preserve"> Adopt asynchronous hybrid architectures where classical heuristic models operate inline for immediate inference, while the QPU acts as an offline, low-frequency oracle, updating the classical system periodically when queue times permit.</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Pr>
          <w:rFonts w:ascii="Google Sans" w:cs="Google Sans" w:eastAsia="Google Sans" w:hAnsi="Google Sans"/>
          <w:b w:val="1"/>
          <w:bCs w:val="1"/>
          <w:color w:val="1f1f1f"/>
          <w:rtl w:val="0"/>
        </w:rPr>
        <w:t xml:space="preserve">Post-Quantum Cryptography Threat ("Harvest Now, Decrypt Later"):</w:t>
      </w:r>
      <w:r>
        <w:rPr>
          <w:rFonts w:ascii="Google Sans" w:cs="Google Sans" w:eastAsia="Google Sans" w:hAnsi="Google Sans"/>
          <w:color w:val="1f1f1f"/>
          <w:rtl w:val="0"/>
        </w:rPr>
        <w:t xml:space="preserve"> While architecting future QML pipelines, organizations must recognize a paradox: the advent of fault-tolerant machines capable of running highly advanced QML models will simultaneously possess the processing power (via Shor's algorithm) to break standard RSA and ECC encryption. QML models handling sensitive data must be protected immediately.</w:t>
      </w:r>
    </w:p>
    <w:p w:rsidR="00000000" w:rsidDel="00000000" w:rsidP="00000000" w:rsidRDefault="00000000" w:rsidRPr="00000000" w14:paraId="00000088">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1050" w:hanging="360"/>
      </w:pPr>
      <w:r>
        <w:rPr>
          <w:rFonts w:ascii="Google Sans" w:cs="Google Sans" w:eastAsia="Google Sans" w:hAnsi="Google Sans"/>
          <w:i w:val="1"/>
          <w:iCs w:val="1"/>
          <w:color w:val="1f1f1f"/>
          <w:rtl w:val="0"/>
        </w:rPr>
        <w:t xml:space="preserve">Mitigation Strategy:</w:t>
      </w:r>
      <w:r>
        <w:rPr>
          <w:rFonts w:ascii="Google Sans" w:cs="Google Sans" w:eastAsia="Google Sans" w:hAnsi="Google Sans"/>
          <w:color w:val="1f1f1f"/>
          <w:rtl w:val="0"/>
        </w:rPr>
        <w:t xml:space="preserve"> Implement cryptographic agility in all QML data transit pipelines. Organizations must assume that current encrypted training streams sent to quantum cloud providers are already being intercepted and stored by adversaries for future decryption, necessitating an immediate transition to NIST-approved post-quantum cryptographic (PQC) standards for all QML network traffic.</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References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Bowles, J., Ahmed, S., &amp; Schuld, M. (2024). Better than classical? The subtle art of benchmarking quantum machine learning models. </w:t>
      </w:r>
      <w:r>
        <w:rPr>
          <w:rFonts w:ascii="Google Sans" w:cs="Google Sans" w:eastAsia="Google Sans" w:hAnsi="Google Sans"/>
          <w:i w:val="1"/>
          <w:iCs w:val="1"/>
          <w:color w:val="1f1f1f"/>
          <w:rtl w:val="0"/>
        </w:rPr>
        <w:t xml:space="preserve">arXiv preprint arXiv:2403.07059</w:t>
      </w:r>
      <w:r>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Cerezo, M., &amp; Coles, P. J. (2021). Higher order derivatives of quantum neural networks with barren plateaus. </w:t>
      </w:r>
      <w:r>
        <w:rPr>
          <w:rFonts w:ascii="Google Sans" w:cs="Google Sans" w:eastAsia="Google Sans" w:hAnsi="Google Sans"/>
          <w:i w:val="1"/>
          <w:iCs w:val="1"/>
          <w:color w:val="1f1f1f"/>
          <w:rtl w:val="0"/>
        </w:rPr>
        <w:t xml:space="preserve">Quantum Science and Technology</w:t>
      </w:r>
      <w:r>
        <w:rPr>
          <w:rFonts w:ascii="Google Sans" w:cs="Google Sans" w:eastAsia="Google Sans" w:hAnsi="Google Sans"/>
          <w:color w:val="1f1f1f"/>
          <w:rtl w:val="0"/>
        </w:rPr>
        <w:t xml:space="preserve">, 6(3), 035006.</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Farhi, E., Goldstone, J., &amp; Gutmann, S. (2014). A Quantum Approximate Optimization Algorithm. </w:t>
      </w:r>
      <w:r>
        <w:rPr>
          <w:rFonts w:ascii="Google Sans" w:cs="Google Sans" w:eastAsia="Google Sans" w:hAnsi="Google Sans"/>
          <w:i w:val="1"/>
          <w:iCs w:val="1"/>
          <w:color w:val="1f1f1f"/>
          <w:rtl w:val="0"/>
        </w:rPr>
        <w:t xml:space="preserve">arXiv preprint arXiv:1411.4028</w:t>
      </w:r>
      <w:r>
        <w:rPr>
          <w:rFonts w:ascii="Google Sans" w:cs="Google Sans" w:eastAsia="Google Sans" w:hAnsi="Google Sans"/>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Havlicek, V., Córcoles, A. D., Temme, K., Harrow, A. W., Kandala, A., Chow, J. M., &amp; Gambetta, J. M. (2019). Supervised learning with quantum-enhanced feature spaces. </w:t>
      </w:r>
      <w:r>
        <w:rPr>
          <w:rFonts w:ascii="Google Sans" w:cs="Google Sans" w:eastAsia="Google Sans" w:hAnsi="Google Sans"/>
          <w:i w:val="1"/>
          <w:iCs w:val="1"/>
          <w:color w:val="1f1f1f"/>
          <w:rtl w:val="0"/>
        </w:rPr>
        <w:t xml:space="preserve">Nature</w:t>
      </w:r>
      <w:r>
        <w:rPr>
          <w:rFonts w:ascii="Google Sans" w:cs="Google Sans" w:eastAsia="Google Sans" w:hAnsi="Google Sans"/>
          <w:color w:val="1f1f1f"/>
          <w:rtl w:val="0"/>
        </w:rPr>
        <w:t xml:space="preserve">, 567(7747), 209-212.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Killoran, N., Bromley, T. R., Arrazola, J. M., Schuld, M., Quesada, N., &amp; Lloyd, S. (2019). Continuous-variable quantum neural networks. </w:t>
      </w:r>
      <w:r>
        <w:rPr>
          <w:rFonts w:ascii="Google Sans" w:cs="Google Sans" w:eastAsia="Google Sans" w:hAnsi="Google Sans"/>
          <w:i w:val="1"/>
          <w:iCs w:val="1"/>
          <w:color w:val="1f1f1f"/>
          <w:rtl w:val="0"/>
        </w:rPr>
        <w:t xml:space="preserve">Physical Review Research</w:t>
      </w:r>
      <w:r>
        <w:rPr>
          <w:rFonts w:ascii="Google Sans" w:cs="Google Sans" w:eastAsia="Google Sans" w:hAnsi="Google Sans"/>
          <w:color w:val="1f1f1f"/>
          <w:rtl w:val="0"/>
        </w:rPr>
        <w:t xml:space="preserve">, 1(3), 033063.</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Kreplin, D. A. (2024). Variance regularization in quantum neural networks. </w:t>
      </w:r>
      <w:r>
        <w:rPr>
          <w:rFonts w:ascii="Google Sans" w:cs="Google Sans" w:eastAsia="Google Sans" w:hAnsi="Google Sans"/>
          <w:i w:val="1"/>
          <w:iCs w:val="1"/>
          <w:color w:val="1f1f1f"/>
          <w:rtl w:val="0"/>
        </w:rPr>
        <w:t xml:space="preserve">Quantum</w:t>
      </w:r>
      <w:r>
        <w:rPr>
          <w:rFonts w:ascii="Google Sans" w:cs="Google Sans" w:eastAsia="Google Sans" w:hAnsi="Google Sans"/>
          <w:color w:val="1f1f1f"/>
          <w:rtl w:val="0"/>
        </w:rPr>
        <w:t xml:space="preserve">, 8, 1385.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Kshatriya, A., et al. (2022). Quantum Variational Autoencoder for Anomaly Detection in Network Security. </w:t>
      </w:r>
      <w:r>
        <w:rPr>
          <w:rFonts w:ascii="Google Sans" w:cs="Google Sans" w:eastAsia="Google Sans" w:hAnsi="Google Sans"/>
          <w:i w:val="1"/>
          <w:iCs w:val="1"/>
          <w:color w:val="1f1f1f"/>
          <w:rtl w:val="0"/>
        </w:rPr>
        <w:t xml:space="preserve">arXiv preprint</w:t>
      </w:r>
      <w:r>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Kundu, S., et al. (2024). Evaluating Quantum Machine Learning as a Service (QMLaaS). </w:t>
      </w:r>
      <w:r>
        <w:rPr>
          <w:rFonts w:ascii="Google Sans" w:cs="Google Sans" w:eastAsia="Google Sans" w:hAnsi="Google Sans"/>
          <w:i w:val="1"/>
          <w:iCs w:val="1"/>
          <w:color w:val="1f1f1f"/>
          <w:rtl w:val="0"/>
        </w:rPr>
        <w:t xml:space="preserve">arXiv preprint</w:t>
      </w:r>
      <w:r>
        <w:rPr>
          <w:rFonts w:ascii="Google Sans" w:cs="Google Sans" w:eastAsia="Google Sans" w:hAnsi="Google Sans"/>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Liu, Y., et al. (2025). HaQGNN: Hardware-Aware Quantum Kernel Design Based on Graph Neural Networks. </w:t>
      </w:r>
      <w:r>
        <w:rPr>
          <w:rFonts w:ascii="Google Sans" w:cs="Google Sans" w:eastAsia="Google Sans" w:hAnsi="Google Sans"/>
          <w:i w:val="1"/>
          <w:iCs w:val="1"/>
          <w:color w:val="1f1f1f"/>
          <w:rtl w:val="0"/>
        </w:rPr>
        <w:t xml:space="preserve">arXiv preprint arXiv:2506.21161</w:t>
      </w:r>
      <w:r>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McClean, J. R., Boixo, S., Smelyanskiy, V. N., Babbush, R., &amp; Neven, H. (2018). Barren plateaus in quantum neural network training landscapes. </w:t>
      </w:r>
      <w:r>
        <w:rPr>
          <w:rFonts w:ascii="Google Sans" w:cs="Google Sans" w:eastAsia="Google Sans" w:hAnsi="Google Sans"/>
          <w:i w:val="1"/>
          <w:iCs w:val="1"/>
          <w:color w:val="1f1f1f"/>
          <w:rtl w:val="0"/>
        </w:rPr>
        <w:t xml:space="preserve">Nature Communications</w:t>
      </w:r>
      <w:r>
        <w:rPr>
          <w:rFonts w:ascii="Google Sans" w:cs="Google Sans" w:eastAsia="Google Sans" w:hAnsi="Google Sans"/>
          <w:color w:val="1f1f1f"/>
          <w:rtl w:val="0"/>
        </w:rPr>
        <w:t xml:space="preserve">, 9(1), 4812.</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Park, C.-Y., &amp; Killoran, N. (2024). Parameter conditions for barren plateau-free hardware-efficient ansätze. </w:t>
      </w:r>
      <w:r>
        <w:rPr>
          <w:rFonts w:ascii="Google Sans" w:cs="Google Sans" w:eastAsia="Google Sans" w:hAnsi="Google Sans"/>
          <w:i w:val="1"/>
          <w:iCs w:val="1"/>
          <w:color w:val="1f1f1f"/>
          <w:rtl w:val="0"/>
        </w:rPr>
        <w:t xml:space="preserve">Quantum</w:t>
      </w:r>
      <w:r>
        <w:rPr>
          <w:rFonts w:ascii="Google Sans" w:cs="Google Sans" w:eastAsia="Google Sans" w:hAnsi="Google Sans"/>
          <w:color w:val="1f1f1f"/>
          <w:rtl w:val="0"/>
        </w:rPr>
        <w:t xml:space="preserve">, 8, 1239.</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Peruzzo, A., McClean, J., Shadassery, P., Yung, M.-H., Guzik, A. A., &amp; O'Brien, J. L. (2014). A variational eigenvalue solver on a photonic quantum processor. </w:t>
      </w:r>
      <w:r>
        <w:rPr>
          <w:rFonts w:ascii="Google Sans" w:cs="Google Sans" w:eastAsia="Google Sans" w:hAnsi="Google Sans"/>
          <w:i w:val="1"/>
          <w:iCs w:val="1"/>
          <w:color w:val="1f1f1f"/>
          <w:rtl w:val="0"/>
        </w:rPr>
        <w:t xml:space="preserve">Nature Communications</w:t>
      </w:r>
      <w:r>
        <w:rPr>
          <w:rFonts w:ascii="Google Sans" w:cs="Google Sans" w:eastAsia="Google Sans" w:hAnsi="Google Sans"/>
          <w:color w:val="1f1f1f"/>
          <w:rtl w:val="0"/>
        </w:rPr>
        <w:t xml:space="preserve">, 5(1), 4213.</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Schuld, M., &amp; Petruccione, F. (2018). </w:t>
      </w:r>
      <w:r>
        <w:rPr>
          <w:rFonts w:ascii="Google Sans" w:cs="Google Sans" w:eastAsia="Google Sans" w:hAnsi="Google Sans"/>
          <w:i w:val="1"/>
          <w:iCs w:val="1"/>
          <w:color w:val="1f1f1f"/>
          <w:rtl w:val="0"/>
        </w:rPr>
        <w:t xml:space="preserve">Supervised Learning with Quantum Computers</w:t>
      </w:r>
      <w:r>
        <w:rPr>
          <w:rFonts w:ascii="Google Sans" w:cs="Google Sans" w:eastAsia="Google Sans" w:hAnsi="Google Sans"/>
          <w:color w:val="1f1f1f"/>
          <w:rtl w:val="0"/>
        </w:rPr>
        <w:t xml:space="preserve">. Springer.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Temme, K., Bravyi, S., &amp; Gambetta, J. M. (2017). Error mitigation for short-depth quantum circuits. </w:t>
      </w:r>
      <w:r>
        <w:rPr>
          <w:rFonts w:ascii="Google Sans" w:cs="Google Sans" w:eastAsia="Google Sans" w:hAnsi="Google Sans"/>
          <w:i w:val="1"/>
          <w:iCs w:val="1"/>
          <w:color w:val="1f1f1f"/>
          <w:rtl w:val="0"/>
        </w:rPr>
        <w:t xml:space="preserve">Physical Review Letters</w:t>
      </w:r>
      <w:r>
        <w:rPr>
          <w:rFonts w:ascii="Google Sans" w:cs="Google Sans" w:eastAsia="Google Sans" w:hAnsi="Google Sans"/>
          <w:color w:val="1f1f1f"/>
          <w:rtl w:val="0"/>
        </w:rPr>
        <w:t xml:space="preserve">, 119(18), 180509.</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Wang, S., et al. (2021). Noise-induced barren plateaus in variational quantum algorithms. Nature Communications 12, 6961. </w:t>
      </w:r>
      <w:r>
        <w:rPr>
          <w:rFonts w:ascii="Google Sans" w:cs="Google Sans" w:eastAsia="Google Sans" w:hAnsi="Google Sans"/>
          <w:i w:val="1"/>
          <w:iCs w:val="1"/>
          <w:color w:val="1f1f1f"/>
          <w:rtl w:val="0"/>
        </w:rPr>
        <w:t xml:space="preserve">arXiv preprint</w:t>
      </w:r>
      <w:r>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0.png"/><Relationship Id="rId21" Type="http://schemas.openxmlformats.org/officeDocument/2006/relationships/image" Target="media/image25.png"/><Relationship Id="rId24" Type="http://schemas.openxmlformats.org/officeDocument/2006/relationships/image" Target="media/image1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2.png"/><Relationship Id="rId25" Type="http://schemas.openxmlformats.org/officeDocument/2006/relationships/image" Target="media/image7.png"/><Relationship Id="rId28" Type="http://schemas.openxmlformats.org/officeDocument/2006/relationships/image" Target="media/image27.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3.png"/><Relationship Id="rId7" Type="http://schemas.openxmlformats.org/officeDocument/2006/relationships/image" Target="media/image6.png"/><Relationship Id="rId8" Type="http://schemas.openxmlformats.org/officeDocument/2006/relationships/image" Target="media/image15.png"/><Relationship Id="rId31" Type="http://schemas.openxmlformats.org/officeDocument/2006/relationships/image" Target="media/image1.png"/><Relationship Id="rId30" Type="http://schemas.openxmlformats.org/officeDocument/2006/relationships/image" Target="media/image8.png"/><Relationship Id="rId11" Type="http://schemas.openxmlformats.org/officeDocument/2006/relationships/image" Target="media/image22.png"/><Relationship Id="rId10" Type="http://schemas.openxmlformats.org/officeDocument/2006/relationships/image" Target="media/image11.png"/><Relationship Id="rId32" Type="http://schemas.openxmlformats.org/officeDocument/2006/relationships/image" Target="media/image3.png"/><Relationship Id="rId13" Type="http://schemas.openxmlformats.org/officeDocument/2006/relationships/image" Target="media/image17.png"/><Relationship Id="rId12" Type="http://schemas.openxmlformats.org/officeDocument/2006/relationships/image" Target="media/image9.png"/><Relationship Id="rId15" Type="http://schemas.openxmlformats.org/officeDocument/2006/relationships/image" Target="media/image14.png"/><Relationship Id="rId14" Type="http://schemas.openxmlformats.org/officeDocument/2006/relationships/image" Target="media/image24.png"/><Relationship Id="rId17" Type="http://schemas.openxmlformats.org/officeDocument/2006/relationships/image" Target="media/image4.png"/><Relationship Id="rId16" Type="http://schemas.openxmlformats.org/officeDocument/2006/relationships/image" Target="media/image18.png"/><Relationship Id="rId19" Type="http://schemas.openxmlformats.org/officeDocument/2006/relationships/image" Target="media/image23.png"/><Relationship Id="rId18" Type="http://schemas.openxmlformats.org/officeDocument/2006/relationships/image" Target="media/image26.png"/></Relationships>
</file>

<file path=word/_rels/fontTable.xml.rels><?xml version="1.0" encoding="UTF-8"?><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