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Quantum Finance Programming and Optimization for Hardware-Constrained Learning for Quantum Computing and Artificial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b w:val="1"/>
          <w:bCs w:val="1"/>
          <w:color w:val="1f1f1f"/>
          <w:rtl w:val="0"/>
        </w:rPr>
        <w:t xml:space="preserve">Thesis:</w:t>
      </w:r>
      <w:r>
        <w:rPr>
          <w:rFonts w:ascii="Google Sans" w:cs="Google Sans" w:eastAsia="Google Sans" w:hAnsi="Google Sans"/>
          <w:color w:val="1f1f1f"/>
          <w:rtl w:val="0"/>
        </w:rPr>
        <w:t xml:space="preserve"> Realizing near-term quantum advantage in computational finance requires abandoning idealized fault-tolerant paradigms in favor of hardware-native, shot-frugal, and noise-aware quantum machine learning architectures governed by rigorous model risk management and empirical benchmarking.</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1. Executive Summary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Hardware-First Algorithmic Design:</w:t>
      </w:r>
      <w:r>
        <w:rPr>
          <w:rFonts w:ascii="Google Sans" w:cs="Google Sans" w:eastAsia="Google Sans" w:hAnsi="Google Sans"/>
          <w:color w:val="1f1f1f"/>
          <w:rtl w:val="0"/>
        </w:rPr>
        <w:t xml:space="preserve"> Current quantum processors are heavily restricted by limited qubit coherence times, restrictive connectivity topologies, and severe measurement overheads. Quantum machine learning (QML) applications must be explicitly compiled and optimized with these precise physical limitations acting as primary design constraints, rather than secondary afterthoughts.</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The Kernel Perspective as a Foundation:</w:t>
      </w:r>
      <w:r>
        <w:rPr>
          <w:rFonts w:ascii="Google Sans" w:cs="Google Sans" w:eastAsia="Google Sans" w:hAnsi="Google Sans"/>
          <w:color w:val="1f1f1f"/>
          <w:rtl w:val="0"/>
        </w:rPr>
        <w:t xml:space="preserve"> Supervised QML models operating on near-term devices are fundamentally mathematical equivalents to quantum kernel methods. They compute distance metrics in exponentially high-dimensional feature spaces rather than mimicking the layer-by-layer topological transformations of classical neural networks.</w:t>
      </w:r>
      <w:r>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Shot-Frugal Optimization is an Operational Mandate:</w:t>
      </w:r>
      <w:r>
        <w:rPr>
          <w:rFonts w:ascii="Google Sans" w:cs="Google Sans" w:eastAsia="Google Sans" w:hAnsi="Google Sans"/>
          <w:color w:val="1f1f1f"/>
          <w:rtl w:val="0"/>
        </w:rPr>
        <w:t xml:space="preserve"> The parameter-shift rule and exact analytical gradient calculations demand a prohibitive number of circuit executions. Heuristic gradient-free algorithms, stochastic perturbation techniques, and adaptive operator sampling are strictly required to achieve convergence within practical, financially relevant timeframes.</w:t>
      </w:r>
      <w:r>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Compilation Overheads Neutralize Theoretical Scaling:</w:t>
      </w:r>
      <w:r>
        <w:rPr>
          <w:rFonts w:ascii="Google Sans" w:cs="Google Sans" w:eastAsia="Google Sans" w:hAnsi="Google Sans"/>
          <w:color w:val="1f1f1f"/>
          <w:rtl w:val="0"/>
        </w:rPr>
        <w:t xml:space="preserve"> Algorithms that exhibit polynomial scaling in theoretical literature frequently encounter exponential depth scaling when transpiled to specific physical hardware topologies (e.g., superconducting heavy-hex arrays requiring extensive SWAP gate routing), directly neutralizing assumed quantum advantages.</w:t>
      </w:r>
      <w:r>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Hybrid Workflows Dominate Finance Use Cases:</w:t>
      </w:r>
      <w:r>
        <w:rPr>
          <w:rFonts w:ascii="Google Sans" w:cs="Google Sans" w:eastAsia="Google Sans" w:hAnsi="Google Sans"/>
          <w:color w:val="1f1f1f"/>
          <w:rtl w:val="0"/>
        </w:rPr>
        <w:t xml:space="preserve"> Whether executing portfolio optimization via Variational Quantum Eigensolvers (VQE), derivative pricing via Continuous-Variable (CV) architectures, or market anomaly detection via kernel support vector machines (SVM), the classical optimizer acts as the critical orchestration engine, with the quantum processor functioning merely as a specialized co-processor.</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Stringent Acceptance Criteria and Risk Management:</w:t>
      </w:r>
      <w:r>
        <w:rPr>
          <w:rFonts w:ascii="Google Sans" w:cs="Google Sans" w:eastAsia="Google Sans" w:hAnsi="Google Sans"/>
          <w:color w:val="1f1f1f"/>
          <w:rtl w:val="0"/>
        </w:rPr>
        <w:t xml:space="preserve"> The integration of QML into production finance necessitates extending classical Model Risk Management (MRM) frameworks to address unique quantum failure modes. This includes mitigating hardware noise fluctuations, overcoming barren plateaus in training landscapes, and resolving algorithmic opacity to satisfy stringent regulatory compliance.</w:t>
      </w:r>
      <w:r>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2. Problem Framing: Why “Quantum Finance + Hardware-Constrained Learning”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intersection of quantum computing and quantitative finance is frequently obscured by theoretical projections of exponential speedups that rely entirely on the availability of universal, fault-tolerant (FT) architectures. In reality, the timeline for FT quantum computing remains highly uncertain, and operating under the assumption of perfect logical qubits isolates researchers from actionable, near-term deployments.</w:t>
      </w:r>
      <w:r>
        <w:rPr>
          <w:rFonts w:ascii="Google Sans" w:cs="Google Sans" w:eastAsia="Google Sans" w:hAnsi="Google Sans"/>
          <w:color w:val="444746"/>
          <w:sz w:val="24"/>
          <w:szCs w:val="24"/>
          <w:vertAlign w:val="superscript"/>
          <w:rtl w:val="0"/>
        </w:rPr>
        <w:t xml:space="preserve">13</w:t>
      </w:r>
      <w:r>
        <w:rPr>
          <w:rFonts w:ascii="Google Sans" w:cs="Google Sans" w:eastAsia="Google Sans" w:hAnsi="Google Sans"/>
          <w:color w:val="1f1f1f"/>
          <w:rtl w:val="0"/>
        </w:rPr>
        <w:t xml:space="preserve"> A prominent benchmark indicates that achieving genuine quantum advantage in a standard derivative pricing application under a fault-tolerant regime demands approximately 8,000 logical qubits and a T-gate depth of 54 million.</w:t>
      </w:r>
      <w:r>
        <w:rPr>
          <w:rFonts w:ascii="Google Sans" w:cs="Google Sans" w:eastAsia="Google Sans" w:hAnsi="Google Sans"/>
          <w:color w:val="444746"/>
          <w:sz w:val="24"/>
          <w:szCs w:val="24"/>
          <w:vertAlign w:val="superscript"/>
          <w:rtl w:val="0"/>
        </w:rPr>
        <w:t xml:space="preserve">14</w:t>
      </w:r>
      <w:r>
        <w:rPr>
          <w:rFonts w:ascii="Google Sans" w:cs="Google Sans" w:eastAsia="Google Sans" w:hAnsi="Google Sans"/>
          <w:color w:val="1f1f1f"/>
          <w:rtl w:val="0"/>
        </w:rPr>
        <w:t xml:space="preserve"> These resources are orders of magnitude beyond the capabilities of the Noisy Intermediate-Scale Quantum (NISQ) devices available today or in the foreseeable future.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Therefore, the immediate imperative for technical stakeholders—ranging from quantitative developers to machine learning researchers—is mapping high-value, computationally intractable financial problems to the constrained realities of NISQ devices. The core value proposition of near-term QML does not lie in executing deep, complex arithmetic logic, but rather in embedding classical financial data—such as asset returns, complex transaction graphs, or nuanced credit histories—into exponentially large quantum state spaces.</w:t>
      </w:r>
      <w:r>
        <w:rPr>
          <w:rFonts w:ascii="Google Sans" w:cs="Google Sans" w:eastAsia="Google Sans" w:hAnsi="Google Sans"/>
          <w:color w:val="444746"/>
          <w:sz w:val="24"/>
          <w:szCs w:val="24"/>
          <w:vertAlign w:val="superscript"/>
          <w:rtl w:val="0"/>
        </w:rPr>
        <w:t xml:space="preserve">4</w:t>
      </w:r>
      <w:r>
        <w:rPr>
          <w:rFonts w:ascii="Google Sans" w:cs="Google Sans" w:eastAsia="Google Sans" w:hAnsi="Google Sans"/>
          <w:color w:val="1f1f1f"/>
          <w:rtl w:val="0"/>
        </w:rPr>
        <w:t xml:space="preserve"> By rephrasing variational quantum circuits (VQCs) as kernel methods, distance metrics, and non-linear correlations that remain hidden or computationally expensive in classical low-dimensional spaces can be evaluated efficiently via quantum inner products.</w:t>
      </w:r>
      <w:r>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This paradigm shift moves the goalpost from "quantum advantage via algorithmic speedup" to "quantum advantage via enhanced expressivity and inductive bias." The inductive bias of quantum mechanics—specifically, how mathematical structures like non-commuting measurements and interference in Fourier space handle data—offers a unique lens for machine learning that classical models cannot naturally replicate.</w:t>
      </w:r>
      <w:r>
        <w:rPr>
          <w:rFonts w:ascii="Google Sans" w:cs="Google Sans" w:eastAsia="Google Sans" w:hAnsi="Google Sans"/>
          <w:color w:val="444746"/>
          <w:sz w:val="24"/>
          <w:szCs w:val="24"/>
          <w:vertAlign w:val="superscript"/>
          <w:rtl w:val="0"/>
        </w:rPr>
        <w:t xml:space="preserve">15</w:t>
      </w:r>
      <w:r>
        <w:rPr>
          <w:rFonts w:ascii="Google Sans" w:cs="Google Sans" w:eastAsia="Google Sans" w:hAnsi="Google Sans"/>
          <w:color w:val="1f1f1f"/>
          <w:rtl w:val="0"/>
        </w:rPr>
        <w:t xml:space="preserve"> However, harvesting this expressivity requires strict adherence to physical realism.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Explicit Assumptions and Their Implications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To construct reproducible, robust, and realistic quantum finance models, the following baseline assumptions must be explicitly defined. Failing to account for these assumptions results in theoretical models that completely collapse upon hardware execution.</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Assumption 1: Hardware Noise is Non-IID and Non-Stationary.</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Context:</w:t>
      </w:r>
      <w:r>
        <w:rPr>
          <w:rFonts w:ascii="Google Sans" w:cs="Google Sans" w:eastAsia="Google Sans" w:hAnsi="Google Sans"/>
          <w:color w:val="1f1f1f"/>
          <w:rtl w:val="0"/>
        </w:rPr>
        <w:t xml:space="preserve"> Quantum hardware noise is not independent and identically distributed (IID). It exhibits temporal drift over hours, spatial crosstalk between neighboring qubits, and daily calibration fluctuations.</w:t>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Pr>
          <w:rFonts w:ascii="Google Sans" w:cs="Google Sans" w:eastAsia="Google Sans" w:hAnsi="Google Sans"/>
          <w:i w:val="1"/>
          <w:iCs w:val="1"/>
          <w:color w:val="1f1f1f"/>
          <w:rtl w:val="0"/>
        </w:rPr>
        <w:t xml:space="preserve">Implication:</w:t>
      </w:r>
      <w:r>
        <w:rPr>
          <w:rFonts w:ascii="Google Sans" w:cs="Google Sans" w:eastAsia="Google Sans" w:hAnsi="Google Sans"/>
          <w:color w:val="1f1f1f"/>
          <w:rtl w:val="0"/>
        </w:rPr>
        <w:t xml:space="preserve"> Models trained in simulation without recognizing hardware variability will fail to generalize. A circuit that performs optimally on Monday may yield random noise by Friday due to calibration drift.</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Assumption 2: Measurement Budgets (Shots) are Strictly Finite and Expensive.</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Context:</w:t>
      </w:r>
      <w:r>
        <w:rPr>
          <w:rFonts w:ascii="Google Sans" w:cs="Google Sans" w:eastAsia="Google Sans" w:hAnsi="Google Sans"/>
          <w:color w:val="1f1f1f"/>
          <w:rtl w:val="0"/>
        </w:rPr>
        <w:t xml:space="preserve"> Unlike classical states which can be read deterministically, quantum states collapse upon measurement. Estimating continuous expectation values requires repeated circuit executions (shots).</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Pr>
          <w:rFonts w:ascii="Google Sans" w:cs="Google Sans" w:eastAsia="Google Sans" w:hAnsi="Google Sans"/>
          <w:i w:val="1"/>
          <w:iCs w:val="1"/>
          <w:color w:val="1f1f1f"/>
          <w:rtl w:val="0"/>
        </w:rPr>
        <w:t xml:space="preserve">Implication:</w:t>
      </w:r>
      <w:r>
        <w:rPr>
          <w:rFonts w:ascii="Google Sans" w:cs="Google Sans" w:eastAsia="Google Sans" w:hAnsi="Google Sans"/>
          <w:color w:val="1f1f1f"/>
          <w:rtl w:val="0"/>
        </w:rPr>
        <w:t xml:space="preserve"> Algorithms assuming infinite shots for exact gradient calculations are operationally unviable. Deep financial models requiring high-precision gradient updates are bottlenecked by the sheer volume of shots required, making shot-frugal strategies paramount.</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Assumption 3: Hardware-Specific Topology Dictates Circuit Depth.</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Context:</w:t>
      </w:r>
      <w:r>
        <w:rPr>
          <w:rFonts w:ascii="Google Sans" w:cs="Google Sans" w:eastAsia="Google Sans" w:hAnsi="Google Sans"/>
          <w:color w:val="1f1f1f"/>
          <w:rtl w:val="0"/>
        </w:rPr>
        <w:t xml:space="preserve"> Theoretical papers often assume all-to-all qubit connectivity. Physical devices rarely offer this. Superconducting qubits typically sit on restricted lattices (e.g., heavy-hex).</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Pr>
          <w:rFonts w:ascii="Google Sans" w:cs="Google Sans" w:eastAsia="Google Sans" w:hAnsi="Google Sans"/>
          <w:i w:val="1"/>
          <w:iCs w:val="1"/>
          <w:color w:val="1f1f1f"/>
          <w:rtl w:val="0"/>
        </w:rPr>
        <w:t xml:space="preserve">Implication:</w:t>
      </w:r>
      <w:r>
        <w:rPr>
          <w:rFonts w:ascii="Google Sans" w:cs="Google Sans" w:eastAsia="Google Sans" w:hAnsi="Google Sans"/>
          <w:color w:val="1f1f1f"/>
          <w:rtl w:val="0"/>
        </w:rPr>
        <w:t xml:space="preserve"> Assuming all-to-all connectivity leads to catastrophic compilation overheads. Transpilation to limited topologies introduces SWAP gates, which are highly susceptible to error and artificially inflate circuit depth beyond the coherence limit.</w:t>
      </w:r>
      <w:r>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Assumption 4: Classical Baselines are Highly Optimized and Formidable.</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Context:</w:t>
      </w:r>
      <w:r>
        <w:rPr>
          <w:rFonts w:ascii="Google Sans" w:cs="Google Sans" w:eastAsia="Google Sans" w:hAnsi="Google Sans"/>
          <w:color w:val="1f1f1f"/>
          <w:rtl w:val="0"/>
        </w:rPr>
        <w:t xml:space="preserve"> The financial industry employs heavily optimized classical algorithms (e.g., XGBoost, GPU-accelerated Monte Carlo, advanced heuristics).</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Pr>
          <w:rFonts w:ascii="Google Sans" w:cs="Google Sans" w:eastAsia="Google Sans" w:hAnsi="Google Sans"/>
          <w:i w:val="1"/>
          <w:iCs w:val="1"/>
          <w:color w:val="1f1f1f"/>
          <w:rtl w:val="0"/>
        </w:rPr>
        <w:t xml:space="preserve">Implication:</w:t>
      </w:r>
      <w:r>
        <w:rPr>
          <w:rFonts w:ascii="Google Sans" w:cs="Google Sans" w:eastAsia="Google Sans" w:hAnsi="Google Sans"/>
          <w:color w:val="1f1f1f"/>
          <w:rtl w:val="0"/>
        </w:rPr>
        <w:t xml:space="preserve"> Any claim of quantum utility must be benchmarked against state-of-the-art classical models, not naive implementations. A quantum model that equals a classical model but costs ten times more in cloud compute is a failed deployment.</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3. Hardware Constraints That Dominate Outcomes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performance of QML in quantitative finance is largely dictated by the physical limitations of the processing units, rather than the theoretical elegance of the underlying mathematics. Understanding these constraints is the prerequisite for designing implementable algorithms.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Noise Models and Decoherence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Physical qubits are highly sensitive to their environment and suffer from two primary modes of decoherence: energy relaxation (</w:t>
      </w:r>
      <w:r>
        <w:rPr>
          <w:rFonts w:ascii="Google Sans" w:cs="Google Sans" w:eastAsia="Google Sans" w:hAnsi="Google Sans"/>
          <w:color w:val="1f1f1f"/>
        </w:rPr>
        <w:drawing>
          <wp:inline distB="19050" distT="19050" distL="19050" distR="19050">
            <wp:extent cx="181496" cy="2292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and phase decoherence (</w:t>
      </w:r>
      <w:r>
        <w:rPr>
          <w:rFonts w:ascii="Google Sans" w:cs="Google Sans" w:eastAsia="Google Sans" w:hAnsi="Google Sans"/>
          <w:color w:val="1f1f1f"/>
        </w:rPr>
        <w:drawing>
          <wp:inline distB="19050" distT="19050" distL="19050" distR="19050">
            <wp:extent cx="181496" cy="22925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1496" cy="229258"/>
                    </a:xfrm>
                    <a:prstGeom prst="rect"/>
                    <a:ln/>
                  </pic:spPr>
                </pic:pic>
              </a:graphicData>
            </a:graphic>
          </wp:inline>
        </w:drawing>
      </w:r>
      <w:r>
        <w:rPr>
          <w:rFonts w:ascii="Google Sans" w:cs="Google Sans" w:eastAsia="Google Sans" w:hAnsi="Google Sans"/>
          <w:color w:val="1f1f1f"/>
          <w:rtl w:val="0"/>
        </w:rPr>
        <w:t xml:space="preserve">). As quantum circuits grow deeper to accommodate the complex financial features required for tasks like multi-asset option pricing or high-frequency regime classification, the probability of the quantum state decohering before the final measurement approaches unity.</w:t>
      </w:r>
      <w:r>
        <w:rPr>
          <w:rFonts w:ascii="Google Sans" w:cs="Google Sans" w:eastAsia="Google Sans" w:hAnsi="Google Sans"/>
          <w:color w:val="444746"/>
          <w:sz w:val="24"/>
          <w:szCs w:val="24"/>
          <w:vertAlign w:val="superscript"/>
          <w:rtl w:val="0"/>
        </w:rPr>
        <w:t xml:space="preserve">2</w:t>
      </w:r>
      <w:r>
        <w:rPr>
          <w:rFonts w:ascii="Google Sans" w:cs="Google Sans" w:eastAsia="Google Sans" w:hAnsi="Google Sans"/>
          <w:color w:val="1f1f1f"/>
          <w:rtl w:val="0"/>
        </w:rPr>
        <w:t xml:space="preserve"> Furthermore, State Preparation and Measurement (SPAM) errors heavily obfuscate the true probability distributions of the encoded bitstrings. Readout errors, where a </w:t>
      </w:r>
      <w:r>
        <w:rPr>
          <w:rFonts w:ascii="Google Sans" w:cs="Google Sans" w:eastAsia="Google Sans" w:hAnsi="Google Sans"/>
          <w:color w:val="1f1f1f"/>
        </w:rPr>
        <w:drawing>
          <wp:inline distB="19050" distT="19050" distL="19050" distR="19050">
            <wp:extent cx="215206" cy="21520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5206" cy="215206"/>
                    </a:xfrm>
                    <a:prstGeom prst="rect"/>
                    <a:ln/>
                  </pic:spPr>
                </pic:pic>
              </a:graphicData>
            </a:graphic>
          </wp:inline>
        </w:drawing>
      </w:r>
      <w:r>
        <w:rPr>
          <w:rFonts w:ascii="Google Sans" w:cs="Google Sans" w:eastAsia="Google Sans" w:hAnsi="Google Sans"/>
          <w:color w:val="1f1f1f"/>
          <w:rtl w:val="0"/>
        </w:rPr>
        <w:t xml:space="preserve"> is mistakenly measured as a </w:t>
      </w:r>
      <w:r>
        <w:rPr>
          <w:rFonts w:ascii="Google Sans" w:cs="Google Sans" w:eastAsia="Google Sans" w:hAnsi="Google Sans"/>
          <w:color w:val="1f1f1f"/>
        </w:rPr>
        <w:drawing>
          <wp:inline distB="19050" distT="19050" distL="19050" distR="19050">
            <wp:extent cx="215206" cy="21520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5206" cy="215206"/>
                    </a:xfrm>
                    <a:prstGeom prst="rect"/>
                    <a:ln/>
                  </pic:spPr>
                </pic:pic>
              </a:graphicData>
            </a:graphic>
          </wp:inline>
        </w:drawing>
      </w:r>
      <w:r>
        <w:rPr>
          <w:rFonts w:ascii="Google Sans" w:cs="Google Sans" w:eastAsia="Google Sans" w:hAnsi="Google Sans"/>
          <w:color w:val="1f1f1f"/>
          <w:rtl w:val="0"/>
        </w:rPr>
        <w:t xml:space="preserve">, skew the expectation values that form the core of the QML objective function, leading classical optimizers astray.</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Shot Limitations and Statistical Variance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In QML, the loss function and its subsequent gradients are represented as expectation values of quantum observables (e.g., </w:t>
      </w:r>
      <w:r>
        <w:rPr>
          <w:rFonts w:ascii="Google Sans" w:cs="Google Sans" w:eastAsia="Google Sans" w:hAnsi="Google Sans"/>
          <w:color w:val="1f1f1f"/>
        </w:rPr>
        <w:drawing>
          <wp:inline distB="19050" distT="19050" distL="19050" distR="19050">
            <wp:extent cx="1137714" cy="22945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37714" cy="229455"/>
                    </a:xfrm>
                    <a:prstGeom prst="rect"/>
                    <a:ln/>
                  </pic:spPr>
                </pic:pic>
              </a:graphicData>
            </a:graphic>
          </wp:inline>
        </w:drawing>
      </w:r>
      <w:r>
        <w:rPr>
          <w:rFonts w:ascii="Google Sans" w:cs="Google Sans" w:eastAsia="Google Sans" w:hAnsi="Google Sans"/>
          <w:color w:val="1f1f1f"/>
          <w:rtl w:val="0"/>
        </w:rPr>
        <w:t xml:space="preserve">). Because these values must be statistically reconstructed from discrete measurements, they carry an inherent statistical variance that scales as </w:t>
      </w:r>
      <w:r>
        <w:rPr>
          <w:rFonts w:ascii="Google Sans" w:cs="Google Sans" w:eastAsia="Google Sans" w:hAnsi="Google Sans"/>
          <w:color w:val="1f1f1f"/>
        </w:rPr>
        <w:drawing>
          <wp:inline distB="19050" distT="19050" distL="19050" distR="19050">
            <wp:extent cx="1095527" cy="21910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95527" cy="219105"/>
                    </a:xfrm>
                    <a:prstGeom prst="rect"/>
                    <a:ln/>
                  </pic:spPr>
                </pic:pic>
              </a:graphicData>
            </a:graphic>
          </wp:inline>
        </w:drawing>
      </w:r>
      <w:r>
        <w:rPr>
          <w:rFonts w:ascii="Google Sans" w:cs="Google Sans" w:eastAsia="Google Sans" w:hAnsi="Google Sans"/>
          <w:color w:val="1f1f1f"/>
          <w:rtl w:val="0"/>
        </w:rPr>
        <w:t xml:space="preserve">. Deep financial models, particularly those attempting to navigate complex, non-convex loss landscapes typical in portfolio optimization, require high-precision gradient updates. The necessity to suppress this sampling variance leads to an explosion in required shots. In a cloud-computing environment where access is metered and queued, algorithms that rely on exact analytical gradients via the parameter-shift rule become prohibitively expensive and excruciatingly slow.</w:t>
      </w:r>
      <w:r>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Depth Limits, Connectivity, and Compilation Overheads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Hardware topology profoundly impacts the physically implementable circuit depth. Superconducting chips, such as IBM's architectures, restrict direct quantum entanglement to nearest-neighbor qubits.</w:t>
      </w:r>
      <w:r>
        <w:rPr>
          <w:rFonts w:ascii="Google Sans" w:cs="Google Sans" w:eastAsia="Google Sans" w:hAnsi="Google Sans"/>
          <w:color w:val="444746"/>
          <w:sz w:val="24"/>
          <w:szCs w:val="24"/>
          <w:vertAlign w:val="superscript"/>
          <w:rtl w:val="0"/>
        </w:rPr>
        <w:t xml:space="preserve">3</w:t>
      </w:r>
      <w:r>
        <w:rPr>
          <w:rFonts w:ascii="Google Sans" w:cs="Google Sans" w:eastAsia="Google Sans" w:hAnsi="Google Sans"/>
          <w:color w:val="1f1f1f"/>
          <w:rtl w:val="0"/>
        </w:rPr>
        <w:t xml:space="preserve"> If a financial algorithm requires entangling disparate variables—a common necessity when mapping multi-asset portfolio correlation matrices—the quantum compiler must dynamically route the quantum information across the chip using SWAP gates.</w:t>
      </w:r>
      <w:r>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These SWAP gates are notoriously noisy and amplify the total circuit depth exponentially. For example, in a 20-asset portfolio optimization problem, a single-layer Quantum Approximate Optimization Algorithm (QAOA) circuit may have an initial, theoretical depth of 161 gates. However, when transpiled onto a restricted topology, this depth can explode to approximately 11,000 gates.</w:t>
      </w:r>
      <w:r>
        <w:rPr>
          <w:rFonts w:ascii="Google Sans" w:cs="Google Sans" w:eastAsia="Google Sans" w:hAnsi="Google Sans"/>
          <w:color w:val="444746"/>
          <w:sz w:val="24"/>
          <w:szCs w:val="24"/>
          <w:vertAlign w:val="superscript"/>
          <w:rtl w:val="0"/>
        </w:rPr>
        <w:t xml:space="preserve">8</w:t>
      </w:r>
      <w:r>
        <w:rPr>
          <w:rFonts w:ascii="Google Sans" w:cs="Google Sans" w:eastAsia="Google Sans" w:hAnsi="Google Sans"/>
          <w:color w:val="1f1f1f"/>
          <w:rtl w:val="0"/>
        </w:rPr>
        <w:t xml:space="preserve"> At a depth of 11,000 gates, the cumulative gate error rate ensures the final measured state is entirely indistinguishable from the maximally mixed state (pure noise). Conversely, trapped-ion systems (e.g., IonQ) offer all-to-all connectivity, effectively mitigating SWAP overheads, but they exhibit different native gate execution speeds and multi-qubit gate fidelities that introduce distinct operational bottlenecks.</w:t>
      </w:r>
      <w:r>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Implications for Training Stability: Barren Plateaus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A critical and pervasive failure mode in training parameterized quantum circuits is the barren plateau phenomenon. When operating in exponentially large Hilbert spaces with insufficiently structured initializations or overly expressive, deep hardware-efficient ansatzes, the variance of the gradients vanishes exponentially with the number of qubits.</w:t>
      </w:r>
      <w:r>
        <w:rPr>
          <w:rFonts w:ascii="Google Sans" w:cs="Google Sans" w:eastAsia="Google Sans" w:hAnsi="Google Sans"/>
          <w:color w:val="444746"/>
          <w:sz w:val="24"/>
          <w:szCs w:val="24"/>
          <w:vertAlign w:val="superscript"/>
          <w:rtl w:val="0"/>
        </w:rPr>
        <w:t xml:space="preserve">12</w:t>
      </w:r>
      <w:r>
        <w:rPr>
          <w:rFonts w:ascii="Google Sans" w:cs="Google Sans" w:eastAsia="Google Sans" w:hAnsi="Google Sans"/>
          <w:color w:val="1f1f1f"/>
          <w:rtl w:val="0"/>
        </w:rPr>
        <w:t xml:space="preserve"> In this regime, the optimization landscape becomes entirely flat. Because the gradients are exponentially small, they are easily swallowed by the statistical shot noise and hardware noise. Consequently, classical optimizers cannot navigate toward global minima, causing total training failure for high-dimensional financial models.</w:t>
      </w:r>
      <w:r>
        <w:rPr>
          <w:rFonts w:ascii="Google Sans" w:cs="Google Sans" w:eastAsia="Google Sans" w:hAnsi="Google Sans"/>
          <w:color w:val="444746"/>
          <w:sz w:val="24"/>
          <w:szCs w:val="24"/>
          <w:vertAlign w:val="superscript"/>
          <w:rtl w:val="0"/>
        </w:rPr>
        <w:t xml:space="preserve">12</w:t>
      </w:r>
      <w:r>
        <w:rPr>
          <w:rFonts w:ascii="Google Sans" w:cs="Google Sans" w:eastAsia="Google Sans" w:hAnsi="Google Sans"/>
          <w:color w:val="1f1f1f"/>
          <w:rtl w:val="0"/>
        </w:rPr>
        <w:t xml:space="preserve"> Navigating barren plateaus requires highly intentional architectural choices, such as using shallow circuits, local cost functions, or mathematically informed parameter initialization techniques.</w:t>
      </w:r>
      <w:r>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 Core Methodological Toolbox (Hardware-First)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Overcoming the severe physical constraints of the NISQ era requires a structured, hardware-first algorithmic toolbox. The focus must remain on what can be reliably executed, measured, and optimized today.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4.1 Variational Quantum Circuits (VQC)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VQCs serve as the foundational architecture for near-term QML. They function as hybrid systems consisting of a fixed data encoding block, a series of parameterized trainable layers, and a final measurement phase.</w:t>
      </w:r>
      <w:r>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Architecture Choices and Expressivity:</w:t>
      </w:r>
      <w:r>
        <w:rPr>
          <w:rFonts w:ascii="Google Sans" w:cs="Google Sans" w:eastAsia="Google Sans" w:hAnsi="Google Sans"/>
          <w:color w:val="1f1f1f"/>
          <w:rtl w:val="0"/>
        </w:rPr>
        <w:t xml:space="preserve"> The expressivity of a VQC is fundamentally dictated by its data encoding strategy. Recent theoretical breakthroughs demonstrate that VQCs can be modeled as a Fourier series, where the model's control over frequency spectrums and coefficients defines the exact class of classical functions it can learn.</w:t>
      </w:r>
      <w:r>
        <w:rPr>
          <w:rFonts w:ascii="Google Sans" w:cs="Google Sans" w:eastAsia="Google Sans" w:hAnsi="Google Sans"/>
          <w:color w:val="444746"/>
          <w:sz w:val="24"/>
          <w:szCs w:val="24"/>
          <w:vertAlign w:val="superscript"/>
          <w:rtl w:val="0"/>
        </w:rPr>
        <w:t xml:space="preserve">22</w:t>
      </w:r>
      <w:r>
        <w:rPr>
          <w:rFonts w:ascii="Google Sans" w:cs="Google Sans" w:eastAsia="Google Sans" w:hAnsi="Google Sans"/>
          <w:color w:val="1f1f1f"/>
          <w:rtl w:val="0"/>
        </w:rPr>
        <w:t xml:space="preserve"> To avoid barren plateaus, VQC architectures must abandon deep, unstructured "hardware-efficient" templates in favor of problem-inspired ansatzes. Utilizing localized cost functions (measuring individual qubits rather than global parity) and employing identity-block initialization—where layers are initialized to perform the identity operation, ensuring non-zero gradients in early epochs—are essential best practices.</w:t>
      </w:r>
      <w:r>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Training and Regularization:</w:t>
      </w:r>
      <w:r>
        <w:rPr>
          <w:rFonts w:ascii="Google Sans" w:cs="Google Sans" w:eastAsia="Google Sans" w:hAnsi="Google Sans"/>
          <w:color w:val="1f1f1f"/>
          <w:rtl w:val="0"/>
        </w:rPr>
        <w:t xml:space="preserve"> Overfitting is highly prevalent when applying highly expressive VQCs to noisy financial datasets. Regularization techniques are mandatory. Quantum dropout (the stochastic deactivation of specific entangling gates during the training loop), parameter penalty terms (L1/L2 weight decay applied to the rotation angles), and controlled noise injection are required to force the quantum model to learn generalized, structural representations of the financial data rather than merely memorizing the training noise.</w:t>
      </w:r>
      <w:r>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4.2 Quantum Kernels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mathematical framework of supervised QML is profoundly aligned with classical kernel methods.</w:t>
      </w:r>
      <w:r>
        <w:rPr>
          <w:rFonts w:ascii="Google Sans" w:cs="Google Sans" w:eastAsia="Google Sans" w:hAnsi="Google Sans"/>
          <w:color w:val="444746"/>
          <w:sz w:val="24"/>
          <w:szCs w:val="24"/>
          <w:vertAlign w:val="superscript"/>
          <w:rtl w:val="0"/>
        </w:rPr>
        <w:t xml:space="preserve">4</w:t>
      </w:r>
      <w:r>
        <w:rPr>
          <w:rFonts w:ascii="Google Sans" w:cs="Google Sans" w:eastAsia="Google Sans" w:hAnsi="Google Sans"/>
          <w:color w:val="1f1f1f"/>
          <w:rtl w:val="0"/>
        </w:rPr>
        <w:t xml:space="preserve"> Rather than viewing a quantum circuit as a neural network, it is often more accurate to view the data encoding circuit as a feature map that projects classical financial data into an exponentially high-dimensional Hilbert space.</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When They Help and When They Don't:</w:t>
      </w:r>
      <w:r>
        <w:rPr>
          <w:rFonts w:ascii="Google Sans" w:cs="Google Sans" w:eastAsia="Google Sans" w:hAnsi="Google Sans"/>
          <w:color w:val="1f1f1f"/>
          <w:rtl w:val="0"/>
        </w:rPr>
        <w:t xml:space="preserve"> A quantum computer calculates the inner product (the kernel matrix) between these quantum states, which is subsequently fed into a classical Support Vector Machine (SVM).</w:t>
      </w:r>
      <w:r>
        <w:rPr>
          <w:rFonts w:ascii="Google Sans" w:cs="Google Sans" w:eastAsia="Google Sans" w:hAnsi="Google Sans"/>
          <w:color w:val="444746"/>
          <w:sz w:val="24"/>
          <w:szCs w:val="24"/>
          <w:vertAlign w:val="superscript"/>
          <w:rtl w:val="0"/>
        </w:rPr>
        <w:t xml:space="preserve">4</w:t>
      </w:r>
      <w:r>
        <w:rPr>
          <w:rFonts w:ascii="Google Sans" w:cs="Google Sans" w:eastAsia="Google Sans" w:hAnsi="Google Sans"/>
          <w:color w:val="1f1f1f"/>
          <w:rtl w:val="0"/>
        </w:rPr>
        <w:t xml:space="preserve"> Quantum kernels provide an advantage solely when the classical data possesses structural patterns or symmetries that are mathematically difficult to evaluate via classical kernels (e.g., RBF or polynomial kernels) but align naturally with the symmetry of the quantum feature map.</w:t>
      </w:r>
      <w:r>
        <w:rPr>
          <w:rFonts w:ascii="Google Sans" w:cs="Google Sans" w:eastAsia="Google Sans" w:hAnsi="Google Sans"/>
          <w:color w:val="444746"/>
          <w:sz w:val="24"/>
          <w:szCs w:val="24"/>
          <w:vertAlign w:val="superscript"/>
          <w:rtl w:val="0"/>
        </w:rPr>
        <w:t xml:space="preserve">15</w:t>
      </w:r>
      <w:r>
        <w:rPr>
          <w:rFonts w:ascii="Google Sans" w:cs="Google Sans" w:eastAsia="Google Sans" w:hAnsi="Google Sans"/>
          <w:color w:val="1f1f1f"/>
          <w:rtl w:val="0"/>
        </w:rPr>
        <w:t xml:space="preserve"> If the data lacks this specific structure, a quantum kernel will not outperform a classical SVM and will merely consume expensive compute cycles.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Fair Evaluation:</w:t>
      </w:r>
      <w:r>
        <w:rPr>
          <w:rFonts w:ascii="Google Sans" w:cs="Google Sans" w:eastAsia="Google Sans" w:hAnsi="Google Sans"/>
          <w:color w:val="1f1f1f"/>
          <w:rtl w:val="0"/>
        </w:rPr>
        <w:t xml:space="preserve"> By applying the representer theorem, the quantum optimization problem can be constrained to a lower-dimensional subspace governed strictly by the training data.</w:t>
      </w:r>
      <w:r>
        <w:rPr>
          <w:rFonts w:ascii="Google Sans" w:cs="Google Sans" w:eastAsia="Google Sans" w:hAnsi="Google Sans"/>
          <w:color w:val="444746"/>
          <w:sz w:val="24"/>
          <w:szCs w:val="24"/>
          <w:vertAlign w:val="superscript"/>
          <w:rtl w:val="0"/>
        </w:rPr>
        <w:t xml:space="preserve">4</w:t>
      </w:r>
      <w:r>
        <w:rPr>
          <w:rFonts w:ascii="Google Sans" w:cs="Google Sans" w:eastAsia="Google Sans" w:hAnsi="Google Sans"/>
          <w:color w:val="1f1f1f"/>
          <w:rtl w:val="0"/>
        </w:rPr>
        <w:t xml:space="preserve"> This bypasses the need to search exponentially large parameter spaces. Fair evaluation requires benchmarking the quantum kernel's cross-validation accuracy directly against highly tuned classical kernels, accounting for the execution latency required to compute the kernel matrix on a physical QPU.</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4.3 Continuous-Variable (CV) / Photonic Models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Certain financial paradigms, particularly those involving continuous probability distributions such as derivative pricing, Greeks approximation, and stochastic volatility modeling, map naturally to Continuous-Variable (CV) architectures rather than discrete qubit-based systems.</w:t>
      </w:r>
      <w:r>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Pr>
          <w:rFonts w:ascii="Google Sans" w:cs="Google Sans" w:eastAsia="Google Sans" w:hAnsi="Google Sans"/>
          <w:b w:val="1"/>
          <w:bCs w:val="1"/>
          <w:color w:val="1f1f1f"/>
          <w:rtl w:val="0"/>
        </w:rPr>
        <w:t xml:space="preserve">Advantages and Hardware-Native Considerations:</w:t>
      </w:r>
      <w:r>
        <w:rPr>
          <w:rFonts w:ascii="Google Sans" w:cs="Google Sans" w:eastAsia="Google Sans" w:hAnsi="Google Sans"/>
          <w:color w:val="1f1f1f"/>
          <w:rtl w:val="0"/>
        </w:rPr>
        <w:t xml:space="preserve"> CV quantum computing utilizes the continuous phase space of electromagnetic fields, typically realized via nanophotonic chips.</w:t>
      </w:r>
      <w:r>
        <w:rPr>
          <w:rFonts w:ascii="Google Sans" w:cs="Google Sans" w:eastAsia="Google Sans" w:hAnsi="Google Sans"/>
          <w:color w:val="444746"/>
          <w:sz w:val="24"/>
          <w:szCs w:val="24"/>
          <w:vertAlign w:val="superscript"/>
          <w:rtl w:val="0"/>
        </w:rPr>
        <w:t xml:space="preserve">30</w:t>
      </w:r>
      <w:r>
        <w:rPr>
          <w:rFonts w:ascii="Google Sans" w:cs="Google Sans" w:eastAsia="Google Sans" w:hAnsi="Google Sans"/>
          <w:color w:val="1f1f1f"/>
          <w:rtl w:val="0"/>
        </w:rPr>
        <w:t xml:space="preserve"> Instead of processing binary states, CV quantum neural networks execute operations like displacement, squeezing, and non-Gaussian Kerr effects on photonic modes (qumodes).</w:t>
      </w:r>
      <w:r>
        <w:rPr>
          <w:rFonts w:ascii="Google Sans" w:cs="Google Sans" w:eastAsia="Google Sans" w:hAnsi="Google Sans"/>
          <w:color w:val="444746"/>
          <w:sz w:val="24"/>
          <w:szCs w:val="24"/>
          <w:vertAlign w:val="superscript"/>
          <w:rtl w:val="0"/>
        </w:rPr>
        <w:t xml:space="preserve">30</w:t>
      </w:r>
      <w:r>
        <w:rPr>
          <w:rFonts w:ascii="Google Sans" w:cs="Google Sans" w:eastAsia="Google Sans" w:hAnsi="Google Sans"/>
          <w:color w:val="1f1f1f"/>
          <w:rtl w:val="0"/>
        </w:rPr>
        <w:t xml:space="preserve"> This architecture enables </w:t>
      </w:r>
      <w:r>
        <w:rPr>
          <w:rFonts w:ascii="Google Sans" w:cs="Google Sans" w:eastAsia="Google Sans" w:hAnsi="Google Sans"/>
          <w:i w:val="1"/>
          <w:iCs w:val="1"/>
          <w:color w:val="1f1f1f"/>
          <w:rtl w:val="0"/>
        </w:rPr>
        <w:t xml:space="preserve">bosonic encoding</w:t>
      </w:r>
      <w:r>
        <w:rPr>
          <w:rFonts w:ascii="Google Sans" w:cs="Google Sans" w:eastAsia="Google Sans" w:hAnsi="Google Sans"/>
          <w:color w:val="1f1f1f"/>
          <w:rtl w:val="0"/>
        </w:rPr>
        <w:t xml:space="preserve">, which is highly effective for representing the continuous variables intrinsic to option pricing formulas.</w:t>
      </w:r>
      <w:r>
        <w:rPr>
          <w:rFonts w:ascii="Google Sans" w:cs="Google Sans" w:eastAsia="Google Sans" w:hAnsi="Google Sans"/>
          <w:color w:val="444746"/>
          <w:sz w:val="24"/>
          <w:szCs w:val="24"/>
          <w:vertAlign w:val="superscript"/>
          <w:rtl w:val="0"/>
        </w:rPr>
        <w:t xml:space="preserve">10</w:t>
      </w:r>
      <w:r>
        <w:rPr>
          <w:rFonts w:ascii="Google Sans" w:cs="Google Sans" w:eastAsia="Google Sans" w:hAnsi="Google Sans"/>
          <w:color w:val="1f1f1f"/>
          <w:rtl w:val="0"/>
        </w:rPr>
        <w:t xml:space="preserve"> Digitizing a continuous asset price into binary registers requires a massive overhead in discrete qubits; CV models bypass this by encoding the continuous value directly into the amplitude or phase quadrature of light, drastically reducing the physical footprint required for financial simulations.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4.4 Hybrid Optimization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classical optimizer acts as the brain of the QML workflow, iteratively adjusting the parameters of the VQC based on measurement feedback.</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Gradient Estimation:</w:t>
      </w:r>
      <w:r>
        <w:rPr>
          <w:rFonts w:ascii="Google Sans" w:cs="Google Sans" w:eastAsia="Google Sans" w:hAnsi="Google Sans"/>
          <w:color w:val="1f1f1f"/>
          <w:rtl w:val="0"/>
        </w:rPr>
        <w:t xml:space="preserve"> The exact analytical gradient of a quantum circuit can be obtained via the parameter-shift rule, which evaluates the circuit at macroscopically shifted parameter values.</w:t>
      </w:r>
      <w:r>
        <w:rPr>
          <w:rFonts w:ascii="Google Sans" w:cs="Google Sans" w:eastAsia="Google Sans" w:hAnsi="Google Sans"/>
          <w:color w:val="444746"/>
          <w:sz w:val="24"/>
          <w:szCs w:val="24"/>
          <w:vertAlign w:val="superscript"/>
          <w:rtl w:val="0"/>
        </w:rPr>
        <w:t xml:space="preserve">6</w:t>
      </w:r>
      <w:r>
        <w:rPr>
          <w:rFonts w:ascii="Google Sans" w:cs="Google Sans" w:eastAsia="Google Sans" w:hAnsi="Google Sans"/>
          <w:color w:val="1f1f1f"/>
          <w:rtl w:val="0"/>
        </w:rPr>
        <w:t xml:space="preserve"> However, this method requires executing </w:t>
      </w:r>
      <w:r>
        <w:rPr>
          <w:rFonts w:ascii="Google Sans" w:cs="Google Sans" w:eastAsia="Google Sans" w:hAnsi="Google Sans"/>
          <w:color w:val="1f1f1f"/>
        </w:rPr>
        <w:drawing>
          <wp:inline distB="19050" distT="19050" distL="19050" distR="19050">
            <wp:extent cx="185068" cy="23377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5068" cy="233770"/>
                    </a:xfrm>
                    <a:prstGeom prst="rect"/>
                    <a:ln/>
                  </pic:spPr>
                </pic:pic>
              </a:graphicData>
            </a:graphic>
          </wp:inline>
        </w:drawing>
      </w:r>
      <w:r>
        <w:rPr>
          <w:rFonts w:ascii="Google Sans" w:cs="Google Sans" w:eastAsia="Google Sans" w:hAnsi="Google Sans"/>
          <w:color w:val="1f1f1f"/>
          <w:rtl w:val="0"/>
        </w:rPr>
        <w:t xml:space="preserve"> circuits per optimization step (where </w:t>
      </w:r>
      <w:r>
        <w:rPr>
          <w:rFonts w:ascii="Google Sans" w:cs="Google Sans" w:eastAsia="Google Sans" w:hAnsi="Google Sans"/>
          <w:color w:val="1f1f1f"/>
        </w:rPr>
        <w:drawing>
          <wp:inline distB="19050" distT="19050" distL="19050" distR="19050">
            <wp:extent cx="92794" cy="222706"/>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2794" cy="222706"/>
                    </a:xfrm>
                    <a:prstGeom prst="rect"/>
                    <a:ln/>
                  </pic:spPr>
                </pic:pic>
              </a:graphicData>
            </a:graphic>
          </wp:inline>
        </w:drawing>
      </w:r>
      <w:r>
        <w:rPr>
          <w:rFonts w:ascii="Google Sans" w:cs="Google Sans" w:eastAsia="Google Sans" w:hAnsi="Google Sans"/>
          <w:color w:val="1f1f1f"/>
          <w:rtl w:val="0"/>
        </w:rPr>
        <w:t xml:space="preserve"> is the number of parameters), which is prohibitively expensive for large financial models.</w:t>
      </w:r>
      <w:r>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Shot-Frugal Strategies:</w:t>
      </w:r>
      <w:r>
        <w:rPr>
          <w:rFonts w:ascii="Google Sans" w:cs="Google Sans" w:eastAsia="Google Sans" w:hAnsi="Google Sans"/>
          <w:color w:val="1f1f1f"/>
          <w:rtl w:val="0"/>
        </w:rPr>
        <w:t xml:space="preserve"> Optimizers like Simultaneous Perturbation Stochastic Approximation (SPSA) approximate the multi-dimensional gradient by perturbing all parameters simultaneously in random directions. This vastly reduces the required number of circuit evaluations per epoch, serving as a mandatory shot-frugal strategy for NISQ optimization.</w:t>
      </w:r>
      <w:r>
        <w:rPr>
          <w:rFonts w:ascii="Google Sans" w:cs="Google Sans" w:eastAsia="Google Sans" w:hAnsi="Google Sans"/>
          <w:color w:val="444746"/>
          <w:sz w:val="24"/>
          <w:szCs w:val="24"/>
          <w:vertAlign w:val="superscript"/>
          <w:rtl w:val="0"/>
        </w:rPr>
        <w:t xml:space="preserve">7</w:t>
      </w:r>
      <w:r>
        <w:rPr>
          <w:rFonts w:ascii="Google Sans" w:cs="Google Sans" w:eastAsia="Google Sans" w:hAnsi="Google Sans"/>
          <w:color w:val="1f1f1f"/>
          <w:rtl w:val="0"/>
        </w:rPr>
        <w:t xml:space="preserve"> Furthermore, advanced optimizers like Quantum Natural Gradient (NatGrad) respect the Fubini-Study metric tensor of the quantum state space, taking more direct paths to the minimum and accelerating convergence compared to standard Euclidean algorithms like ADAM or BFGS.</w:t>
      </w:r>
      <w:r>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 Quantum Finance Targets Mapped to QML Methods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successful deployment of QML requires precise problem formulation, efficient constraint handling, and rigorous benchmarking against classical alternatives.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5.1 Portfolio Optimization / Risk Parity / Constraints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The objective of portfolio optimization is navigating a massive combinatorial space to select a distribution of financial assets that maximizes expected returns while strictly minimizing risk (variance), subject to real-world trading constraints.</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(a) Problem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Determine the optimal discrete asset allocation to maximize the Sharpe ratio, navigating non-convex transaction costs and cardinality limits.</w:t>
            </w:r>
            <w:r>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(b) Encoding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Binary encoding converting the objective into a Quadratic Unconstrained Binary Optimization (QUBO) problem, subsequently mapped to an Ising Hamiltonian.</w:t>
            </w:r>
            <w:r>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 Model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Variational Quantum Eigensolver (VQE) or Quantum Approximate Optimization Algorithm (QAOA).</w:t>
            </w:r>
            <w:r>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(d) 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Minimization of the expectation value of the Ising Hamiltonian representing the risk-adjusted return landscape.</w:t>
            </w:r>
            <w:r>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(e)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Budget limitations, sector caps, and risk parity limits. Encoded via penalty coefficients directly into the objective function. To avoid the massive qubit overhead of slack variables, </w:t>
            </w:r>
            <w:r>
              <w:rPr>
                <w:rFonts w:ascii="Google Sans" w:cs="Google Sans" w:eastAsia="Google Sans" w:hAnsi="Google Sans"/>
                <w:i w:val="1"/>
                <w:iCs w:val="1"/>
                <w:color w:val="1f1f1f"/>
                <w:shd w:fill="auto" w:val="clear"/>
                <w:rtl w:val="0"/>
              </w:rPr>
              <w:t xml:space="preserve">unbalanced penalization</w:t>
            </w:r>
            <w:r>
              <w:rPr>
                <w:rFonts w:ascii="Google Sans" w:cs="Google Sans" w:eastAsia="Google Sans" w:hAnsi="Google Sans"/>
                <w:color w:val="1f1f1f"/>
                <w:shd w:fill="auto" w:val="clear"/>
                <w:rtl w:val="0"/>
              </w:rPr>
              <w:t xml:space="preserve"> methods must be utilized.</w:t>
            </w:r>
            <w:r>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(f) Evaluation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End-to-end wall-clock time to result, objective function convergence rate, realized P&amp;L/risk ratio, and strict, absolute adherence to constraint boundaries (zero violations).</w:t>
            </w:r>
            <w:r>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(g) Baseline Classical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Classical Simulated Annealing, Genetic Algorithms, branch-and-bound optimization (e.g., CPLEX/Gurobi), and standard Markowitz mean-variance optimization.</w:t>
            </w:r>
            <w:r>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Baseline Analysis:</w:t>
      </w:r>
      <w:r>
        <w:rPr>
          <w:rFonts w:ascii="Google Sans" w:cs="Google Sans" w:eastAsia="Google Sans" w:hAnsi="Google Sans"/>
          <w:color w:val="1f1f1f"/>
          <w:rtl w:val="0"/>
        </w:rPr>
        <w:t xml:space="preserve"> QAOA and VQE struggle to match the speed and reliability of commercial classical solvers (like Gurobi) for highly constrained problems due to the difficulty of enforcing hard constraints without penalty-term interference. Success in this domain relies heavily on using gradient-free optimizers like COBYLA and selecting ansatzes with linear entanglement structures to minimize SWAP overheads.</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5.2 Option Pricing / Greeks Approximation / Surrogate Modeling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Valuing derivative contracts requires integrating over complex, high-dimensional probability distributions to determine expected future payoffs and their sensitivities to market variables (the Greeks).</w:t>
      </w:r>
      <w:r>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(a) Problem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Accurately pricing multi-asset exotic derivatives and performing analytical differentiation to extract Delta, Gamma, and Vega for risk hedging.</w:t>
            </w:r>
            <w:r>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(b) Encoding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Bosonic encoding (for CV models) or probability distribution loading via the re-parameterization method to construct arbitrage-free risk-neutral densities.</w:t>
            </w:r>
            <w:r>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 Model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Quantum Accelerated Monte Carlo (QAMC) leveraging Quantum Amplitude Estimation (QAE) </w:t>
            </w:r>
            <w:r>
              <w:rPr>
                <w:rFonts w:ascii="Google Sans" w:cs="Google Sans" w:eastAsia="Google Sans" w:hAnsi="Google Sans"/>
                <w:color w:val="444746"/>
                <w:sz w:val="24"/>
                <w:szCs w:val="24"/>
                <w:vertAlign w:val="superscript"/>
                <w:rtl w:val="0"/>
              </w:rPr>
              <w:t xml:space="preserve">24</w:t>
            </w:r>
            <w:r>
              <w:rPr>
                <w:rFonts w:ascii="Google Sans" w:cs="Google Sans" w:eastAsia="Google Sans" w:hAnsi="Google Sans"/>
                <w:color w:val="1f1f1f"/>
                <w:shd w:fill="auto" w:val="clear"/>
                <w:rtl w:val="0"/>
              </w:rPr>
              <w:t xml:space="preserve">, or VQC/Gaussian Process surrogate models.</w:t>
            </w:r>
            <w:r>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(d) 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Minimization of Root Mean Square Error (RMSE) against expected payoff distributions derived from historical market surfaces.</w:t>
            </w:r>
            <w:r>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(e)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Adherence to arbitrage-free boundaries, volatility skew accuracy, and high-dimensional copula coupling for modeling multi-asset joint distributions.</w:t>
            </w:r>
            <w:r>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(f) Evaluation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Approximation fidelity, quantifiable reduction in query complexity (targeting quadratic improvements over classical sampling), and tight confidence intervals.</w:t>
            </w:r>
            <w:r>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(g) Baseline Classical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Classical Monte Carlo (CMC), Finite Difference methods, Malliavin calculus, and deep neural network surrogate models.</w:t>
            </w:r>
            <w:r>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Baseline Analysis:</w:t>
      </w:r>
      <w:r>
        <w:rPr>
          <w:rFonts w:ascii="Google Sans" w:cs="Google Sans" w:eastAsia="Google Sans" w:hAnsi="Google Sans"/>
          <w:color w:val="1f1f1f"/>
          <w:rtl w:val="0"/>
        </w:rPr>
        <w:t xml:space="preserve"> While QAMC theoretically offers a quadratic speedup over Classical Monte Carlo, the deep circuits required for exact Amplitude Estimation are far beyond NISQ capabilities.</w:t>
      </w:r>
      <w:r>
        <w:rPr>
          <w:rFonts w:ascii="Google Sans" w:cs="Google Sans" w:eastAsia="Google Sans" w:hAnsi="Google Sans"/>
          <w:color w:val="444746"/>
          <w:sz w:val="24"/>
          <w:szCs w:val="24"/>
          <w:vertAlign w:val="superscript"/>
          <w:rtl w:val="0"/>
        </w:rPr>
        <w:t xml:space="preserve">37</w:t>
      </w:r>
      <w:r>
        <w:rPr>
          <w:rFonts w:ascii="Google Sans" w:cs="Google Sans" w:eastAsia="Google Sans" w:hAnsi="Google Sans"/>
          <w:color w:val="1f1f1f"/>
          <w:rtl w:val="0"/>
        </w:rPr>
        <w:t xml:space="preserve"> Near-term efforts must pivot toward using VQCs as trainable surrogate models, approximating the pricing function and allowing for rapid, analytical calculation of the Greeks via the parameter-shift rule.</w:t>
      </w:r>
      <w:r>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5.3 Market Regime Classification / Anomaly Detection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Financial markets constantly transition between varying regimes of volatility, liquidity, and correlation. Identifying structural shifts or detecting anomalous transactional behavior is critical for algorithmic trading and cybersecurity.</w:t>
      </w:r>
      <w:r>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(a) Problem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Identifying latency-sensitive shifts in market regimes or isolating fraudulent, anomalous behavior within massive, unbalanced, high-velocity data streams.</w:t>
            </w:r>
            <w:r>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(b) Encoding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Specialized quantum feature maps (e.g., ZZFeatureMap) designed to translate temporal market signatures into highly expressive quantum states.</w:t>
            </w:r>
            <w:r>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 Model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Quantum Kernel Methods (QKM), Quantum Support Vector Machines (QSVM), and unsupervised Quantum Autoencoders.</w:t>
            </w:r>
            <w:r>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(d) 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Maximization of classification margins in Hilbert space (QSVM) or minimization of state reconstruction fidelity error (Autoencoders).</w:t>
            </w:r>
            <w:r>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(e)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The algorithm must process high-velocity streaming data without succumbing to quantum state preparation (I/O) bottlenecks. Must handle extreme class imbalances (e.g., fraud vs. normal).</w:t>
            </w:r>
            <w:r>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(f) Evaluation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Area Under ROC Curve (AUC), precision, recall, F1 scores, and execution latency for real-time inference viability.</w:t>
            </w:r>
            <w:r>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(g) Baseline Classical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Classical SVMs with optimized RBF/Polynomial kernels, Isolation Forests, and recurrent autoencoders.</w:t>
            </w:r>
            <w:r>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Baseline Analysis:</w:t>
      </w:r>
      <w:r>
        <w:rPr>
          <w:rFonts w:ascii="Google Sans" w:cs="Google Sans" w:eastAsia="Google Sans" w:hAnsi="Google Sans"/>
          <w:color w:val="1f1f1f"/>
          <w:rtl w:val="0"/>
        </w:rPr>
        <w:t xml:space="preserve"> The primary bottleneck for quantum anomaly detection is the classical-to-quantum I/O limit. For high-velocity trading streams, the time required to encode data into microwave pulses and measure it vastly exceeds classical processing times. Quantum kernels are best deployed periodically for offline feature engineering rather than microsecond-level inline classification.</w:t>
      </w:r>
      <w:r>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5.4 Credit Risk Modeling / Default Prediction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Assessing the probability of default requires analyzing highly dimensional, heterogeneous, and often non-traditional datasets to find hidden correlations that dictate creditworthiness.</w:t>
      </w:r>
      <w:r>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(a) Problem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Accurately predicting future loan defaults for retail or corporate borrowers, improving risk assessment without violating fair lending regulations.</w:t>
            </w:r>
            <w:r>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(b) Encoding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Projected quantum feature maps to handle high-dimensional demographic and financial variables, scaling down dimensions via classical PCA prior to quantum embedding.</w:t>
            </w:r>
            <w:r>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 Model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Hybrid ensemble architectures combining classical gradient boosting models with VQC classifiers or QSVMs.</w:t>
            </w:r>
            <w:r>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(d) Objective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Minimization of binary cross-entropy loss or hinge loss for high-risk versus low-risk profile separation.</w:t>
            </w:r>
            <w:r>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(e)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Models must be highly interpretable to satisfy Model Risk Management (MRM) and regulatory constraints; black-box algorithms that obfuscate bias are operationally prohibited.</w:t>
            </w:r>
            <w:r>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(f) Evaluation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Composite Default Risk (CDR), Kolmogorov-Smirnov (KS) statistic, and subgroup fairness/parity metrics.</w:t>
            </w:r>
            <w:r>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(g) Baseline Classical Methods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Logistic Regression, XGBoost, LightGBM, and classical deep neural networks.</w:t>
            </w:r>
            <w:r>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Baseline Analysis:</w:t>
      </w:r>
      <w:r>
        <w:rPr>
          <w:rFonts w:ascii="Google Sans" w:cs="Google Sans" w:eastAsia="Google Sans" w:hAnsi="Google Sans"/>
          <w:color w:val="1f1f1f"/>
          <w:rtl w:val="0"/>
        </w:rPr>
        <w:t xml:space="preserve"> Quantum models have shown early promise in finding non-trivial correlations in credit data, but ensemble methods—where the quantum model's output acts as a single feature fed into a classical XGBoost model—provide the most pragmatic, implementable pathway for immediate adoption.</w:t>
      </w:r>
      <w:r>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6. Programming &amp; Implementation Blueprint (Practical)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Transitioning from theoretical physics to practical financial software engineering requires a reproducible, version-controlled, and seamlessly integrated software architecture.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Suggested Stacks and Data Pipelines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orchestration of quantum finance algorithms relies entirely on robust hybrid classical-quantum software frameworks.</w:t>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Quantum Execution:</w:t>
      </w:r>
      <w:r>
        <w:rPr>
          <w:rFonts w:ascii="Google Sans" w:cs="Google Sans" w:eastAsia="Google Sans" w:hAnsi="Google Sans"/>
          <w:color w:val="1f1f1f"/>
          <w:rtl w:val="0"/>
        </w:rPr>
        <w:t xml:space="preserve"> Frameworks such as PennyLane, Qiskit, and Cirq provide the foundational libraries for circuit construction, hardware-aware transpilation, and direct execution on cloud-hosted Quantum Processing Units (QPUs).</w:t>
      </w:r>
      <w:r>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Classical Integration:</w:t>
      </w:r>
      <w:r>
        <w:rPr>
          <w:rFonts w:ascii="Google Sans" w:cs="Google Sans" w:eastAsia="Google Sans" w:hAnsi="Google Sans"/>
          <w:color w:val="1f1f1f"/>
          <w:rtl w:val="0"/>
        </w:rPr>
        <w:t xml:space="preserve"> Integrating these platforms with classical autograd libraries—specifically PyTorch or JAX—is paramount. This enables "differentiable quantum programming," allowing developers to seamlessly backpropagate gradients through a hybrid computational graph. In this setup, a classical deep learning layer can process raw financial data, pass the refined tensor structures directly into a quantum feature map, and receive the measured expectation values back for the final classification layer.</w:t>
      </w:r>
      <w:r>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Pseudocode-Level Workflow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resilient, production-ready operational pipeline follows a strict, deterministic sequence:</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Data Ingestion &amp; Preprocessing:</w:t>
      </w:r>
      <w:r>
        <w:rPr>
          <w:rFonts w:ascii="Google Sans" w:cs="Google Sans" w:eastAsia="Google Sans" w:hAnsi="Google Sans"/>
          <w:color w:val="1f1f1f"/>
          <w:rtl w:val="0"/>
        </w:rPr>
        <w:t xml:space="preserve"> Clean market data, normalize feature scales (quantum angles must typically exist in </w:t>
      </w:r>
      <w:r>
        <w:rPr>
          <w:rFonts w:ascii="Google Sans" w:cs="Google Sans" w:eastAsia="Google Sans" w:hAnsi="Google Sans"/>
          <w:color w:val="1f1f1f"/>
        </w:rPr>
        <w:drawing>
          <wp:inline distB="19050" distT="19050" distL="19050" distR="19050">
            <wp:extent cx="480790" cy="23077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0790" cy="230779"/>
                    </a:xfrm>
                    <a:prstGeom prst="rect"/>
                    <a:ln/>
                  </pic:spPr>
                </pic:pic>
              </a:graphicData>
            </a:graphic>
          </wp:inline>
        </w:drawing>
      </w:r>
      <w:r>
        <w:rPr>
          <w:rFonts w:ascii="Google Sans" w:cs="Google Sans" w:eastAsia="Google Sans" w:hAnsi="Google Sans"/>
          <w:color w:val="1f1f1f"/>
          <w:rtl w:val="0"/>
        </w:rPr>
        <w:t xml:space="preserve">), apply dimensionality reduction (e.g., PCA) to match stringent physical qubit limitations, and split into training/validation sets.</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Quantum Encoding (Feature Mapping):</w:t>
      </w:r>
      <w:r>
        <w:rPr>
          <w:rFonts w:ascii="Google Sans" w:cs="Google Sans" w:eastAsia="Google Sans" w:hAnsi="Google Sans"/>
          <w:color w:val="1f1f1f"/>
          <w:rtl w:val="0"/>
        </w:rPr>
        <w:t xml:space="preserve"> Transform classical arrays into quantum parameters via angle, amplitude, or bosonic encoding structures, strictly constrained to the native gate set of the target hardware.</w:t>
      </w:r>
      <w:r>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Circuit Execution / Kernel Calculation:</w:t>
      </w:r>
      <w:r>
        <w:rPr>
          <w:rFonts w:ascii="Google Sans" w:cs="Google Sans" w:eastAsia="Google Sans" w:hAnsi="Google Sans"/>
          <w:color w:val="1f1f1f"/>
          <w:rtl w:val="0"/>
        </w:rPr>
        <w:t xml:space="preserve"> For VQCs, execute parameterized layers. For QSVMs, compute the kernel matrix measuring the overlap (fidelity) between encoded quantum states.</w:t>
      </w:r>
      <w:r>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Classical Optimization Loop:</w:t>
      </w:r>
      <w:r>
        <w:rPr>
          <w:rFonts w:ascii="Google Sans" w:cs="Google Sans" w:eastAsia="Google Sans" w:hAnsi="Google Sans"/>
          <w:color w:val="1f1f1f"/>
          <w:rtl w:val="0"/>
        </w:rPr>
        <w:t xml:space="preserve"> Compute the expectation value from the measurement outcomes. Calculate gradients using a shot-frugal estimator (e.g., SPSA). Update the parameters using the classical optimizer (PyTorch/JAX).</w:t>
      </w:r>
      <w:r>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Validation &amp; Post-Processing:</w:t>
      </w:r>
      <w:r>
        <w:rPr>
          <w:rFonts w:ascii="Google Sans" w:cs="Google Sans" w:eastAsia="Google Sans" w:hAnsi="Google Sans"/>
          <w:color w:val="1f1f1f"/>
          <w:rtl w:val="0"/>
        </w:rPr>
        <w:t xml:space="preserve"> Evaluate on hold-out data. Apply readout error mitigation techniques to raw bitstrings. Check constraint violations and benchmark against classical baselines.</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Resource Estimates and Logging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A pragmatic assessment of near-term resource requirements demonstrates the severe scaling challenges. The metrics below represent estimations for small-scale prototype instances operating on NISQ systems.</w:t>
      </w:r>
      <w:r>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Target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Qubit / Mode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Transpiled Depth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Shots per Gradient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Critical Log Artifacts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Portfolio Opt (20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20 physical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~11,000 (heavy-hex topology) </w:t>
            </w:r>
            <w:r>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shd w:fill="auto" w:val="clear"/>
                <w:rtl w:val="0"/>
              </w:rPr>
              <w:t xml:space="preserve">&gt; 4,000 </w:t>
            </w:r>
            <w:r>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Unbalanced penalties, constraint violations, noise seeds.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Option Pricing (Multi-asset)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~10-20 qubits (or 4+ modes)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Deep (requires QAE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Highly resource intensive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Amplitude bounds, query complexity, convergence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Regime Anomaly (QSVM)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Equivalent to feature dims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Shallow (Kernel overlap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~1000 - 8000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Kernel matrix density, classical margins, readout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Pr>
                <w:rFonts w:ascii="Google Sans" w:cs="Google Sans" w:eastAsia="Google Sans" w:hAnsi="Google Sans"/>
                <w:b w:val="1"/>
                <w:bCs w:val="1"/>
                <w:color w:val="1f1f1f"/>
                <w:shd w:fill="auto" w:val="clear"/>
                <w:rtl w:val="0"/>
              </w:rPr>
              <w:t xml:space="preserve">Credit Risk (VQC)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~10-15 physical qubits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~100 - 500 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Frugal (SPSA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Pr>
                <w:rFonts w:ascii="Google Sans" w:cs="Google Sans" w:eastAsia="Google Sans" w:hAnsi="Google Sans"/>
                <w:color w:val="1f1f1f"/>
                <w:shd w:fill="auto" w:val="clear"/>
                <w:rtl w:val="0"/>
              </w:rPr>
              <w:t xml:space="preserve">Loss trajectories, test splits, fairness/bias MRM metrics.</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b w:val="1"/>
          <w:bCs w:val="1"/>
          <w:color w:val="1f1f1f"/>
          <w:rtl w:val="0"/>
        </w:rPr>
        <w:t xml:space="preserve">Reproducibility Requirement:</w:t>
      </w:r>
      <w:r>
        <w:rPr>
          <w:rFonts w:ascii="Google Sans" w:cs="Google Sans" w:eastAsia="Google Sans" w:hAnsi="Google Sans"/>
          <w:color w:val="1f1f1f"/>
          <w:rtl w:val="0"/>
        </w:rPr>
        <w:t xml:space="preserve"> All hardware experiments must log hardware calibration data at the exact time of runtime, specific transpiler settings, native gate decompositions, seed generation for stochasticity, and error-mitigation overheads. Without this metadata, quantum experiments are fundamentally irreproducible.</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7. Optimization Under Hardware Limits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Operating efficiently within the NISQ regime mandates a shift from ideal optimization mathematics to rugged engineering resilience.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Noise-Aware Training and Parameter Initialization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Quantum algorithms evaluated on perfect classical simulators exhibit convergence patterns that immediately collapse when deployed on physical QPUs. </w:t>
      </w:r>
      <w:r>
        <w:rPr>
          <w:rFonts w:ascii="Google Sans" w:cs="Google Sans" w:eastAsia="Google Sans" w:hAnsi="Google Sans"/>
          <w:b w:val="1"/>
          <w:bCs w:val="1"/>
          <w:color w:val="1f1f1f"/>
          <w:rtl w:val="0"/>
        </w:rPr>
        <w:t xml:space="preserve">Noise-aware training</w:t>
      </w:r>
      <w:r>
        <w:rPr>
          <w:rFonts w:ascii="Google Sans" w:cs="Google Sans" w:eastAsia="Google Sans" w:hAnsi="Google Sans"/>
          <w:color w:val="1f1f1f"/>
          <w:rtl w:val="0"/>
        </w:rPr>
        <w:t xml:space="preserve"> involves embedding the hardware's specific, real-time noise profile—including amplitude damping and depolarization models—directly into the training loop.</w:t>
      </w:r>
      <w:r>
        <w:rPr>
          <w:rFonts w:ascii="Google Sans" w:cs="Google Sans" w:eastAsia="Google Sans" w:hAnsi="Google Sans"/>
          <w:color w:val="444746"/>
          <w:sz w:val="24"/>
          <w:szCs w:val="24"/>
          <w:vertAlign w:val="superscript"/>
          <w:rtl w:val="0"/>
        </w:rPr>
        <w:t xml:space="preserve">2</w:t>
      </w:r>
      <w:r>
        <w:rPr>
          <w:rFonts w:ascii="Google Sans" w:cs="Google Sans" w:eastAsia="Google Sans" w:hAnsi="Google Sans"/>
          <w:color w:val="1f1f1f"/>
          <w:rtl w:val="0"/>
        </w:rPr>
        <w:t xml:space="preserve"> In this configuration, the classical optimizer learns to adjust circuit parameters not only to minimize the financial loss function but also to dynamically circumvent the physical noise inherent to the specific chip.</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Parameter initialization is equally vital. Randomly initializing deep VQCs virtually guarantees the onset of barren plateaus.</w:t>
      </w:r>
      <w:r>
        <w:rPr>
          <w:rFonts w:ascii="Google Sans" w:cs="Google Sans" w:eastAsia="Google Sans" w:hAnsi="Google Sans"/>
          <w:color w:val="444746"/>
          <w:sz w:val="24"/>
          <w:szCs w:val="24"/>
          <w:vertAlign w:val="superscript"/>
          <w:rtl w:val="0"/>
        </w:rPr>
        <w:t xml:space="preserve">12</w:t>
      </w:r>
      <w:r>
        <w:rPr>
          <w:rFonts w:ascii="Google Sans" w:cs="Google Sans" w:eastAsia="Google Sans" w:hAnsi="Google Sans"/>
          <w:color w:val="1f1f1f"/>
          <w:rtl w:val="0"/>
        </w:rPr>
        <w:t xml:space="preserve"> Best practices require employing heuristic initializations, pre-training shallow layers on classical simulators before transferring weights to the QPU, or utilizing identity-block initialization to retain non-zero gradients during early training epochs.</w:t>
      </w:r>
      <w:r>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Error Mitigation vs. Cost Tradeoffs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Techniques such as Zero-Noise Extrapolation (ZNE) and Probabilistic Error Cancellation (PEC) are frequently cited as panaceas for NISQ limitations. However, they are fundamentally unscalable because they require executing an exponentially increasing number of circuits to characterize and subsequently cancel the noise.</w:t>
      </w:r>
      <w:r>
        <w:rPr>
          <w:rFonts w:ascii="Google Sans" w:cs="Google Sans" w:eastAsia="Google Sans" w:hAnsi="Google Sans"/>
          <w:color w:val="444746"/>
          <w:sz w:val="24"/>
          <w:szCs w:val="24"/>
          <w:vertAlign w:val="superscript"/>
          <w:rtl w:val="0"/>
        </w:rPr>
        <w:t xml:space="preserve">18</w:t>
      </w:r>
      <w:r>
        <w:rPr>
          <w:rFonts w:ascii="Google Sans" w:cs="Google Sans" w:eastAsia="Google Sans" w:hAnsi="Google Sans"/>
          <w:color w:val="1f1f1f"/>
          <w:rtl w:val="0"/>
        </w:rPr>
        <w:t xml:space="preserve"> Quantitative developers must implement a strict cost-benefit tradeoff matrix: complex error mitigation should be reserved exclusively for the final validation passes or inference evaluations. Training iterations should utilize lightweight, shot-frugal optimizers under unmitigated, noisy environments to maintain acceptable latency bounds and contain exorbitant cloud computing costs.</w:t>
      </w:r>
      <w:r>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 Non-Negotiable Quality Gates: Risks, Acceptance, and Testing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Transitioning quantum models from experimental proof-of-concepts into live financial production systems introduces acute vulnerabilities spanning compliance, technical stability, and economic validity. Classical software engineering practices must be heavily modified to address quantum realities.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8.1 Risks and Mitigations</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Technical Risks:</w:t>
      </w:r>
      <w:r>
        <w:rPr>
          <w:rFonts w:ascii="Google Sans" w:cs="Google Sans" w:eastAsia="Google Sans" w:hAnsi="Google Sans"/>
          <w:color w:val="1f1f1f"/>
          <w:rtl w:val="0"/>
        </w:rPr>
        <w:t xml:space="preserve"> Non-deterministic circuit behavior and severe hardware drift can cause a QML model that generates optimal alpha on Monday to degrade into random noise by Friday.</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Mitigation:</w:t>
      </w:r>
      <w:r>
        <w:rPr>
          <w:rFonts w:ascii="Google Sans" w:cs="Google Sans" w:eastAsia="Google Sans" w:hAnsi="Google Sans"/>
          <w:color w:val="1f1f1f"/>
          <w:rtl w:val="0"/>
        </w:rPr>
        <w:t xml:space="preserve"> Models must undergo continuous, automated recalibration against physical hardware baselines. Production applications must retain deeply integrated classical fallbacks (e.g., reverting to a classical XGBoost model) configured to trigger automatically upon detected quantum hardware degradation.</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Financial Risks:</w:t>
      </w:r>
      <w:r>
        <w:rPr>
          <w:rFonts w:ascii="Google Sans" w:cs="Google Sans" w:eastAsia="Google Sans" w:hAnsi="Google Sans"/>
          <w:color w:val="1f1f1f"/>
          <w:rtl w:val="0"/>
        </w:rPr>
        <w:t xml:space="preserve"> Faulty quantum-derived insights, such as misestimating Greek sensitivities in highly volatile markets due to shot-noise variance, could lead to catastrophic, unhedged financial exposures.</w:t>
      </w:r>
      <w:r>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Pr>
          <w:rFonts w:ascii="Google Sans" w:cs="Google Sans" w:eastAsia="Google Sans" w:hAnsi="Google Sans"/>
          <w:i w:val="1"/>
          <w:iCs w:val="1"/>
          <w:color w:val="1f1f1f"/>
          <w:rtl w:val="0"/>
        </w:rPr>
        <w:t xml:space="preserve">Mitigation:</w:t>
      </w:r>
      <w:r>
        <w:rPr>
          <w:rFonts w:ascii="Google Sans" w:cs="Google Sans" w:eastAsia="Google Sans" w:hAnsi="Google Sans"/>
          <w:color w:val="1f1f1f"/>
          <w:rtl w:val="0"/>
        </w:rPr>
        <w:t xml:space="preserve"> Bound all quantum predictions against classical benchmarks and enforce hard, programmatic limits on trade execution autonomy driven by quantum signals.</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Operational &amp; Regulatory Risks:</w:t>
      </w:r>
      <w:r>
        <w:rPr>
          <w:rFonts w:ascii="Google Sans" w:cs="Google Sans" w:eastAsia="Google Sans" w:hAnsi="Google Sans"/>
          <w:color w:val="1f1f1f"/>
          <w:rtl w:val="0"/>
        </w:rPr>
        <w:t xml:space="preserve"> QML models inherently exacerbate algorithmic opacity. Operating under strict regulatory frameworks, institutions must be capable of justifying credit and trading decisions.</w:t>
      </w:r>
      <w:r>
        <w:rPr>
          <w:rFonts w:ascii="Google Sans" w:cs="Google Sans" w:eastAsia="Google Sans" w:hAnsi="Google Sans"/>
          <w:color w:val="444746"/>
          <w:sz w:val="24"/>
          <w:szCs w:val="24"/>
          <w:vertAlign w:val="superscript"/>
          <w:rtl w:val="0"/>
        </w:rPr>
        <w:t xml:space="preserve">53</w:t>
      </w:r>
      <w:r>
        <w:rPr>
          <w:rFonts w:ascii="Google Sans" w:cs="Google Sans" w:eastAsia="Google Sans" w:hAnsi="Google Sans"/>
          <w:color w:val="1f1f1f"/>
          <w:rtl w:val="0"/>
        </w:rPr>
        <w:t xml:space="preserve"> Furthermore, data transmitted to cloud QPUs poses a "harvest-now, decrypt-later" security threat.</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3">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70" w:hanging="360"/>
      </w:pPr>
      <w:r>
        <w:rPr>
          <w:rFonts w:ascii="Google Sans" w:cs="Google Sans" w:eastAsia="Google Sans" w:hAnsi="Google Sans"/>
          <w:i w:val="1"/>
          <w:iCs w:val="1"/>
          <w:color w:val="1f1f1f"/>
          <w:rtl w:val="0"/>
        </w:rPr>
        <w:t xml:space="preserve">Mitigation:</w:t>
      </w:r>
      <w:r>
        <w:rPr>
          <w:rFonts w:ascii="Google Sans" w:cs="Google Sans" w:eastAsia="Google Sans" w:hAnsi="Google Sans"/>
          <w:color w:val="1f1f1f"/>
          <w:rtl w:val="0"/>
        </w:rPr>
        <w:t xml:space="preserve"> Implement rigorous global and local feature importance analysis, utilizing quantum surrogate interpretability tests.</w:t>
      </w:r>
      <w:r>
        <w:rPr>
          <w:rFonts w:ascii="Google Sans" w:cs="Google Sans" w:eastAsia="Google Sans" w:hAnsi="Google Sans"/>
          <w:color w:val="444746"/>
          <w:sz w:val="24"/>
          <w:szCs w:val="24"/>
          <w:vertAlign w:val="superscript"/>
          <w:rtl w:val="0"/>
        </w:rPr>
        <w:t xml:space="preserve">56</w:t>
      </w:r>
      <w:r>
        <w:rPr>
          <w:rFonts w:ascii="Google Sans" w:cs="Google Sans" w:eastAsia="Google Sans" w:hAnsi="Google Sans"/>
          <w:color w:val="1f1f1f"/>
          <w:rtl w:val="0"/>
        </w:rPr>
        <w:t xml:space="preserve"> Deploy post-quantum cryptography (PQC) pilots for all data pipelines interfacing with quantum cloud providers.</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8.2 Acceptance Criteria (Measurable Success Metrics)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A robust Model Risk Management (MRM) program must establish explicit, quantitative go/no-go acceptance criteria prior to any production deployment </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Pr>
          <w:rFonts w:ascii="Google Sans" w:cs="Google Sans" w:eastAsia="Google Sans" w:hAnsi="Google Sans"/>
          <w:b w:val="1"/>
          <w:bCs w:val="1"/>
          <w:color w:val="1f1f1f"/>
          <w:rtl w:val="0"/>
        </w:rPr>
        <w:t xml:space="preserve">Quantitative Baselines and ROI:</w:t>
      </w:r>
      <w:r>
        <w:rPr>
          <w:rFonts w:ascii="Google Sans" w:cs="Google Sans" w:eastAsia="Google Sans" w:hAnsi="Google Sans"/>
          <w:color w:val="1f1f1f"/>
          <w:rtl w:val="0"/>
        </w:rPr>
        <w:t xml:space="preserve"> The quantum model must demonstrate a statistically significant performance improvement over state-of-the-art classical alternatives across an agreed-upon primary metric (e.g., a minimum 5% AUC uplift in fraud detection, or a distinct reduction in computational time-to-solution for risk parity limits) without scaling cloud computing costs exponentially.</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Pr>
          <w:rFonts w:ascii="Google Sans" w:cs="Google Sans" w:eastAsia="Google Sans" w:hAnsi="Google Sans"/>
          <w:b w:val="1"/>
          <w:bCs w:val="1"/>
          <w:color w:val="1f1f1f"/>
          <w:rtl w:val="0"/>
        </w:rPr>
        <w:t xml:space="preserve">Bias and Fairness Parity:</w:t>
      </w:r>
      <w:r>
        <w:rPr>
          <w:rFonts w:ascii="Google Sans" w:cs="Google Sans" w:eastAsia="Google Sans" w:hAnsi="Google Sans"/>
          <w:color w:val="1f1f1f"/>
          <w:rtl w:val="0"/>
        </w:rPr>
        <w:t xml:space="preserve"> In scenarios involving credit risk modeling or retail customer data, the quantum model must mechanically demonstrate demographic parity. It must pass rigorous stress tests targeting adversarial shifts in input distributions to avoid regulatory exclusion violations.</w:t>
      </w:r>
      <w:r>
        <w:rPr>
          <w:rFonts w:ascii="Google Sans" w:cs="Google Sans" w:eastAsia="Google Sans" w:hAnsi="Google Sans"/>
          <w:color w:val="444746"/>
          <w:sz w:val="24"/>
          <w:szCs w:val="24"/>
          <w:vertAlign w:val="superscript"/>
          <w:rtl w:val="0"/>
        </w:rPr>
        <w:t xml:space="preserve">11</w:t>
      </w:r>
      <w:r>
        <w:rPr>
          <w:rFonts w:ascii="Google Sans" w:cs="Google Sans" w:eastAsia="Google Sans" w:hAnsi="Google Sans"/>
          <w:color w:val="1f1f1f"/>
          <w:rtl w:val="0"/>
        </w:rPr>
        <w:t xml:space="preserve"> Mechanistic removal of disparities must be documented.</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Pr>
          <w:rFonts w:ascii="Google Sans" w:cs="Google Sans" w:eastAsia="Google Sans" w:hAnsi="Google Sans"/>
          <w:b w:val="1"/>
          <w:bCs w:val="1"/>
          <w:color w:val="1f1f1f"/>
          <w:rtl w:val="0"/>
        </w:rPr>
        <w:t xml:space="preserve">Reproducibility Tolerance:</w:t>
      </w:r>
      <w:r>
        <w:rPr>
          <w:rFonts w:ascii="Google Sans" w:cs="Google Sans" w:eastAsia="Google Sans" w:hAnsi="Google Sans"/>
          <w:color w:val="1f1f1f"/>
          <w:rtl w:val="0"/>
        </w:rPr>
        <w:t xml:space="preserve"> Multiple identical execution runs on independent physical QPUs (e.g., differing IBM processors with identical logical architectures) must yield predictions within a predefined variance threshold, explicitly accounting for topological and calibration variability.</w:t>
      </w:r>
      <w:r>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8.3 Test Strategy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Pr>
          <w:rFonts w:ascii="Google Sans" w:cs="Google Sans" w:eastAsia="Google Sans" w:hAnsi="Google Sans"/>
          <w:color w:val="1f1f1f"/>
          <w:rtl w:val="0"/>
        </w:rPr>
        <w:t xml:space="preserve">Testing frameworks must evolve from traditional classical software engineering into specialized quantum quality engineering.</w:t>
      </w:r>
      <w:r>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cs="Google Sans" w:eastAsia="Google Sans" w:hAnsi="Google Sans"/>
          <w:b w:val="1"/>
          <w:bCs w:val="1"/>
          <w:color w:val="1f1f1f"/>
          <w:rtl w:val="0"/>
        </w:rPr>
        <w:t xml:space="preserve">Unit Testing:</w:t>
      </w:r>
      <w:r>
        <w:rPr>
          <w:rFonts w:ascii="Google Sans" w:cs="Google Sans" w:eastAsia="Google Sans" w:hAnsi="Google Sans"/>
          <w:color w:val="1f1f1f"/>
          <w:rtl w:val="0"/>
        </w:rPr>
        <w:t xml:space="preserve"> Validate individual quantum circuit subroutines exclusively using exact classical state-vector simulators. Developers must programmatically assert correct data-to-feature mappings, verify amplitude bounds, and test expected analytical gradients against finite-difference approximations.</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cs="Google Sans" w:eastAsia="Google Sans" w:hAnsi="Google Sans"/>
          <w:b w:val="1"/>
          <w:bCs w:val="1"/>
          <w:color w:val="1f1f1f"/>
          <w:rtl w:val="0"/>
        </w:rPr>
        <w:t xml:space="preserve">Integration Testing:</w:t>
      </w:r>
      <w:r>
        <w:rPr>
          <w:rFonts w:ascii="Google Sans" w:cs="Google Sans" w:eastAsia="Google Sans" w:hAnsi="Google Sans"/>
          <w:color w:val="1f1f1f"/>
          <w:rtl w:val="0"/>
        </w:rPr>
        <w:t xml:space="preserve"> Verify the end-to-end interface between the classical optimizer (PyTorch/JAX), the API connecting to the cloud QPU, and the result post-processing scripts. This includes testing the resilience of the workflow when QPU API calls timeout or return malformed JSON payloads.</w:t>
      </w:r>
      <w:r>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cs="Google Sans" w:eastAsia="Google Sans" w:hAnsi="Google Sans"/>
          <w:b w:val="1"/>
          <w:bCs w:val="1"/>
          <w:color w:val="1f1f1f"/>
          <w:rtl w:val="0"/>
        </w:rPr>
        <w:t xml:space="preserve">Performance &amp; Reliability Benchmarking:</w:t>
      </w:r>
      <w:r>
        <w:rPr>
          <w:rFonts w:ascii="Google Sans" w:cs="Google Sans" w:eastAsia="Google Sans" w:hAnsi="Google Sans"/>
          <w:color w:val="1f1f1f"/>
          <w:rtl w:val="0"/>
        </w:rPr>
        <w:t xml:space="preserve"> Execute shadow-mode A/B testing on historical financial data. Compare QML predictions directly against standard, highly tuned classical algorithms (e.g., comparing a QSVM against a classical RBF SVM). The testing suite must independently log operational overheads including queue times, transpilation latency, and network API latency, strictly separating true quantum execution time from total algorithmic wall-clock time to present an honest assessment of latency.</w:t>
      </w:r>
      <w:r>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Pr>
          <w:rFonts w:ascii="Google Sans" w:cs="Google Sans" w:eastAsia="Google Sans" w:hAnsi="Google Sans"/>
          <w:color w:val="1f1f1f"/>
          <w:rtl w:val="0"/>
        </w:rPr>
        <w:t xml:space="preserve">The pursuit of quantum machine learning in finance is fundamentally an exercise in navigating extreme hardware constraints. By deploying mathematically sound kernel methods, prioritizing rigorous MRM and shot-frugal engineering, and acknowledging the severe limitations of physical topology, quantitative developers can build resilient, forward-compatible foundations that avoid industry hype and drive measurable technological readiness.</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Pr>
          <w:rFonts w:ascii="Google Sans" w:cs="Google Sans" w:eastAsia="Google Sans" w:hAnsi="Google Sans"/>
          <w:rtl w:val="0"/>
        </w:rPr>
        <w:t xml:space="preserve">Works cited</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Best practices for portfolio optimization by quantum computing ..., accessed March 30, 2026, </w:t>
      </w:r>
      <w:hyperlink r:id="rId15">
        <w:r>
          <w:rPr>
            <w:rFonts w:ascii="Google Sans" w:cs="Google Sans" w:eastAsia="Google Sans" w:hAnsi="Google Sans"/>
            <w:color w:val="0000ee"/>
            <w:sz w:val="24"/>
            <w:szCs w:val="24"/>
            <w:u w:val="single"/>
            <w:rtl w:val="0"/>
          </w:rPr>
          <w:t xml:space="preserve">https://pmc.ncbi.nlm.nih.gov/articles/PMC10632408/</w:t>
        </w:r>
      </w:hyperlink>
      <w:r>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QNBAD: Quantum Noise-induced Backdoor Attacks against Zero Noise Extrapolation, accessed March 30, 2026, </w:t>
      </w:r>
      <w:hyperlink r:id="rId16">
        <w:r>
          <w:rPr>
            <w:rFonts w:ascii="Google Sans" w:cs="Google Sans" w:eastAsia="Google Sans" w:hAnsi="Google Sans"/>
            <w:color w:val="0000ee"/>
            <w:sz w:val="24"/>
            <w:szCs w:val="24"/>
            <w:u w:val="single"/>
            <w:rtl w:val="0"/>
          </w:rPr>
          <w:t xml:space="preserve">https://www.ndss-symposium.org/wp-content/uploads/2026-f1665-paper.pdf</w:t>
        </w:r>
      </w:hyperlink>
      <w:r>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Simon's Algorithm in the NISQ Cloud - ResearchGate, accessed March 30, 2026, </w:t>
      </w:r>
      <w:hyperlink r:id="rId17">
        <w:r>
          <w:rPr>
            <w:rFonts w:ascii="Google Sans" w:cs="Google Sans" w:eastAsia="Google Sans" w:hAnsi="Google Sans"/>
            <w:color w:val="0000ee"/>
            <w:sz w:val="24"/>
            <w:szCs w:val="24"/>
            <w:u w:val="single"/>
            <w:rtl w:val="0"/>
          </w:rPr>
          <w:t xml:space="preserve">https://www.researchgate.net/publication/392890113_Simon's_Algorithm_in_the_NISQ_Cloud</w:t>
        </w:r>
      </w:hyperlink>
      <w:r>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arXiv:2101.11020v1 [quant-ph] 26 Jan 2021, accessed March 30, 2026, </w:t>
      </w:r>
      <w:hyperlink r:id="rId18">
        <w:r>
          <w:rPr>
            <w:rFonts w:ascii="Google Sans" w:cs="Google Sans" w:eastAsia="Google Sans" w:hAnsi="Google Sans"/>
            <w:color w:val="0000ee"/>
            <w:sz w:val="24"/>
            <w:szCs w:val="24"/>
            <w:u w:val="single"/>
            <w:rtl w:val="0"/>
          </w:rPr>
          <w:t xml:space="preserve">https://arxiv.org/abs/2101.11020</w:t>
        </w:r>
      </w:hyperlink>
      <w:r>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in Feature Hilbert Spaces - ResearchGate, accessed March 30, 2026, </w:t>
      </w:r>
      <w:hyperlink r:id="rId19">
        <w:r>
          <w:rPr>
            <w:rFonts w:ascii="Google Sans" w:cs="Google Sans" w:eastAsia="Google Sans" w:hAnsi="Google Sans"/>
            <w:color w:val="0000ee"/>
            <w:sz w:val="24"/>
            <w:szCs w:val="24"/>
            <w:u w:val="single"/>
            <w:rtl w:val="0"/>
          </w:rPr>
          <w:t xml:space="preserve">https://www.researchgate.net/publication/323904931_Quantum_Machine_Learning_in_Feature_Hilbert_Spaces</w:t>
        </w:r>
      </w:hyperlink>
      <w:r>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General parameter-shift rules for quantum gradients - Quantum Journal, accessed March 30, 2026, </w:t>
      </w:r>
      <w:hyperlink r:id="rId20">
        <w:r>
          <w:rPr>
            <w:rFonts w:ascii="Google Sans" w:cs="Google Sans" w:eastAsia="Google Sans" w:hAnsi="Google Sans"/>
            <w:color w:val="0000ee"/>
            <w:sz w:val="24"/>
            <w:szCs w:val="24"/>
            <w:u w:val="single"/>
            <w:rtl w:val="0"/>
          </w:rPr>
          <w:t xml:space="preserve">https://quantum-journal.org/papers/q-2022-03-30-677/</w:t>
        </w:r>
      </w:hyperlink>
      <w:r>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Meta-optimization of resources on quantum computers - PMC, accessed March 30, 2026, </w:t>
      </w:r>
      <w:hyperlink r:id="rId21">
        <w:r>
          <w:rPr>
            <w:rFonts w:ascii="Google Sans" w:cs="Google Sans" w:eastAsia="Google Sans" w:hAnsi="Google Sans"/>
            <w:color w:val="0000ee"/>
            <w:sz w:val="24"/>
            <w:szCs w:val="24"/>
            <w:u w:val="single"/>
            <w:rtl w:val="0"/>
          </w:rPr>
          <w:t xml:space="preserve">https://pmc.ncbi.nlm.nih.gov/articles/PMC11070419/</w:t>
        </w:r>
      </w:hyperlink>
      <w:r>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Portfolio Optimization: An Extensive Benchmark - arXiv, accessed March 30, 2026, </w:t>
      </w:r>
      <w:hyperlink r:id="rId22">
        <w:r>
          <w:rPr>
            <w:rFonts w:ascii="Google Sans" w:cs="Google Sans" w:eastAsia="Google Sans" w:hAnsi="Google Sans"/>
            <w:color w:val="0000ee"/>
            <w:sz w:val="24"/>
            <w:szCs w:val="24"/>
            <w:u w:val="single"/>
            <w:rtl w:val="0"/>
          </w:rPr>
          <w:t xml:space="preserve">https://arxiv.org/html/2509.17876v1</w:t>
        </w:r>
      </w:hyperlink>
      <w:r>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Contextual Quantum Neural Networks for Stock Price Prediction - arXiv, accessed March 30, 2026, </w:t>
      </w:r>
      <w:hyperlink r:id="rId23">
        <w:r>
          <w:rPr>
            <w:rFonts w:ascii="Google Sans" w:cs="Google Sans" w:eastAsia="Google Sans" w:hAnsi="Google Sans"/>
            <w:color w:val="0000ee"/>
            <w:sz w:val="24"/>
            <w:szCs w:val="24"/>
            <w:u w:val="single"/>
            <w:rtl w:val="0"/>
          </w:rPr>
          <w:t xml:space="preserve">https://arxiv.org/html/2503.01884v1</w:t>
        </w:r>
      </w:hyperlink>
      <w:r>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An introduction to financial option pricing on a qudit-based quantum computer - Fermilab | Technical Publications, accessed March 30, 2026, </w:t>
      </w:r>
      <w:hyperlink r:id="rId24">
        <w:r>
          <w:rPr>
            <w:rFonts w:ascii="Google Sans" w:cs="Google Sans" w:eastAsia="Google Sans" w:hAnsi="Google Sans"/>
            <w:color w:val="0000ee"/>
            <w:sz w:val="24"/>
            <w:szCs w:val="24"/>
            <w:u w:val="single"/>
            <w:rtl w:val="0"/>
          </w:rPr>
          <w:t xml:space="preserve">https://lss.fnal.gov/archive/2023/pub/fermilab-pub-23-638-sqms.pdf</w:t>
        </w:r>
      </w:hyperlink>
      <w:r>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CRI-FS-AI-RMF-Guidebook_Full_v.1.0-1.docx - Cyber Risk Institute, accessed March 30, 2026, </w:t>
      </w:r>
      <w:hyperlink r:id="rId25">
        <w:r>
          <w:rPr>
            <w:rFonts w:ascii="Google Sans" w:cs="Google Sans" w:eastAsia="Google Sans" w:hAnsi="Google Sans"/>
            <w:color w:val="0000ee"/>
            <w:sz w:val="24"/>
            <w:szCs w:val="24"/>
            <w:u w:val="single"/>
            <w:rtl w:val="0"/>
          </w:rPr>
          <w:t xml:space="preserve">https://cyberriskinstitute.org/wp-content/uploads/2026/02/CRI-FS-AI-RMF-Guidebook_Full_v.1.0-1.docx</w:t>
        </w:r>
      </w:hyperlink>
      <w:r>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Does provable absence of barren plateaus imply classical simulability? - PMC, accessed March 30, 2026, </w:t>
      </w:r>
      <w:hyperlink r:id="rId26">
        <w:r>
          <w:rPr>
            <w:rFonts w:ascii="Google Sans" w:cs="Google Sans" w:eastAsia="Google Sans" w:hAnsi="Google Sans"/>
            <w:color w:val="0000ee"/>
            <w:sz w:val="24"/>
            <w:szCs w:val="24"/>
            <w:u w:val="single"/>
            <w:rtl w:val="0"/>
          </w:rPr>
          <w:t xml:space="preserve">https://pmc.ncbi.nlm.nih.gov/articles/PMC12378457/</w:t>
        </w:r>
      </w:hyperlink>
      <w:r>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for Finance - CFA Institute Research and ..., accessed March 30, 2026, </w:t>
      </w:r>
      <w:hyperlink r:id="rId27">
        <w:r>
          <w:rPr>
            <w:rFonts w:ascii="Google Sans" w:cs="Google Sans" w:eastAsia="Google Sans" w:hAnsi="Google Sans"/>
            <w:color w:val="0000ee"/>
            <w:sz w:val="24"/>
            <w:szCs w:val="24"/>
            <w:u w:val="single"/>
            <w:rtl w:val="0"/>
          </w:rPr>
          <w:t xml:space="preserve">https://rpc.cfainstitute.org/sites/default/files/docs/support/rf_aiinassetmanagement_practitioner-briefs_09_quantumcomputingforfinance_online.pdf</w:t>
        </w:r>
      </w:hyperlink>
      <w:r>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Threshold for Quantum Advantage in Derivative Pricing, accessed March 30, 2026, </w:t>
      </w:r>
      <w:hyperlink r:id="rId28">
        <w:r>
          <w:rPr>
            <w:rFonts w:ascii="Google Sans" w:cs="Google Sans" w:eastAsia="Google Sans" w:hAnsi="Google Sans"/>
            <w:color w:val="0000ee"/>
            <w:sz w:val="24"/>
            <w:szCs w:val="24"/>
            <w:u w:val="single"/>
            <w:rtl w:val="0"/>
          </w:rPr>
          <w:t xml:space="preserve">https://quantum-journal.org/papers/q-2021-06-01-463/</w:t>
        </w:r>
      </w:hyperlink>
      <w:r>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Maria SCHULD | University of KwaZulu-Natal, Durban | ukzn | School of Chemistry and Physics | Research profile - ResearchGate, accessed March 30, 2026, </w:t>
      </w:r>
      <w:hyperlink r:id="rId29">
        <w:r>
          <w:rPr>
            <w:rFonts w:ascii="Google Sans" w:cs="Google Sans" w:eastAsia="Google Sans" w:hAnsi="Google Sans"/>
            <w:color w:val="0000ee"/>
            <w:sz w:val="24"/>
            <w:szCs w:val="24"/>
            <w:u w:val="single"/>
            <w:rtl w:val="0"/>
          </w:rPr>
          <w:t xml:space="preserve">https://www.researchgate.net/profile/Maria-Schuld</w:t>
        </w:r>
      </w:hyperlink>
      <w:r>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Reducing the sampling complexity of energy estimation in quantum many-body systems using empirical variance information - arXiv, accessed March 30, 2026, </w:t>
      </w:r>
      <w:hyperlink r:id="rId30">
        <w:r>
          <w:rPr>
            <w:rFonts w:ascii="Google Sans" w:cs="Google Sans" w:eastAsia="Google Sans" w:hAnsi="Google Sans"/>
            <w:color w:val="0000ee"/>
            <w:sz w:val="24"/>
            <w:szCs w:val="24"/>
            <w:u w:val="single"/>
            <w:rtl w:val="0"/>
          </w:rPr>
          <w:t xml:space="preserve">https://arxiv.org/html/2502.01730v1</w:t>
        </w:r>
      </w:hyperlink>
      <w:r>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QADQN: Quantum Attention Deep Q-Network for Financial Market Prediction - ResearchGate, accessed March 30, 2026, </w:t>
      </w:r>
      <w:hyperlink r:id="rId31">
        <w:r>
          <w:rPr>
            <w:rFonts w:ascii="Google Sans" w:cs="Google Sans" w:eastAsia="Google Sans" w:hAnsi="Google Sans"/>
            <w:color w:val="0000ee"/>
            <w:sz w:val="24"/>
            <w:szCs w:val="24"/>
            <w:u w:val="single"/>
            <w:rtl w:val="0"/>
          </w:rPr>
          <w:t xml:space="preserve">https://www.researchgate.net/publication/382915018_QADQN_Quantum_Attention_Deep_Q-Network_for_Financial_Market_Prediction</w:t>
        </w:r>
      </w:hyperlink>
      <w:r>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Can Error Mitigation Improve Trainability of Noisy Variational Quantum Algorithms? - Quantum Journal, accessed March 30, 2026, </w:t>
      </w:r>
      <w:hyperlink r:id="rId32">
        <w:r>
          <w:rPr>
            <w:rFonts w:ascii="Google Sans" w:cs="Google Sans" w:eastAsia="Google Sans" w:hAnsi="Google Sans"/>
            <w:color w:val="0000ee"/>
            <w:sz w:val="24"/>
            <w:szCs w:val="24"/>
            <w:u w:val="single"/>
            <w:rtl w:val="0"/>
          </w:rPr>
          <w:t xml:space="preserve">https://quantum-journal.org/papers/q-2024-03-14-1287/</w:t>
        </w:r>
      </w:hyperlink>
      <w:r>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IBM and Vanguard explore quantum optimization for portfolio construction, accessed March 30, 2026, </w:t>
      </w:r>
      <w:hyperlink r:id="rId33">
        <w:r>
          <w:rPr>
            <w:rFonts w:ascii="Google Sans" w:cs="Google Sans" w:eastAsia="Google Sans" w:hAnsi="Google Sans"/>
            <w:color w:val="0000ee"/>
            <w:sz w:val="24"/>
            <w:szCs w:val="24"/>
            <w:u w:val="single"/>
            <w:rtl w:val="0"/>
          </w:rPr>
          <w:t xml:space="preserve">https://www.ibm.com/quantum/blog/vanguard-portfolio-optimization</w:t>
        </w:r>
      </w:hyperlink>
      <w:r>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Variational quantum algorithms for machine learning - IRIS, accessed March 30, 2026, </w:t>
      </w:r>
      <w:hyperlink r:id="rId34">
        <w:r>
          <w:rPr>
            <w:rFonts w:ascii="Google Sans" w:cs="Google Sans" w:eastAsia="Google Sans" w:hAnsi="Google Sans"/>
            <w:color w:val="0000ee"/>
            <w:sz w:val="24"/>
            <w:szCs w:val="24"/>
            <w:u w:val="single"/>
            <w:rtl w:val="0"/>
          </w:rPr>
          <w:t xml:space="preserve">https://iris.unipv.it/retrieve/6765820d-bcec-4290-9ddb-ad77e09d3060/Mangini%20%3F%20Final%20Thesis.pdf</w:t>
        </w:r>
      </w:hyperlink>
      <w:r>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An initialization strategy for addressing barren plateaus in parametrized quantum circuits, accessed March 30, 2026, </w:t>
      </w:r>
      <w:hyperlink r:id="rId35">
        <w:r>
          <w:rPr>
            <w:rFonts w:ascii="Google Sans" w:cs="Google Sans" w:eastAsia="Google Sans" w:hAnsi="Google Sans"/>
            <w:color w:val="0000ee"/>
            <w:sz w:val="24"/>
            <w:szCs w:val="24"/>
            <w:u w:val="single"/>
            <w:rtl w:val="0"/>
          </w:rPr>
          <w:t xml:space="preserve">https://quantum-journal.org/papers/q-2019-12-09-214/</w:t>
        </w:r>
      </w:hyperlink>
      <w:r>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models as Fourier series | PennyLane Demos, accessed March 30, 2026, </w:t>
      </w:r>
      <w:hyperlink r:id="rId36">
        <w:r>
          <w:rPr>
            <w:rFonts w:ascii="Google Sans" w:cs="Google Sans" w:eastAsia="Google Sans" w:hAnsi="Google Sans"/>
            <w:color w:val="0000ee"/>
            <w:sz w:val="24"/>
            <w:szCs w:val="24"/>
            <w:u w:val="single"/>
            <w:rtl w:val="0"/>
          </w:rPr>
          <w:t xml:space="preserve">https://pennylane.ai/qml/demos/tutorial_expressivity_fourier_series</w:t>
        </w:r>
      </w:hyperlink>
      <w:r>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Better than classical? The subtle art of benchmarking quantum machine learning models, accessed March 30, 2026, </w:t>
      </w:r>
      <w:hyperlink r:id="rId37">
        <w:r>
          <w:rPr>
            <w:rFonts w:ascii="Google Sans" w:cs="Google Sans" w:eastAsia="Google Sans" w:hAnsi="Google Sans"/>
            <w:color w:val="0000ee"/>
            <w:sz w:val="24"/>
            <w:szCs w:val="24"/>
            <w:u w:val="single"/>
            <w:rtl w:val="0"/>
          </w:rPr>
          <w:t xml:space="preserve">https://arxiv.org/html/2403.07059v1</w:t>
        </w:r>
      </w:hyperlink>
      <w:r>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[2510.19494] Quantum Machine Learning methods for Fourier-based distribution estimation with application in option pricing - arXiv, accessed March 30, 2026, </w:t>
      </w:r>
      <w:hyperlink r:id="rId38">
        <w:r>
          <w:rPr>
            <w:rFonts w:ascii="Google Sans" w:cs="Google Sans" w:eastAsia="Google Sans" w:hAnsi="Google Sans"/>
            <w:color w:val="0000ee"/>
            <w:sz w:val="24"/>
            <w:szCs w:val="24"/>
            <w:u w:val="single"/>
            <w:rtl w:val="0"/>
          </w:rPr>
          <w:t xml:space="preserve">https://arxiv.org/abs/2510.19494</w:t>
        </w:r>
      </w:hyperlink>
      <w:r>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Overfitting In Quantum Computing - Meegle, accessed March 30, 2026, </w:t>
      </w:r>
      <w:hyperlink r:id="rId39">
        <w:r>
          <w:rPr>
            <w:rFonts w:ascii="Google Sans" w:cs="Google Sans" w:eastAsia="Google Sans" w:hAnsi="Google Sans"/>
            <w:color w:val="0000ee"/>
            <w:sz w:val="24"/>
            <w:szCs w:val="24"/>
            <w:u w:val="single"/>
            <w:rtl w:val="0"/>
          </w:rPr>
          <w:t xml:space="preserve">https://www.meegle.com/en_us/topics/overfitting/overfitting-in-quantum-computing</w:t>
        </w:r>
      </w:hyperlink>
      <w:r>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Variational Quantum Circuits (VQCs): Machine Learning Convexity, accessed March 30, 2026, </w:t>
      </w:r>
      <w:hyperlink r:id="rId40">
        <w:r>
          <w:rPr>
            <w:rFonts w:ascii="Google Sans" w:cs="Google Sans" w:eastAsia="Google Sans" w:hAnsi="Google Sans"/>
            <w:color w:val="0000ee"/>
            <w:sz w:val="24"/>
            <w:szCs w:val="24"/>
            <w:u w:val="single"/>
            <w:rtl w:val="0"/>
          </w:rPr>
          <w:t xml:space="preserve">https://gganbumarketplace.com/pytorch/variational-quantum-circuits-vqcs-machine-learning-convexity-optimization-with-pytorch/</w:t>
        </w:r>
      </w:hyperlink>
      <w:r>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Anomaly Detection with Quantum Machine Learning – Identifying Cybersecurity Issues in Datasets, accessed March 30, 2026, </w:t>
      </w:r>
      <w:hyperlink r:id="rId41">
        <w:r>
          <w:rPr>
            <w:rFonts w:ascii="Google Sans" w:cs="Google Sans" w:eastAsia="Google Sans" w:hAnsi="Google Sans"/>
            <w:color w:val="0000ee"/>
            <w:sz w:val="24"/>
            <w:szCs w:val="24"/>
            <w:u w:val="single"/>
            <w:rtl w:val="0"/>
          </w:rPr>
          <w:t xml:space="preserve">https://www.cybersecurity.blog.aisec.fraunhofer.de/en/anomaly-detection-with-quantum-machine-learning-identifying-cybersecurity-issues-in-datasets/</w:t>
        </w:r>
      </w:hyperlink>
      <w:r>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Kernel methods for anomaly detection in high-velocity data streams, accessed March 30, 2026, </w:t>
      </w:r>
      <w:hyperlink r:id="rId42">
        <w:r>
          <w:rPr>
            <w:rFonts w:ascii="Google Sans" w:cs="Google Sans" w:eastAsia="Google Sans" w:hAnsi="Google Sans"/>
            <w:color w:val="0000ee"/>
            <w:sz w:val="24"/>
            <w:szCs w:val="24"/>
            <w:u w:val="single"/>
            <w:rtl w:val="0"/>
          </w:rPr>
          <w:t xml:space="preserve">https://wjaets.com/sites/default/files/fulltext_pdf/WJAETS-2025-0694.pdf</w:t>
        </w:r>
      </w:hyperlink>
      <w:r>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for finance (Journal Article) | OSTI.GOV, accessed March 30, 2026, </w:t>
      </w:r>
      <w:hyperlink r:id="rId43">
        <w:r>
          <w:rPr>
            <w:rFonts w:ascii="Google Sans" w:cs="Google Sans" w:eastAsia="Google Sans" w:hAnsi="Google Sans"/>
            <w:color w:val="0000ee"/>
            <w:sz w:val="24"/>
            <w:szCs w:val="24"/>
            <w:u w:val="single"/>
            <w:rtl w:val="0"/>
          </w:rPr>
          <w:t xml:space="preserve">https://www.osti.gov/biblio/2375486</w:t>
        </w:r>
      </w:hyperlink>
      <w:r>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‪Maria Schuld‬ - ‪Google Scholar‬, accessed March 30, 2026, </w:t>
      </w:r>
      <w:hyperlink r:id="rId44">
        <w:r>
          <w:rPr>
            <w:rFonts w:ascii="Google Sans" w:cs="Google Sans" w:eastAsia="Google Sans" w:hAnsi="Google Sans"/>
            <w:color w:val="0000ee"/>
            <w:sz w:val="24"/>
            <w:szCs w:val="24"/>
            <w:u w:val="single"/>
            <w:rtl w:val="0"/>
          </w:rPr>
          <w:t xml:space="preserve">https://scholar.google.com/citations?user=_ih_hwUAAAAJ&amp;hl=de</w:t>
        </w:r>
      </w:hyperlink>
      <w:r>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for finance, accessed March 30, 2026, </w:t>
      </w:r>
      <w:hyperlink r:id="rId45">
        <w:r>
          <w:rPr>
            <w:rFonts w:ascii="Google Sans" w:cs="Google Sans" w:eastAsia="Google Sans" w:hAnsi="Google Sans"/>
            <w:color w:val="0000ee"/>
            <w:sz w:val="24"/>
            <w:szCs w:val="24"/>
            <w:u w:val="single"/>
            <w:rtl w:val="0"/>
          </w:rPr>
          <w:t xml:space="preserve">https://cs795.cs.odu.edu/papers/QC_Finance.pdf</w:t>
        </w:r>
      </w:hyperlink>
      <w:r>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(PDF) Resource frugal optimizer for quantum machine learning - ResearchGate, accessed March 30, 2026, </w:t>
      </w:r>
      <w:hyperlink r:id="rId46">
        <w:r>
          <w:rPr>
            <w:rFonts w:ascii="Google Sans" w:cs="Google Sans" w:eastAsia="Google Sans" w:hAnsi="Google Sans"/>
            <w:color w:val="0000ee"/>
            <w:sz w:val="24"/>
            <w:szCs w:val="24"/>
            <w:u w:val="single"/>
            <w:rtl w:val="0"/>
          </w:rPr>
          <w:t xml:space="preserve">https://www.researchgate.net/publication/365264406_Resource_frugal_optimizer_for_quantum_machine_learning</w:t>
        </w:r>
      </w:hyperlink>
      <w:r>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Estimation of gradients and analysis of gradient-based optimizers for variational quantum algorithms - Universität zu Köln, accessed March 30, 2026, </w:t>
      </w:r>
      <w:hyperlink r:id="rId47">
        <w:r>
          <w:rPr>
            <w:rFonts w:ascii="Google Sans" w:cs="Google Sans" w:eastAsia="Google Sans" w:hAnsi="Google Sans"/>
            <w:color w:val="0000ee"/>
            <w:sz w:val="24"/>
            <w:szCs w:val="24"/>
            <w:u w:val="single"/>
            <w:rtl w:val="0"/>
          </w:rPr>
          <w:t xml:space="preserve">https://kups.ub.uni-koeln.de/71499/1/Dissertation_Wierichs_final.pdf</w:t>
        </w:r>
      </w:hyperlink>
      <w:r>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Constrained Portfolio Optimization via Quantum Approximate Optimization Algorithm (QAOA) with XY-Mixers and Trotterized Initialization: A Hybrid Approach for Direct Indexing - arXiv, accessed March 30, 2026, </w:t>
      </w:r>
      <w:hyperlink r:id="rId48">
        <w:r>
          <w:rPr>
            <w:rFonts w:ascii="Google Sans" w:cs="Google Sans" w:eastAsia="Google Sans" w:hAnsi="Google Sans"/>
            <w:color w:val="0000ee"/>
            <w:sz w:val="24"/>
            <w:szCs w:val="24"/>
            <w:u w:val="single"/>
            <w:rtl w:val="0"/>
          </w:rPr>
          <w:t xml:space="preserve">https://arxiv.org/html/2602.14827v1</w:t>
        </w:r>
      </w:hyperlink>
      <w:r>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Enhancing portfolio optimization solutions: wisely encoding constrained combinatorial optimization problems on quantum devices - GitHub, accessed March 30, 2026, </w:t>
      </w:r>
      <w:hyperlink r:id="rId49">
        <w:r>
          <w:rPr>
            <w:rFonts w:ascii="Google Sans" w:cs="Google Sans" w:eastAsia="Google Sans" w:hAnsi="Google Sans"/>
            <w:color w:val="0000ee"/>
            <w:sz w:val="24"/>
            <w:szCs w:val="24"/>
            <w:u w:val="single"/>
            <w:rtl w:val="0"/>
          </w:rPr>
          <w:t xml:space="preserve">https://github.com/alejomonbar/quantum-portfolio-optimization-encoding</w:t>
        </w:r>
      </w:hyperlink>
      <w:r>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Quantum-Assisted Optimal Rebalancing withUncorrelated Asset Selection for Algorithmic Trading Walk-Forward QUBO Scheduling via QAOA - arXiv, accessed March 30, 2026, </w:t>
      </w:r>
      <w:hyperlink r:id="rId50">
        <w:r>
          <w:rPr>
            <w:rFonts w:ascii="Google Sans" w:cs="Google Sans" w:eastAsia="Google Sans" w:hAnsi="Google Sans"/>
            <w:color w:val="0000ee"/>
            <w:sz w:val="24"/>
            <w:szCs w:val="24"/>
            <w:u w:val="single"/>
            <w:rtl w:val="0"/>
          </w:rPr>
          <w:t xml:space="preserve">https://arxiv.org/html/2603.16904v1</w:t>
        </w:r>
      </w:hyperlink>
      <w:r>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for multidimensional option pricing: End-to-end pipeline - arXiv, accessed March 30, 2026, </w:t>
      </w:r>
      <w:hyperlink r:id="rId51">
        <w:r>
          <w:rPr>
            <w:rFonts w:ascii="Google Sans" w:cs="Google Sans" w:eastAsia="Google Sans" w:hAnsi="Google Sans"/>
            <w:color w:val="0000ee"/>
            <w:sz w:val="24"/>
            <w:szCs w:val="24"/>
            <w:u w:val="single"/>
            <w:rtl w:val="0"/>
          </w:rPr>
          <w:t xml:space="preserve">https://arxiv.org/html/2601.04049v1</w:t>
        </w:r>
      </w:hyperlink>
      <w:r>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RESEARCH ARTICLE KrigHedge: Gaussian Process Surrogates for Delta Hedging, accessed March 30, 2026, </w:t>
      </w:r>
      <w:hyperlink r:id="rId52">
        <w:r>
          <w:rPr>
            <w:rFonts w:ascii="Google Sans" w:cs="Google Sans" w:eastAsia="Google Sans" w:hAnsi="Google Sans"/>
            <w:color w:val="0000ee"/>
            <w:sz w:val="24"/>
            <w:szCs w:val="24"/>
            <w:u w:val="single"/>
            <w:rtl w:val="0"/>
          </w:rPr>
          <w:t xml:space="preserve">https://par.nsf.gov/servlets/purl/10376636</w:t>
        </w:r>
      </w:hyperlink>
      <w:r>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Surrogate optimization of variational quantum circuits - PMC - NIH, accessed March 30, 2026, </w:t>
      </w:r>
      <w:hyperlink r:id="rId53">
        <w:r>
          <w:rPr>
            <w:rFonts w:ascii="Google Sans" w:cs="Google Sans" w:eastAsia="Google Sans" w:hAnsi="Google Sans"/>
            <w:color w:val="0000ee"/>
            <w:sz w:val="24"/>
            <w:szCs w:val="24"/>
            <w:u w:val="single"/>
            <w:rtl w:val="0"/>
          </w:rPr>
          <w:t xml:space="preserve">https://pmc.ncbi.nlm.nih.gov/articles/PMC12435291/</w:t>
        </w:r>
      </w:hyperlink>
      <w:r>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Approximating Option Greeks in a Classical and Multi-Curve Framework Using Artificial Neural Networks - MDPI, accessed March 30, 2026, </w:t>
      </w:r>
      <w:hyperlink r:id="rId54">
        <w:r>
          <w:rPr>
            <w:rFonts w:ascii="Google Sans" w:cs="Google Sans" w:eastAsia="Google Sans" w:hAnsi="Google Sans"/>
            <w:color w:val="0000ee"/>
            <w:sz w:val="24"/>
            <w:szCs w:val="24"/>
            <w:u w:val="single"/>
            <w:rtl w:val="0"/>
          </w:rPr>
          <w:t xml:space="preserve">https://www.mdpi.com/1911-8074/17/4/140</w:t>
        </w:r>
      </w:hyperlink>
      <w:r>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Sensitivity Analysis (Greeks) - LexiFi, accessed March 30, 2026, </w:t>
      </w:r>
      <w:hyperlink r:id="rId55">
        <w:r>
          <w:rPr>
            <w:rFonts w:ascii="Google Sans" w:cs="Google Sans" w:eastAsia="Google Sans" w:hAnsi="Google Sans"/>
            <w:color w:val="0000ee"/>
            <w:sz w:val="24"/>
            <w:szCs w:val="24"/>
            <w:u w:val="single"/>
            <w:rtl w:val="0"/>
          </w:rPr>
          <w:t xml:space="preserve">https://www.lexifi.com/features/greeks/</w:t>
        </w:r>
      </w:hyperlink>
      <w:r>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Towards Quantum Advantage in Financial Market Risk using Quantum Gradient Algorithms, accessed March 30, 2026, </w:t>
      </w:r>
      <w:hyperlink r:id="rId56">
        <w:r>
          <w:rPr>
            <w:rFonts w:ascii="Google Sans" w:cs="Google Sans" w:eastAsia="Google Sans" w:hAnsi="Google Sans"/>
            <w:color w:val="0000ee"/>
            <w:sz w:val="24"/>
            <w:szCs w:val="24"/>
            <w:u w:val="single"/>
            <w:rtl w:val="0"/>
          </w:rPr>
          <w:t xml:space="preserve">https://quantum-journal.org/papers/q-2022-07-20-770/</w:t>
        </w:r>
      </w:hyperlink>
      <w:r>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Algorithms for Anomaly Detection: a Review - arXiv, accessed March 30, 2026, </w:t>
      </w:r>
      <w:hyperlink r:id="rId57">
        <w:r>
          <w:rPr>
            <w:rFonts w:ascii="Google Sans" w:cs="Google Sans" w:eastAsia="Google Sans" w:hAnsi="Google Sans"/>
            <w:color w:val="0000ee"/>
            <w:sz w:val="24"/>
            <w:szCs w:val="24"/>
            <w:u w:val="single"/>
            <w:rtl w:val="0"/>
          </w:rPr>
          <w:t xml:space="preserve">https://arxiv.org/html/2408.11047v3</w:t>
        </w:r>
      </w:hyperlink>
      <w:r>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Antoine JACQUIER | Reader in Mathematics | PhD in Mathematics, Imperial College London | Imperial College London, London | Imperial | Department of Mathematics | Research profile - ResearchGate, accessed March 30, 2026, </w:t>
      </w:r>
      <w:hyperlink r:id="rId58">
        <w:r>
          <w:rPr>
            <w:rFonts w:ascii="Google Sans" w:cs="Google Sans" w:eastAsia="Google Sans" w:hAnsi="Google Sans"/>
            <w:color w:val="0000ee"/>
            <w:sz w:val="24"/>
            <w:szCs w:val="24"/>
            <w:u w:val="single"/>
            <w:rtl w:val="0"/>
          </w:rPr>
          <w:t xml:space="preserve">https://www.researchgate.net/profile/Antoine-Jacquier</w:t>
        </w:r>
      </w:hyperlink>
      <w:r>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Kernel Methods for Anomaly Detection in High-Velocity Data Streams - Medium, accessed March 30, 2026, </w:t>
      </w:r>
      <w:hyperlink r:id="rId59">
        <w:r>
          <w:rPr>
            <w:rFonts w:ascii="Google Sans" w:cs="Google Sans" w:eastAsia="Google Sans" w:hAnsi="Google Sans"/>
            <w:color w:val="0000ee"/>
            <w:sz w:val="24"/>
            <w:szCs w:val="24"/>
            <w:u w:val="single"/>
            <w:rtl w:val="0"/>
          </w:rPr>
          <w:t xml:space="preserve">https://medium.com/@ekaksh06/quantum-kernel-methods-for-anomaly-detection-in-high-velocity-data-streams-d42a4f1fd69a</w:t>
        </w:r>
      </w:hyperlink>
      <w:r>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for Phishing Detection: A Systematic Review of Current Techniques, Challenges, and Future Directions - MDPI, accessed March 30, 2026, </w:t>
      </w:r>
      <w:hyperlink r:id="rId60">
        <w:r>
          <w:rPr>
            <w:rFonts w:ascii="Google Sans" w:cs="Google Sans" w:eastAsia="Google Sans" w:hAnsi="Google Sans"/>
            <w:color w:val="0000ee"/>
            <w:sz w:val="24"/>
            <w:szCs w:val="24"/>
            <w:u w:val="single"/>
            <w:rtl w:val="0"/>
          </w:rPr>
          <w:t xml:space="preserve">https://www.mdpi.com/2504-4990/8/4/86</w:t>
        </w:r>
      </w:hyperlink>
      <w:r>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For Credit Risk: A Next-Generation Approach To Risk Assessment | Journal of International Crisis and Risk Communication Research - jicrcr, accessed March 30, 2026, </w:t>
      </w:r>
      <w:hyperlink r:id="rId61">
        <w:r>
          <w:rPr>
            <w:rFonts w:ascii="Google Sans" w:cs="Google Sans" w:eastAsia="Google Sans" w:hAnsi="Google Sans"/>
            <w:color w:val="0000ee"/>
            <w:sz w:val="24"/>
            <w:szCs w:val="24"/>
            <w:u w:val="single"/>
            <w:rtl w:val="0"/>
          </w:rPr>
          <w:t xml:space="preserve">https://jicrcr.com/index.php/jicrcr/article/view/3419</w:t>
        </w:r>
      </w:hyperlink>
      <w:r>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Machine Learning for Credit Scoring - MDPI, accessed March 30, 2026, </w:t>
      </w:r>
      <w:hyperlink r:id="rId62">
        <w:r>
          <w:rPr>
            <w:rFonts w:ascii="Google Sans" w:cs="Google Sans" w:eastAsia="Google Sans" w:hAnsi="Google Sans"/>
            <w:color w:val="0000ee"/>
            <w:sz w:val="24"/>
            <w:szCs w:val="24"/>
            <w:u w:val="single"/>
            <w:rtl w:val="0"/>
          </w:rPr>
          <w:t xml:space="preserve">https://www.mdpi.com/2227-7390/12/9/1391</w:t>
        </w:r>
      </w:hyperlink>
      <w:r>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Credit Default Prediction with Projected Quantum Feature Models and Ensembles - arXiv, accessed March 30, 2026, </w:t>
      </w:r>
      <w:hyperlink r:id="rId63">
        <w:r>
          <w:rPr>
            <w:rFonts w:ascii="Google Sans" w:cs="Google Sans" w:eastAsia="Google Sans" w:hAnsi="Google Sans"/>
            <w:color w:val="0000ee"/>
            <w:sz w:val="24"/>
            <w:szCs w:val="24"/>
            <w:u w:val="single"/>
            <w:rtl w:val="0"/>
          </w:rPr>
          <w:t xml:space="preserve">https://arxiv.org/html/2510.01129v1</w:t>
        </w:r>
      </w:hyperlink>
      <w:r>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Powered Credit Risk Assessment: A Novel Approach using hybrid Quantum-Classical Deep Neural Network for Row-Type Dependent Predictive Analysis - arXiv, accessed March 30, 2026, </w:t>
      </w:r>
      <w:hyperlink r:id="rId64">
        <w:r>
          <w:rPr>
            <w:rFonts w:ascii="Google Sans" w:cs="Google Sans" w:eastAsia="Google Sans" w:hAnsi="Google Sans"/>
            <w:color w:val="0000ee"/>
            <w:sz w:val="24"/>
            <w:szCs w:val="24"/>
            <w:u w:val="single"/>
            <w:rtl w:val="0"/>
          </w:rPr>
          <w:t xml:space="preserve">https://arxiv.org/html/2502.07806v1</w:t>
        </w:r>
      </w:hyperlink>
      <w:r>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Cloud based QC with Amazon Braket - ResearchGate, accessed March 30, 2026, </w:t>
      </w:r>
      <w:hyperlink r:id="rId65">
        <w:r>
          <w:rPr>
            <w:rFonts w:ascii="Google Sans" w:cs="Google Sans" w:eastAsia="Google Sans" w:hAnsi="Google Sans"/>
            <w:color w:val="0000ee"/>
            <w:sz w:val="24"/>
            <w:szCs w:val="24"/>
            <w:u w:val="single"/>
            <w:rtl w:val="0"/>
          </w:rPr>
          <w:t xml:space="preserve">https://www.researchgate.net/publication/349910574_Cloud_based_QC_with_Amazon_Braket</w:t>
        </w:r>
      </w:hyperlink>
      <w:r>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Solving quantum linear systems on hardware for portfolio optimization, accessed March 30, 2026, </w:t>
      </w:r>
      <w:hyperlink r:id="rId66">
        <w:r>
          <w:rPr>
            <w:rFonts w:ascii="Google Sans" w:cs="Google Sans" w:eastAsia="Google Sans" w:hAnsi="Google Sans"/>
            <w:color w:val="0000ee"/>
            <w:sz w:val="24"/>
            <w:szCs w:val="24"/>
            <w:u w:val="single"/>
            <w:rtl w:val="0"/>
          </w:rPr>
          <w:t xml:space="preserve">https://www.jpmorganchase.com/about/technology/blog/quantum-linear-systems-for-portfolio-optimization</w:t>
        </w:r>
      </w:hyperlink>
      <w:r>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Quantum Computing in Finance: Regulatory Readiness, Legal Gaps, and the Future of Secure Tech Innovation | European Journal of Risk Regulation, accessed March 30, 2026, </w:t>
      </w:r>
      <w:hyperlink r:id="rId67">
        <w:r>
          <w:rPr>
            <w:rFonts w:ascii="Google Sans" w:cs="Google Sans" w:eastAsia="Google Sans" w:hAnsi="Google Sans"/>
            <w:color w:val="0000ee"/>
            <w:sz w:val="24"/>
            <w:szCs w:val="24"/>
            <w:u w:val="single"/>
            <w:rtl w:val="0"/>
          </w:rPr>
          <w:t xml:space="preserve">https://www.cambridge.org/core/journals/european-journal-of-risk-regulation/article/quantum-computing-in-finance-regulatory-readiness-legal-gaps-and-the-future-of-secure-tech-innovation/D6653FF47A68A2CEA51FC1035F186E3B</w:t>
        </w:r>
      </w:hyperlink>
      <w:r>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The Bank of England's approach to innovation in artificial intelligence, distributed ledger technology, and quantum computing, accessed March 30, 2026, </w:t>
      </w:r>
      <w:hyperlink r:id="rId68">
        <w:r>
          <w:rPr>
            <w:rFonts w:ascii="Google Sans" w:cs="Google Sans" w:eastAsia="Google Sans" w:hAnsi="Google Sans"/>
            <w:color w:val="0000ee"/>
            <w:sz w:val="24"/>
            <w:szCs w:val="24"/>
            <w:u w:val="single"/>
            <w:rtl w:val="0"/>
          </w:rPr>
          <w:t xml:space="preserve">https://www.bankofengland.co.uk/report/2025/the-boes-approach-to-innovation-in-ai-dlt-quantum-computing</w:t>
        </w:r>
      </w:hyperlink>
      <w:r>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A Technical Review of Quantum Computing Use Cases for Finance and Economics - MDPI, accessed March 30, 2026, </w:t>
      </w:r>
      <w:hyperlink r:id="rId69">
        <w:r>
          <w:rPr>
            <w:rFonts w:ascii="Google Sans" w:cs="Google Sans" w:eastAsia="Google Sans" w:hAnsi="Google Sans"/>
            <w:color w:val="0000ee"/>
            <w:sz w:val="24"/>
            <w:szCs w:val="24"/>
            <w:u w:val="single"/>
            <w:rtl w:val="0"/>
          </w:rPr>
          <w:t xml:space="preserve">https://www.mdpi.com/2624-960x/8/1/26</w:t>
        </w:r>
      </w:hyperlink>
      <w:r>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ey-mrm-ai-ml.pdf, accessed March 30, 2026, </w:t>
      </w:r>
      <w:hyperlink r:id="rId70">
        <w:r>
          <w:rPr>
            <w:rFonts w:ascii="Google Sans" w:cs="Google Sans" w:eastAsia="Google Sans" w:hAnsi="Google Sans"/>
            <w:color w:val="0000ee"/>
            <w:sz w:val="24"/>
            <w:szCs w:val="24"/>
            <w:u w:val="single"/>
            <w:rtl w:val="0"/>
          </w:rPr>
          <w:t xml:space="preserve">https://www.ey.com/content/dam/ey-unified-site/ey-com/en-us/insights/banking-capital-markets/documents/ey-mrm-ai-ml.pdf</w:t>
        </w:r>
      </w:hyperlink>
      <w:r>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Model Risk Management of AI and Machine Learning Systems - PwC UK, accessed March 30, 2026, </w:t>
      </w:r>
      <w:hyperlink r:id="rId71">
        <w:r>
          <w:rPr>
            <w:rFonts w:ascii="Google Sans" w:cs="Google Sans" w:eastAsia="Google Sans" w:hAnsi="Google Sans"/>
            <w:color w:val="0000ee"/>
            <w:sz w:val="24"/>
            <w:szCs w:val="24"/>
            <w:u w:val="single"/>
            <w:rtl w:val="0"/>
          </w:rPr>
          <w:t xml:space="preserve">https://www.pwc.co.uk/data-analytics/documents/model-risk-management-of-ai-machine-learning-systems.pdf</w:t>
        </w:r>
      </w:hyperlink>
      <w:r>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The AI Benchmark: The Most Important Clause You've Never Used (Part 2) | JD Supra, accessed March 30, 2026, </w:t>
      </w:r>
      <w:hyperlink r:id="rId72">
        <w:r>
          <w:rPr>
            <w:rFonts w:ascii="Google Sans" w:cs="Google Sans" w:eastAsia="Google Sans" w:hAnsi="Google Sans"/>
            <w:color w:val="0000ee"/>
            <w:sz w:val="24"/>
            <w:szCs w:val="24"/>
            <w:u w:val="single"/>
            <w:rtl w:val="0"/>
          </w:rPr>
          <w:t xml:space="preserve">https://www.jdsupra.com/legalnews/the-ai-benchmark-the-most-important-6282587/</w:t>
        </w:r>
      </w:hyperlink>
      <w:r>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Top AI &amp; ML Trends in 2026: What's Shaping Innovation - TestingXperts, accessed March 30, 2026, </w:t>
      </w:r>
      <w:hyperlink r:id="rId73">
        <w:r>
          <w:rPr>
            <w:rFonts w:ascii="Google Sans" w:cs="Google Sans" w:eastAsia="Google Sans" w:hAnsi="Google Sans"/>
            <w:color w:val="0000ee"/>
            <w:sz w:val="24"/>
            <w:szCs w:val="24"/>
            <w:u w:val="single"/>
            <w:rtl w:val="0"/>
          </w:rPr>
          <w:t xml:space="preserve">https://www.testingxperts.com/blog/AI-ML-trends/gb-en</w:t>
        </w:r>
      </w:hyperlink>
      <w:r>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Quality Engineering vs Software Engineering: How QA Engineers Are Becoming the New SWE in 2025 - Virtuoso QA, accessed March 30, 2026, </w:t>
      </w:r>
      <w:hyperlink r:id="rId74">
        <w:r>
          <w:rPr>
            <w:rFonts w:ascii="Google Sans" w:cs="Google Sans" w:eastAsia="Google Sans" w:hAnsi="Google Sans"/>
            <w:color w:val="0000ee"/>
            <w:sz w:val="24"/>
            <w:szCs w:val="24"/>
            <w:u w:val="single"/>
            <w:rtl w:val="0"/>
          </w:rPr>
          <w:t xml:space="preserve">https://www.virtuosoqa.com/post/quality-engineering-vs-software-engineering</w:t>
        </w:r>
      </w:hyperlink>
      <w:r>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Pr>
          <w:rFonts w:ascii="Google Sans" w:cs="Google Sans" w:eastAsia="Google Sans" w:hAnsi="Google Sans"/>
          <w:sz w:val="24"/>
          <w:szCs w:val="24"/>
          <w:rtl w:val="0"/>
        </w:rPr>
        <w:t xml:space="preserve">Department of Defense Cyber Developmental Test and Evaluation Guidebook, accessed March 30, 2026, </w:t>
      </w:r>
      <w:hyperlink r:id="rId75">
        <w:r>
          <w:rPr>
            <w:rFonts w:ascii="Google Sans" w:cs="Google Sans" w:eastAsia="Google Sans" w:hAnsi="Google Sans"/>
            <w:color w:val="0000ee"/>
            <w:sz w:val="24"/>
            <w:szCs w:val="24"/>
            <w:u w:val="single"/>
            <w:rtl w:val="0"/>
          </w:rPr>
          <w:t xml:space="preserve">https://www.cto.mil/wp-content/uploads/2025/07/Cyber-DTE-Guidebook-V3-June2025.pdf</w:t>
        </w:r>
      </w:hyperlink>
      <w:r>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Relationships xmlns="http://schemas.openxmlformats.org/package/2006/relationships"><Relationship Id="rId40" Type="http://schemas.openxmlformats.org/officeDocument/2006/relationships/hyperlink" Target="https://gganbumarketplace.com/pytorch/variational-quantum-circuits-vqcs-machine-learning-convexity-optimization-with-pytorch/" TargetMode="External"/><Relationship Id="rId42" Type="http://schemas.openxmlformats.org/officeDocument/2006/relationships/hyperlink" Target="https://wjaets.com/sites/default/files/fulltext_pdf/WJAETS-2025-0694.pdf" TargetMode="External"/><Relationship Id="rId41" Type="http://schemas.openxmlformats.org/officeDocument/2006/relationships/hyperlink" Target="https://www.cybersecurity.blog.aisec.fraunhofer.de/en/anomaly-detection-with-quantum-machine-learning-identifying-cybersecurity-issues-in-datasets/" TargetMode="External"/><Relationship Id="rId44" Type="http://schemas.openxmlformats.org/officeDocument/2006/relationships/hyperlink" Target="https://scholar.google.com/citations?user=_ih_hwUAAAAJ&amp;hl=de" TargetMode="External"/><Relationship Id="rId43" Type="http://schemas.openxmlformats.org/officeDocument/2006/relationships/hyperlink" Target="https://www.osti.gov/biblio/2375486" TargetMode="External"/><Relationship Id="rId46" Type="http://schemas.openxmlformats.org/officeDocument/2006/relationships/hyperlink" Target="https://www.researchgate.net/publication/365264406_Resource_frugal_optimizer_for_quantum_machine_learning" TargetMode="External"/><Relationship Id="rId45" Type="http://schemas.openxmlformats.org/officeDocument/2006/relationships/hyperlink" Target="https://cs795.cs.odu.edu/papers/QC_Financ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arxiv.org/html/2602.14827v1" TargetMode="External"/><Relationship Id="rId47" Type="http://schemas.openxmlformats.org/officeDocument/2006/relationships/hyperlink" Target="https://kups.ub.uni-koeln.de/71499/1/Dissertation_Wierichs_final.pdf" TargetMode="External"/><Relationship Id="rId49" Type="http://schemas.openxmlformats.org/officeDocument/2006/relationships/hyperlink" Target="https://github.com/alejomonbar/quantum-portfolio-optimization-encod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www.testingxperts.com/blog/AI-ML-trends/gb-en" TargetMode="External"/><Relationship Id="rId72" Type="http://schemas.openxmlformats.org/officeDocument/2006/relationships/hyperlink" Target="https://www.jdsupra.com/legalnews/the-ai-benchmark-the-most-important-6282587/" TargetMode="External"/><Relationship Id="rId31" Type="http://schemas.openxmlformats.org/officeDocument/2006/relationships/hyperlink" Target="https://www.researchgate.net/publication/382915018_QADQN_Quantum_Attention_Deep_Q-Network_for_Financial_Market_Prediction" TargetMode="External"/><Relationship Id="rId75" Type="http://schemas.openxmlformats.org/officeDocument/2006/relationships/hyperlink" Target="https://www.cto.mil/wp-content/uploads/2025/07/Cyber-DTE-Guidebook-V3-June2025.pdf" TargetMode="External"/><Relationship Id="rId30" Type="http://schemas.openxmlformats.org/officeDocument/2006/relationships/hyperlink" Target="https://arxiv.org/html/2502.01730v1" TargetMode="External"/><Relationship Id="rId74" Type="http://schemas.openxmlformats.org/officeDocument/2006/relationships/hyperlink" Target="https://www.virtuosoqa.com/post/quality-engineering-vs-software-engineering" TargetMode="External"/><Relationship Id="rId33" Type="http://schemas.openxmlformats.org/officeDocument/2006/relationships/hyperlink" Target="https://www.ibm.com/quantum/blog/vanguard-portfolio-optimization" TargetMode="External"/><Relationship Id="rId32" Type="http://schemas.openxmlformats.org/officeDocument/2006/relationships/hyperlink" Target="https://quantum-journal.org/papers/q-2024-03-14-1287/" TargetMode="External"/><Relationship Id="rId35" Type="http://schemas.openxmlformats.org/officeDocument/2006/relationships/hyperlink" Target="https://quantum-journal.org/papers/q-2019-12-09-214/" TargetMode="External"/><Relationship Id="rId34" Type="http://schemas.openxmlformats.org/officeDocument/2006/relationships/hyperlink" Target="https://iris.unipv.it/retrieve/6765820d-bcec-4290-9ddb-ad77e09d3060/Mangini%20%3F%20Final%20Thesis.pdf" TargetMode="External"/><Relationship Id="rId71" Type="http://schemas.openxmlformats.org/officeDocument/2006/relationships/hyperlink" Target="https://www.pwc.co.uk/data-analytics/documents/model-risk-management-of-ai-machine-learning-systems.pdf" TargetMode="External"/><Relationship Id="rId70" Type="http://schemas.openxmlformats.org/officeDocument/2006/relationships/hyperlink" Target="https://www.ey.com/content/dam/ey-unified-site/ey-com/en-us/insights/banking-capital-markets/documents/ey-mrm-ai-ml.pdf" TargetMode="External"/><Relationship Id="rId37" Type="http://schemas.openxmlformats.org/officeDocument/2006/relationships/hyperlink" Target="https://arxiv.org/html/2403.07059v1" TargetMode="External"/><Relationship Id="rId36" Type="http://schemas.openxmlformats.org/officeDocument/2006/relationships/hyperlink" Target="https://pennylane.ai/qml/demos/tutorial_expressivity_fourier_series" TargetMode="External"/><Relationship Id="rId39" Type="http://schemas.openxmlformats.org/officeDocument/2006/relationships/hyperlink" Target="https://www.meegle.com/en_us/topics/overfitting/overfitting-in-quantum-computing" TargetMode="External"/><Relationship Id="rId38" Type="http://schemas.openxmlformats.org/officeDocument/2006/relationships/hyperlink" Target="https://arxiv.org/abs/2510.19494" TargetMode="External"/><Relationship Id="rId62" Type="http://schemas.openxmlformats.org/officeDocument/2006/relationships/hyperlink" Target="https://www.mdpi.com/2227-7390/12/9/1391" TargetMode="External"/><Relationship Id="rId61" Type="http://schemas.openxmlformats.org/officeDocument/2006/relationships/hyperlink" Target="https://jicrcr.com/index.php/jicrcr/article/view/3419" TargetMode="External"/><Relationship Id="rId20" Type="http://schemas.openxmlformats.org/officeDocument/2006/relationships/hyperlink" Target="https://quantum-journal.org/papers/q-2022-03-30-677/" TargetMode="External"/><Relationship Id="rId64" Type="http://schemas.openxmlformats.org/officeDocument/2006/relationships/hyperlink" Target="https://arxiv.org/html/2502.07806v1" TargetMode="External"/><Relationship Id="rId63" Type="http://schemas.openxmlformats.org/officeDocument/2006/relationships/hyperlink" Target="https://arxiv.org/html/2510.01129v1" TargetMode="External"/><Relationship Id="rId22" Type="http://schemas.openxmlformats.org/officeDocument/2006/relationships/hyperlink" Target="https://arxiv.org/html/2509.17876v1" TargetMode="External"/><Relationship Id="rId66" Type="http://schemas.openxmlformats.org/officeDocument/2006/relationships/hyperlink" Target="https://www.jpmorganchase.com/about/technology/blog/quantum-linear-systems-for-portfolio-optimization" TargetMode="External"/><Relationship Id="rId21" Type="http://schemas.openxmlformats.org/officeDocument/2006/relationships/hyperlink" Target="https://pmc.ncbi.nlm.nih.gov/articles/PMC11070419/" TargetMode="External"/><Relationship Id="rId65" Type="http://schemas.openxmlformats.org/officeDocument/2006/relationships/hyperlink" Target="https://www.researchgate.net/publication/349910574_Cloud_based_QC_with_Amazon_Braket" TargetMode="External"/><Relationship Id="rId24" Type="http://schemas.openxmlformats.org/officeDocument/2006/relationships/hyperlink" Target="https://lss.fnal.gov/archive/2023/pub/fermilab-pub-23-638-sqms.pdf" TargetMode="External"/><Relationship Id="rId68" Type="http://schemas.openxmlformats.org/officeDocument/2006/relationships/hyperlink" Target="https://www.bankofengland.co.uk/report/2025/the-boes-approach-to-innovation-in-ai-dlt-quantum-computing" TargetMode="External"/><Relationship Id="rId23" Type="http://schemas.openxmlformats.org/officeDocument/2006/relationships/hyperlink" Target="https://arxiv.org/html/2503.01884v1" TargetMode="External"/><Relationship Id="rId67" Type="http://schemas.openxmlformats.org/officeDocument/2006/relationships/hyperlink" Target="https://www.cambridge.org/core/journals/european-journal-of-risk-regulation/article/quantum-computing-in-finance-regulatory-readiness-legal-gaps-and-the-future-of-secure-tech-innovation/D6653FF47A68A2CEA51FC1035F186E3B" TargetMode="External"/><Relationship Id="rId60" Type="http://schemas.openxmlformats.org/officeDocument/2006/relationships/hyperlink" Target="https://www.mdpi.com/2504-4990/8/4/86" TargetMode="External"/><Relationship Id="rId26" Type="http://schemas.openxmlformats.org/officeDocument/2006/relationships/hyperlink" Target="https://pmc.ncbi.nlm.nih.gov/articles/PMC12378457/" TargetMode="External"/><Relationship Id="rId25" Type="http://schemas.openxmlformats.org/officeDocument/2006/relationships/hyperlink" Target="https://cyberriskinstitute.org/wp-content/uploads/2026/02/CRI-FS-AI-RMF-Guidebook_Full_v.1.0-1.docx" TargetMode="External"/><Relationship Id="rId69" Type="http://schemas.openxmlformats.org/officeDocument/2006/relationships/hyperlink" Target="https://www.mdpi.com/2624-960x/8/1/26" TargetMode="External"/><Relationship Id="rId28" Type="http://schemas.openxmlformats.org/officeDocument/2006/relationships/hyperlink" Target="https://quantum-journal.org/papers/q-2021-06-01-463/" TargetMode="External"/><Relationship Id="rId27" Type="http://schemas.openxmlformats.org/officeDocument/2006/relationships/hyperlink" Target="https://rpc.cfainstitute.org/sites/default/files/docs/support/rf_aiinassetmanagement_practitioner-briefs_09_quantumcomputingforfinance_online.pdf" TargetMode="External"/><Relationship Id="rId29" Type="http://schemas.openxmlformats.org/officeDocument/2006/relationships/hyperlink" Target="https://www.researchgate.net/profile/Maria-Schuld" TargetMode="External"/><Relationship Id="rId51" Type="http://schemas.openxmlformats.org/officeDocument/2006/relationships/hyperlink" Target="https://arxiv.org/html/2601.04049v1" TargetMode="External"/><Relationship Id="rId50" Type="http://schemas.openxmlformats.org/officeDocument/2006/relationships/hyperlink" Target="https://arxiv.org/html/2603.16904v1" TargetMode="External"/><Relationship Id="rId53" Type="http://schemas.openxmlformats.org/officeDocument/2006/relationships/hyperlink" Target="https://pmc.ncbi.nlm.nih.gov/articles/PMC12435291/" TargetMode="External"/><Relationship Id="rId52" Type="http://schemas.openxmlformats.org/officeDocument/2006/relationships/hyperlink" Target="https://par.nsf.gov/servlets/purl/10376636" TargetMode="External"/><Relationship Id="rId11" Type="http://schemas.openxmlformats.org/officeDocument/2006/relationships/image" Target="media/image7.png"/><Relationship Id="rId55" Type="http://schemas.openxmlformats.org/officeDocument/2006/relationships/hyperlink" Target="https://www.lexifi.com/features/greeks/" TargetMode="External"/><Relationship Id="rId10" Type="http://schemas.openxmlformats.org/officeDocument/2006/relationships/image" Target="media/image4.png"/><Relationship Id="rId54" Type="http://schemas.openxmlformats.org/officeDocument/2006/relationships/hyperlink" Target="https://www.mdpi.com/1911-8074/17/4/140" TargetMode="External"/><Relationship Id="rId13" Type="http://schemas.openxmlformats.org/officeDocument/2006/relationships/image" Target="media/image9.png"/><Relationship Id="rId57" Type="http://schemas.openxmlformats.org/officeDocument/2006/relationships/hyperlink" Target="https://arxiv.org/html/2408.11047v3" TargetMode="External"/><Relationship Id="rId12" Type="http://schemas.openxmlformats.org/officeDocument/2006/relationships/image" Target="media/image6.png"/><Relationship Id="rId56" Type="http://schemas.openxmlformats.org/officeDocument/2006/relationships/hyperlink" Target="https://quantum-journal.org/papers/q-2022-07-20-770/" TargetMode="External"/><Relationship Id="rId15" Type="http://schemas.openxmlformats.org/officeDocument/2006/relationships/hyperlink" Target="https://pmc.ncbi.nlm.nih.gov/articles/PMC10632408/" TargetMode="External"/><Relationship Id="rId59" Type="http://schemas.openxmlformats.org/officeDocument/2006/relationships/hyperlink" Target="https://medium.com/@ekaksh06/quantum-kernel-methods-for-anomaly-detection-in-high-velocity-data-streams-d42a4f1fd69a" TargetMode="External"/><Relationship Id="rId14" Type="http://schemas.openxmlformats.org/officeDocument/2006/relationships/image" Target="media/image8.png"/><Relationship Id="rId58" Type="http://schemas.openxmlformats.org/officeDocument/2006/relationships/hyperlink" Target="https://www.researchgate.net/profile/Antoine-Jacquier" TargetMode="External"/><Relationship Id="rId17" Type="http://schemas.openxmlformats.org/officeDocument/2006/relationships/hyperlink" Target="https://www.researchgate.net/publication/392890113_Simon's_Algorithm_in_the_NISQ_Cloud" TargetMode="External"/><Relationship Id="rId16" Type="http://schemas.openxmlformats.org/officeDocument/2006/relationships/hyperlink" Target="https://www.ndss-symposium.org/wp-content/uploads/2026-f1665-paper.pdf" TargetMode="External"/><Relationship Id="rId19" Type="http://schemas.openxmlformats.org/officeDocument/2006/relationships/hyperlink" Target="https://www.researchgate.net/publication/323904931_Quantum_Machine_Learning_in_Feature_Hilbert_Spaces" TargetMode="External"/><Relationship Id="rId18" Type="http://schemas.openxmlformats.org/officeDocument/2006/relationships/hyperlink" Target="https://arxiv.org/abs/2101.11020" TargetMode="Externa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