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6"/>
      </w:pPr>
      <w:r>
        <w:rPr>
          <w:b/>
          <w:bCs/>
          <w:color w:val="5C6670"/>
          <w:spacing w:val="60"/>
          <w:sz w:val="18"/>
          <w:szCs w:val="18"/>
        </w:rPr>
        <w:t xml:space="preserve">COMMAND DESK</w:t>
      </w:r>
    </w:p>
    <w:p>
      <w:pPr>
        <w:spacing w:after="90"/>
      </w:pPr>
      <w:r>
        <w:rPr>
          <w:b/>
          <w:bCs/>
          <w:color w:val="1A1D21"/>
          <w:sz w:val="42"/>
          <w:szCs w:val="42"/>
        </w:rPr>
        <w:t xml:space="preserve">Read me first</w:t>
      </w:r>
    </w:p>
    <w:p>
      <w:pPr>
        <w:spacing w:after="200" w:before="0"/>
      </w:pPr>
      <w:r>
        <w:rPr>
          <w:color w:val="5C6670"/>
          <w:sz w:val="22"/>
          <w:szCs w:val="22"/>
        </w:rPr>
        <w:t xml:space="preserve">Four documents. What each one is for, how they fit together, and the goal they exist to serve.</w:t>
      </w:r>
    </w:p>
    <w:p>
      <w:pPr>
        <w:pBdr>
          <w:bottom w:val="single" w:color="1A1D21" w:sz="12"/>
        </w:pBdr>
        <w:spacing w:after="220"/>
      </w:pPr>
      <w:r>
        <w:t xml:space="preserve"/>
      </w:r>
    </w:p>
    <w:p>
      <w:pPr>
        <w:pStyle w:val="Heading1"/>
        <w:spacing w:after="140" w:before="340"/>
      </w:pPr>
      <w:r>
        <w:rPr>
          <w:b/>
          <w:bCs/>
          <w:color w:val="1A1D21"/>
          <w:sz w:val="30"/>
          <w:szCs w:val="30"/>
        </w:rPr>
        <w:t xml:space="preserve">The goal</w:t>
      </w:r>
    </w:p>
    <w:p>
      <w:pPr>
        <w:spacing w:after="120" w:before="0"/>
      </w:pPr>
      <w:r>
        <w:rPr>
          <w:b/>
          <w:bCs/>
          <w:color w:val="1A1D21"/>
          <w:sz w:val="23"/>
          <w:szCs w:val="23"/>
        </w:rPr>
        <w:t xml:space="preserve">Establish a clear goal, and execute it to done. Done means proven, not claimed.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Everything in these four documents exists to make that chain hold end to end. Each link is a place the chain has broken before.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The goal is locked before any work starts. One goal, one owner. Hub holds it.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The work reaches exactly one worker. The router names it, or says it cannot tell.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The worker does the whole job and states what it did, with evidence.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Anything leaving the system passes one gate, behind your authorisation.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The result is measured against the locked goal, not against what arrived.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An independent check compares what was claimed against what the record shows.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Done is recorded when the record supports it. Not when a worker says so.</w:t>
      </w:r>
    </w:p>
    <w:p>
      <w:pPr>
        <w:pStyle w:val="Heading1"/>
        <w:spacing w:after="140" w:before="340"/>
      </w:pPr>
      <w:r>
        <w:rPr>
          <w:b/>
          <w:bCs/>
          <w:color w:val="1A1D21"/>
          <w:sz w:val="30"/>
          <w:szCs w:val="30"/>
        </w:rPr>
        <w:t xml:space="preserve">The four documents</w:t>
      </w:r>
    </w:p>
    <w:tbl>
      <w:tblPr>
        <w:tblW w:type="dxa" w:w="9000"/>
        <w:tblBorders>
          <w:top w:val="single" w:color="C8CDD4" w:sz="4"/>
          <w:left w:val="none"/>
          <w:bottom w:val="single" w:color="C8CDD4" w:sz="4"/>
          <w:right w:val="none"/>
          <w:insideH w:val="single" w:color="DCE0E6" w:sz="2"/>
          <w:insideV w:val="none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shd w:fill="EDEFF2" w:color="auto" w:val="clear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Document</w:t>
            </w:r>
          </w:p>
        </w:tc>
        <w:tc>
          <w:tcPr>
            <w:tcW w:type="dxa" w:w="6800"/>
            <w:shd w:fill="EDEFF2" w:color="auto" w:val="clear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What it is for</w:t>
            </w:r>
          </w:p>
        </w:tc>
      </w:tr>
      <w:tr>
        <w:tc>
          <w:tcPr>
            <w:tcW w:type="dxa" w:w="2200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A1D21"/>
                <w:sz w:val="19"/>
                <w:szCs w:val="19"/>
              </w:rPr>
              <w:t xml:space="preserve">01 Engineering Standard</w:t>
            </w:r>
          </w:p>
        </w:tc>
        <w:tc>
          <w:tcPr>
            <w:tcW w:type="dxa" w:w="6800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The architecture-level rules. Requirement language, the ten invariants, confidence, evidence, failure categories, evaluation order, output schema, governance. Everything else extends this and may not weaken it.</w:t>
            </w:r>
          </w:p>
        </w:tc>
      </w:tr>
      <w:tr>
        <w:tc>
          <w:tcPr>
            <w:tcW w:type="dxa" w:w="2200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A1D21"/>
                <w:sz w:val="19"/>
                <w:szCs w:val="19"/>
              </w:rPr>
              <w:t xml:space="preserve">02 Worker Roster</w:t>
            </w:r>
          </w:p>
        </w:tc>
        <w:tc>
          <w:tcPr>
            <w:tcW w:type="dxa" w:w="6800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Every model and what it does, plus the two maps. Read this first to understand the system.</w:t>
            </w:r>
          </w:p>
        </w:tc>
      </w:tr>
      <w:tr>
        <w:tc>
          <w:tcPr>
            <w:tcW w:type="dxa" w:w="2200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A1D21"/>
                <w:sz w:val="19"/>
                <w:szCs w:val="19"/>
              </w:rPr>
              <w:t xml:space="preserve">03 Rubrics</w:t>
            </w:r>
          </w:p>
        </w:tc>
        <w:tc>
          <w:tcPr>
            <w:tcW w:type="dxa" w:w="6800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What each worker MUST do, how compliance is verified, and how each failure is classified.</w:t>
            </w:r>
          </w:p>
        </w:tc>
      </w:tr>
      <w:tr>
        <w:tc>
          <w:tcPr>
            <w:tcW w:type="dxa" w:w="2200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A1D21"/>
                <w:sz w:val="19"/>
                <w:szCs w:val="19"/>
              </w:rPr>
              <w:t xml:space="preserve">04 Guardrails</w:t>
            </w:r>
          </w:p>
        </w:tc>
        <w:tc>
          <w:tcPr>
            <w:tcW w:type="dxa" w:w="6800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What actually holds each requirement — code, prompt, log, or an outstanding decision — and which invariants each worker engages.</w:t>
            </w:r>
          </w:p>
        </w:tc>
      </w:tr>
    </w:tbl>
    <w:p>
      <w:pPr>
        <w:pStyle w:val="Heading1"/>
        <w:spacing w:after="140" w:before="340"/>
      </w:pPr>
      <w:r>
        <w:rPr>
          <w:b/>
          <w:bCs/>
          <w:color w:val="1A1D21"/>
          <w:sz w:val="30"/>
          <w:szCs w:val="30"/>
        </w:rPr>
        <w:t xml:space="preserve">How they coincide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The four are one specification split by purpose, not four views of the same thing.</w:t>
      </w:r>
    </w:p>
    <w:p>
      <w:pPr>
        <w:pStyle w:val="ListParagraph"/>
        <w:numPr>
          <w:ilvl w:val="0"/>
          <w:numId w:val="3"/>
        </w:numPr>
        <w:spacing w:after="66"/>
      </w:pPr>
      <w:r>
        <w:rPr>
          <w:color w:val="1A1D21"/>
          <w:sz w:val="21"/>
          <w:szCs w:val="21"/>
        </w:rPr>
        <w:t xml:space="preserve">01 defines the vocabulary. MUST, MUST NOT, SHOULD and MAY are defined once, in 01, and used in 03.</w:t>
      </w:r>
    </w:p>
    <w:p>
      <w:pPr>
        <w:pStyle w:val="ListParagraph"/>
        <w:numPr>
          <w:ilvl w:val="0"/>
          <w:numId w:val="3"/>
        </w:numPr>
        <w:spacing w:after="66"/>
      </w:pPr>
      <w:r>
        <w:rPr>
          <w:color w:val="1A1D21"/>
          <w:sz w:val="21"/>
          <w:szCs w:val="21"/>
        </w:rPr>
        <w:t xml:space="preserve">01 defines the failure categories. 03 classifies every worker failure into A, B or C using those definitions.</w:t>
      </w:r>
    </w:p>
    <w:p>
      <w:pPr>
        <w:pStyle w:val="ListParagraph"/>
        <w:numPr>
          <w:ilvl w:val="0"/>
          <w:numId w:val="3"/>
        </w:numPr>
        <w:spacing w:after="66"/>
      </w:pPr>
      <w:r>
        <w:rPr>
          <w:color w:val="1A1D21"/>
          <w:sz w:val="21"/>
          <w:szCs w:val="21"/>
        </w:rPr>
        <w:t xml:space="preserve">01 defines the output schema. 02 states each worker’s output; where it differs, 03 records it as a declared override.</w:t>
      </w:r>
    </w:p>
    <w:p>
      <w:pPr>
        <w:pStyle w:val="ListParagraph"/>
        <w:numPr>
          <w:ilvl w:val="0"/>
          <w:numId w:val="3"/>
        </w:numPr>
        <w:spacing w:after="66"/>
      </w:pPr>
      <w:r>
        <w:rPr>
          <w:color w:val="1A1D21"/>
          <w:sz w:val="21"/>
          <w:szCs w:val="21"/>
        </w:rPr>
        <w:t xml:space="preserve">01 defines the guard markings. 04 applies them per requirement.</w:t>
      </w:r>
    </w:p>
    <w:p>
      <w:pPr>
        <w:pStyle w:val="ListParagraph"/>
        <w:numPr>
          <w:ilvl w:val="0"/>
          <w:numId w:val="3"/>
        </w:numPr>
        <w:spacing w:after="66"/>
      </w:pPr>
      <w:r>
        <w:rPr>
          <w:color w:val="1A1D21"/>
          <w:sz w:val="21"/>
          <w:szCs w:val="21"/>
        </w:rPr>
        <w:t xml:space="preserve">01 lists the invariants. 04 names which invariants each worker engages, so a violation can be classified as a system defect rather than a worker defect.</w:t>
      </w:r>
    </w:p>
    <w:p>
      <w:pPr>
        <w:spacing w:after="120" w:before="0"/>
      </w:pPr>
      <w:r>
        <w:rPr>
          <w:b/>
          <w:bCs/>
          <w:color w:val="1A1D21"/>
          <w:sz w:val="21"/>
          <w:szCs w:val="21"/>
        </w:rPr>
        <w:t xml:space="preserve">If a statement in 02, 03 or 04 contradicts 01, document 01 governs and the contradiction is a defect in the other document.</w:t>
      </w:r>
    </w:p>
    <w:p>
      <w:pPr>
        <w:pStyle w:val="Heading1"/>
        <w:spacing w:after="140" w:before="340"/>
      </w:pPr>
      <w:r>
        <w:rPr>
          <w:b/>
          <w:bCs/>
          <w:color w:val="1A1D21"/>
          <w:sz w:val="30"/>
          <w:szCs w:val="30"/>
        </w:rPr>
        <w:t xml:space="preserve">Reading order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02 — to see what exists and how it connects.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01 — to understand the rules that hold across all of it.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03 — to see what each worker is held to.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04 — to see what enforces it, and what is still outstanding.</w:t>
      </w:r>
    </w:p>
    <w:p>
      <w:pPr>
        <w:pStyle w:val="Heading1"/>
        <w:spacing w:after="140" w:before="340"/>
      </w:pPr>
      <w:r>
        <w:rPr>
          <w:b/>
          <w:bCs/>
          <w:color w:val="1A1D21"/>
          <w:sz w:val="30"/>
          <w:szCs w:val="30"/>
        </w:rPr>
        <w:t xml:space="preserve">What is not settled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One requirement cannot be enforced until a decision is made. It is marked DECIDE in document 04.</w:t>
      </w:r>
    </w:p>
    <w:tbl>
      <w:tblPr>
        <w:tblW w:type="dxa" w:w="9000"/>
        <w:tblBorders>
          <w:top w:val="single" w:color="C8CDD4" w:sz="4"/>
          <w:left w:val="none"/>
          <w:bottom w:val="single" w:color="C8CDD4" w:sz="4"/>
          <w:right w:val="none"/>
          <w:insideH w:val="single" w:color="DCE0E6" w:sz="2"/>
          <w:insideV w:val="none"/>
        </w:tblBorders>
      </w:tblPr>
      <w:tblGrid>
        <w:gridCol w:w="1900"/>
        <w:gridCol w:w="7100"/>
      </w:tblGrid>
      <w:tr>
        <w:trPr>
          <w:tblHeader/>
        </w:trPr>
        <w:tc>
          <w:tcPr>
            <w:tcW w:type="dxa" w:w="1900"/>
            <w:shd w:fill="EDEFF2" w:color="auto" w:val="clear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Worker</w:t>
            </w:r>
          </w:p>
        </w:tc>
        <w:tc>
          <w:tcPr>
            <w:tcW w:type="dxa" w:w="7100"/>
            <w:shd w:fill="EDEFF2" w:color="auto" w:val="clear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Decision required</w:t>
            </w:r>
          </w:p>
        </w:tc>
      </w:tr>
      <w:tr>
        <w:tc>
          <w:tcPr>
            <w:tcW w:type="dxa" w:w="1900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memory</w:t>
            </w:r>
          </w:p>
        </w:tc>
        <w:tc>
          <w:tcPr>
            <w:tcW w:type="dxa" w:w="7100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Ownership of recall overlaps consolidator. One owner must be named before activation.</w:t>
            </w:r>
          </w:p>
        </w:tc>
      </w:tr>
    </w:tbl>
    <w:p>
      <w:pPr>
        <w:pStyle w:val="Heading1"/>
        <w:spacing w:after="140" w:before="340"/>
      </w:pPr>
      <w:r>
        <w:rPr>
          <w:b/>
          <w:bCs/>
          <w:color w:val="1A1D21"/>
          <w:sz w:val="30"/>
          <w:szCs w:val="30"/>
        </w:rPr>
        <w:t xml:space="preserve">Status</w:t>
      </w:r>
    </w:p>
    <w:tbl>
      <w:tblPr>
        <w:tblW w:type="dxa" w:w="9000"/>
        <w:tblBorders>
          <w:top w:val="single" w:color="C8CDD4" w:sz="4"/>
          <w:left w:val="none"/>
          <w:bottom w:val="single" w:color="C8CDD4" w:sz="4"/>
          <w:right w:val="none"/>
          <w:insideH w:val="single" w:color="DCE0E6" w:sz="2"/>
          <w:insideV w:val="none"/>
        </w:tblBorders>
      </w:tblPr>
      <w:tblGrid>
        <w:gridCol w:w="1200"/>
        <w:gridCol w:w="1400"/>
        <w:gridCol w:w="6400"/>
      </w:tblGrid>
      <w:tr>
        <w:trPr>
          <w:tblHeader/>
        </w:trPr>
        <w:tc>
          <w:tcPr>
            <w:tcW w:type="dxa" w:w="1200"/>
            <w:shd w:fill="EDEFF2" w:color="auto" w:val="clear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Group</w:t>
            </w:r>
          </w:p>
        </w:tc>
        <w:tc>
          <w:tcPr>
            <w:tcW w:type="dxa" w:w="1400"/>
            <w:shd w:fill="EDEFF2" w:color="auto" w:val="clear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Workers</w:t>
            </w:r>
          </w:p>
        </w:tc>
        <w:tc>
          <w:tcPr>
            <w:tcW w:type="dxa" w:w="6400"/>
            <w:shd w:fill="EDEFF2" w:color="auto" w:val="clear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State</w:t>
            </w:r>
          </w:p>
        </w:tc>
      </w:tr>
      <w:tr>
        <w:tc>
          <w:tcPr>
            <w:tcW w:type="dxa" w:w="1200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A</w:t>
            </w:r>
          </w:p>
        </w:tc>
        <w:tc>
          <w:tcPr>
            <w:tcW w:type="dxa" w:w="1400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10</w:t>
            </w:r>
          </w:p>
        </w:tc>
        <w:tc>
          <w:tcPr>
            <w:tcW w:type="dxa" w:w="6400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Live and running.</w:t>
            </w:r>
          </w:p>
        </w:tc>
      </w:tr>
      <w:tr>
        <w:tc>
          <w:tcPr>
            <w:tcW w:type="dxa" w:w="1200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B</w:t>
            </w:r>
          </w:p>
        </w:tc>
        <w:tc>
          <w:tcPr>
            <w:tcW w:type="dxa" w:w="1400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2</w:t>
            </w:r>
          </w:p>
        </w:tc>
        <w:tc>
          <w:tcPr>
            <w:tcW w:type="dxa" w:w="6400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Prompts present on the box, absent from configuration.</w:t>
            </w:r>
          </w:p>
        </w:tc>
      </w:tr>
      <w:tr>
        <w:tc>
          <w:tcPr>
            <w:tcW w:type="dxa" w:w="1200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C</w:t>
            </w:r>
          </w:p>
        </w:tc>
        <w:tc>
          <w:tcPr>
            <w:tcW w:type="dxa" w:w="1400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2</w:t>
            </w:r>
          </w:p>
        </w:tc>
        <w:tc>
          <w:tcPr>
            <w:tcW w:type="dxa" w:w="6400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Specified, awaiting construction.</w:t>
            </w:r>
          </w:p>
        </w:tc>
      </w:tr>
    </w:tbl>
    <w:p>
      <w:pPr>
        <w:spacing w:after="120" w:before="120"/>
      </w:pPr>
      <w:r>
        <w:rPr>
          <w:color w:val="1A1D21"/>
          <w:sz w:val="21"/>
          <w:szCs w:val="21"/>
        </w:rPr>
        <w:t xml:space="preserve">builder and tester are the pair that bounce. Sealed together, adversarial by design, and the only workers that exchange context directly.</w:t>
      </w:r>
    </w:p>
    <w:p>
      <w:pPr>
        <w:spacing w:after="120" w:before="240"/>
      </w:pPr>
      <w:r>
        <w:rPr>
          <w:rFonts w:ascii="Consolas" w:cs="Consolas" w:eastAsia="Consolas" w:hAnsi="Consolas"/>
          <w:color w:val="5C6670"/>
          <w:sz w:val="16"/>
          <w:szCs w:val="16"/>
        </w:rPr>
        <w:t xml:space="preserve">Version 1.0  ·  3 August 2026</w:t>
      </w:r>
    </w:p>
    <w:sectPr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4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4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D2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2026-08-03T02:21:31.360Z</dcterms:created>
  <dcterms:modified xsi:type="dcterms:W3CDTF">2026-08-03T02:21:31.361Z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