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90"/>
      </w:pPr>
      <w:r>
        <w:rPr>
          <w:b/>
          <w:bCs/>
          <w:color w:val="1A1D21"/>
          <w:sz w:val="42"/>
          <w:szCs w:val="42"/>
        </w:rPr>
        <w:t xml:space="preserve">Engineering Standard</w:t>
      </w:r>
    </w:p>
    <w:p>
      <w:pPr>
        <w:spacing w:after="80" w:before="0"/>
      </w:pPr>
      <w:r>
        <w:rPr>
          <w:color w:val="5C6670"/>
          <w:sz w:val="22"/>
          <w:szCs w:val="22"/>
        </w:rPr>
        <w:t xml:space="preserve">The rules that hold across the whole architecture. Every worker document extends these and may not weaken or contradict them.</w:t>
      </w:r>
    </w:p>
    <w:p>
      <w:pPr>
        <w:spacing w:after="200" w:before="0"/>
      </w:pPr>
      <w:r>
        <w:rPr>
          <w:rFonts w:ascii="Consolas" w:cs="Consolas" w:eastAsia="Consolas" w:hAnsi="Consolas"/>
          <w:color w:val="5C6670"/>
          <w:sz w:val="16"/>
          <w:szCs w:val="16"/>
        </w:rPr>
        <w:t xml:space="preserve">Document 01  ·  version 1.0  ·  3 August 2026  ·  one of four</w:t>
      </w:r>
    </w:p>
    <w:p>
      <w:pPr>
        <w:pBdr>
          <w:bottom w:val="single" w:color="1A1D21" w:sz="12"/>
        </w:pBdr>
        <w:spacing w:after="220"/>
      </w:pPr>
      <w:r>
        <w:t xml:space="preserve"/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Requirement language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Term</w:t>
            </w:r>
          </w:p>
        </w:tc>
        <w:tc>
          <w:tcPr>
            <w:tcW w:type="dxa" w:w="72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Meaning</w:t>
            </w:r>
          </w:p>
        </w:tc>
      </w:tr>
      <w:tr>
        <w:tc>
          <w:tcPr>
            <w:tcW w:type="dxa" w:w="1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MUST</w:t>
            </w:r>
          </w:p>
        </w:tc>
        <w:tc>
          <w:tcPr>
            <w:tcW w:type="dxa" w:w="72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Mandatory. No exceptions.</w:t>
            </w:r>
          </w:p>
        </w:tc>
      </w:tr>
      <w:tr>
        <w:tc>
          <w:tcPr>
            <w:tcW w:type="dxa" w:w="1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MUST NOT</w:t>
            </w:r>
          </w:p>
        </w:tc>
        <w:tc>
          <w:tcPr>
            <w:tcW w:type="dxa" w:w="72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Prohibited.</w:t>
            </w:r>
          </w:p>
        </w:tc>
      </w:tr>
      <w:tr>
        <w:tc>
          <w:tcPr>
            <w:tcW w:type="dxa" w:w="1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SHOULD</w:t>
            </w:r>
          </w:p>
        </w:tc>
        <w:tc>
          <w:tcPr>
            <w:tcW w:type="dxa" w:w="72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Expected unless there is a documented reason otherwise.</w:t>
            </w:r>
          </w:p>
        </w:tc>
      </w:tr>
      <w:tr>
        <w:tc>
          <w:tcPr>
            <w:tcW w:type="dxa" w:w="1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MAY</w:t>
            </w:r>
          </w:p>
        </w:tc>
        <w:tc>
          <w:tcPr>
            <w:tcW w:type="dxa" w:w="72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Optional. Does not affect compliance.</w:t>
            </w:r>
          </w:p>
        </w:tc>
      </w:tr>
    </w:tbl>
    <w:p>
      <w:pPr>
        <w:spacing w:after="120" w:before="0"/>
      </w:pPr>
      <w:r>
        <w:rPr>
          <w:color w:val="1A1D21"/>
          <w:sz w:val="21"/>
          <w:szCs w:val="21"/>
        </w:rPr>
        <w:t xml:space="preserve">Every requirement in this specification set is expressed using one of the four terms above and no other. Hedged formulations are not permitted in a requirement statement.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System invariants</w:t>
      </w:r>
    </w:p>
    <w:p>
      <w:pPr>
        <w:spacing w:after="120" w:before="0"/>
      </w:pPr>
      <w:r>
        <w:rPr>
          <w:color w:val="5C6670"/>
          <w:sz w:val="21"/>
          <w:szCs w:val="21"/>
        </w:rPr>
        <w:t xml:space="preserve">These remain true regardless of implementation. Violation of an invariant is a system defect, not a worker defect.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request has one locked goal.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action has one responsible worker.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external effect passes through exactly one permission layer.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factual claim is supported by evidence or explicitly declared as uncertain.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Every worker returns through Hub.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Workers do not communicate directly unless explicitly defined as an isolated pair.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Auto-Fail conditions always override quality scoring.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Evidence always overrides confidence.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Scope may never expand without explicit authorisation.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Confidence standard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Level</w:t>
            </w:r>
          </w:p>
        </w:tc>
        <w:tc>
          <w:tcPr>
            <w:tcW w:type="dxa" w:w="74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Conditions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High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Verified by deterministic code or authoritative evidence. No conflicting evidence exists.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Medium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Supported by evidence. Minor uncertainty remains.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Low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Limited evidence. Multiple plausible interpretations. Additional information required.</w:t>
            </w:r>
          </w:p>
        </w:tc>
      </w:tr>
    </w:tbl>
    <w:p>
      <w:pPr>
        <w:spacing w:after="120" w:before="0"/>
      </w:pPr>
      <w:r>
        <w:rPr>
          <w:b/>
          <w:bCs/>
          <w:color w:val="1A1D21"/>
          <w:sz w:val="21"/>
          <w:szCs w:val="21"/>
        </w:rPr>
        <w:t xml:space="preserve">Confidence is never raised to improve presentation.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Evidence standard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Every factual assertion is traceable to one of the following. Where none exists, the claim is presented as uncertainty rather than fact.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Tool output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System records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Audit logs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Verified API responses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Deterministic code evaluation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1A1D21"/>
          <w:sz w:val="20"/>
          <w:szCs w:val="20"/>
        </w:rPr>
        <w:t xml:space="preserve">User-provided material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Failure classification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900"/>
        <w:gridCol w:w="2300"/>
        <w:gridCol w:w="4800"/>
      </w:tblGrid>
      <w:tr>
        <w:trPr>
          <w:tblHeader/>
        </w:trPr>
        <w:tc>
          <w:tcPr>
            <w:tcW w:type="dxa" w:w="19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Category</w:t>
            </w:r>
          </w:p>
        </w:tc>
        <w:tc>
          <w:tcPr>
            <w:tcW w:type="dxa" w:w="23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Handling</w:t>
            </w:r>
          </w:p>
        </w:tc>
        <w:tc>
          <w:tcPr>
            <w:tcW w:type="dxa" w:w="48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Covers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 — Auto-fail</w:t>
            </w:r>
          </w:p>
        </w:tc>
        <w:tc>
          <w:tcPr>
            <w:tcW w:type="dxa" w:w="23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Immediate rejection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Fabrication · scope expansion · permission violation · unsupported factual claims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B — Recoverable</w:t>
            </w:r>
          </w:p>
        </w:tc>
        <w:tc>
          <w:tcPr>
            <w:tcW w:type="dxa" w:w="23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Returned through the fix loop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Missing evidence · incorrect format · incomplete output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 — Advisory</w:t>
            </w:r>
          </w:p>
        </w:tc>
        <w:tc>
          <w:tcPr>
            <w:tcW w:type="dxa" w:w="23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Does not invalidate the result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Excessive verbosity · poor organisation · minor clarity issues</w:t>
            </w:r>
          </w:p>
        </w:tc>
      </w:tr>
    </w:tbl>
    <w:p>
      <w:pPr>
        <w:spacing w:after="120" w:before="0"/>
      </w:pPr>
      <w:r>
        <w:rPr>
          <w:color w:val="1A1D21"/>
          <w:sz w:val="21"/>
          <w:szCs w:val="21"/>
        </w:rPr>
        <w:t xml:space="preserve">A Category B failure returns to the worker with the failed condition named, for a maximum of two attempts, then escalates. A third attempt produces a better-worded wrong answer, not a correct one.</w:t>
      </w:r>
    </w:p>
    <w:p>
      <w:pPr>
        <w:spacing w:after="120" w:before="0"/>
      </w:pPr>
      <w:r>
        <w:rPr>
          <w:b/>
          <w:bCs/>
          <w:color w:val="1A1D21"/>
          <w:sz w:val="21"/>
          <w:szCs w:val="21"/>
        </w:rPr>
        <w:t xml:space="preserve">A declared partial is a pass. Where declaring a gap were treated as concealing one, workers would conceal.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Evaluation framework</w:t>
      </w:r>
    </w:p>
    <w:p>
      <w:pPr>
        <w:spacing w:after="120" w:before="0"/>
      </w:pPr>
      <w:r>
        <w:rPr>
          <w:color w:val="5C6670"/>
          <w:sz w:val="21"/>
          <w:szCs w:val="21"/>
        </w:rPr>
        <w:t xml:space="preserve">The order is fixed and is not altered. Nothing is evaluated on quality that should have been rejected on principle.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Permission validation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Auto-Fail detection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Goal alignment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Rubric compliance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Output contract validation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Evidence verification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1"/>
          <w:szCs w:val="21"/>
        </w:rPr>
        <w:t xml:space="preserve">Final acceptance</w:t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Unless explicitly overridden in a worker specification, every worker returns the following. No additional field is returned unless that worker declares it.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Field</w:t>
            </w:r>
          </w:p>
        </w:tc>
        <w:tc>
          <w:tcPr>
            <w:tcW w:type="dxa" w:w="71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Meaning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Status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Completed, blocked, refused, or partial.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Result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work itself.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Evidence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identifier, tool output or record supporting it.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Confidence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High, medium or low, per the confidence standard.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Next state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Where the session proceeds from here.</w:t>
            </w:r>
          </w:p>
        </w:tc>
      </w:tr>
    </w:tbl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Guard classification</w:t>
      </w:r>
    </w:p>
    <w:p>
      <w:pPr>
        <w:spacing w:after="120" w:before="0"/>
      </w:pPr>
      <w:r>
        <w:rPr>
          <w:color w:val="5C6670"/>
          <w:sz w:val="21"/>
          <w:szCs w:val="21"/>
        </w:rPr>
        <w:t xml:space="preserve">Document 04 marks every guard with what holds it.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Marking</w:t>
            </w:r>
          </w:p>
        </w:tc>
        <w:tc>
          <w:tcPr>
            <w:tcW w:type="dxa" w:w="74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Meaning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CODE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 named component refuses. Worker cooperation is not required.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PROMPT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instruction carries it.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LOG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Recorded as it occurs, so the pattern is visible afterwards.</w:t>
            </w:r>
          </w:p>
        </w:tc>
      </w:tr>
      <w:tr>
        <w:tc>
          <w:tcPr>
            <w:tcW w:type="dxa" w:w="1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DECIDE</w:t>
            </w:r>
          </w:p>
        </w:tc>
        <w:tc>
          <w:tcPr>
            <w:tcW w:type="dxa" w:w="7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Outstanding. The requirement cannot be enforced until the stated decision is made.</w:t>
            </w:r>
          </w:p>
        </w:tc>
      </w:tr>
    </w:tbl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Specification governance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This set is version-controlled. No behavioural change is introduced without updating it.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Field</w:t>
            </w:r>
          </w:p>
        </w:tc>
        <w:tc>
          <w:tcPr>
            <w:tcW w:type="dxa" w:w="70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Value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Version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Revision date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3 August 2026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Documents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01 Engineering Standard · 02 Worker Roster · 03 Rubrics · 04 Guardrails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Summary of changes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First issue.</w:t>
            </w:r>
          </w:p>
        </w:tc>
      </w:tr>
      <w:tr>
        <w:tc>
          <w:tcPr>
            <w:tcW w:type="dxa" w:w="2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Compatibility impact</w:t>
            </w:r>
          </w:p>
        </w:tc>
        <w:tc>
          <w:tcPr>
            <w:tcW w:type="dxa" w:w="70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No behavioural change to any live worker. Requirements restate existing behaviour in normative form.</w:t>
            </w:r>
          </w:p>
        </w:tc>
      </w:tr>
    </w:tbl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34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↺"/>
      <w:lvlJc w:val="left"/>
      <w:pPr>
        <w:ind w:left="34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2026-08-03T02:21:30.811Z</dcterms:created>
  <dcterms:modified xsi:type="dcterms:W3CDTF">2026-08-03T02:21:30.811Z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