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4E79"/>
          <w:sz w:val="36"/>
          <w:szCs w:val="36"/>
        </w:rPr>
        <w:t xml:space="preserve">ArsipOnto Competency Questions</w:t>
      </w:r>
    </w:p>
    <w:p>
      <w:pPr>
        <w:spacing w:after="120"/>
        <w:jc w:val="center"/>
      </w:pPr>
      <w:r>
        <w:rPr>
          <w:rFonts w:ascii="Arial" w:cs="Arial" w:eastAsia="Arial" w:hAnsi="Arial"/>
          <w:i/>
          <w:iCs/>
          <w:sz w:val="22"/>
          <w:szCs w:val="22"/>
        </w:rPr>
        <w:t xml:space="preserve">Ontology Validation through Domain-Specific Queries</w:t>
      </w:r>
    </w:p>
    <w:p>
      <w:pPr>
        <w:spacing w:after="480"/>
        <w:jc w:val="center"/>
      </w:pPr>
      <w:r>
        <w:rPr>
          <w:rFonts w:ascii="Arial" w:cs="Arial" w:eastAsia="Arial" w:hAnsi="Arial"/>
          <w:i/>
          <w:iCs/>
          <w:color w:val="606060"/>
          <w:sz w:val="18"/>
          <w:szCs w:val="18"/>
        </w:rPr>
        <w:t xml:space="preserve">Untariyati et al. — Supplementary Material to JDSA Submission</w:t>
      </w:r>
    </w:p>
    <w:p>
      <w:pPr>
        <w:spacing w:after="240" w:before="480"/>
      </w:pPr>
      <w:r>
        <w:rPr>
          <w:rFonts w:ascii="Arial" w:cs="Arial" w:eastAsia="Arial" w:hAnsi="Arial"/>
          <w:b/>
          <w:bCs/>
          <w:color w:val="1F4E79"/>
          <w:sz w:val="32"/>
          <w:szCs w:val="32"/>
        </w:rPr>
        <w:t xml:space="preserve">1. Introduction</w:t>
      </w:r>
    </w:p>
    <w:p>
      <w:pPr>
        <w:spacing w:after="200" w:line="300"/>
        <w:jc w:val="both"/>
      </w:pPr>
      <w:r>
        <w:rPr>
          <w:rFonts w:ascii="Arial" w:cs="Arial" w:eastAsia="Arial" w:hAnsi="Arial"/>
          <w:sz w:val="22"/>
          <w:szCs w:val="22"/>
        </w:rPr>
        <w:t xml:space="preserve">This document presents 20 competency questions (CQs) used to validate the ArsipOnto ontology developed for representing Indonesian government regulatory archives. Following the methodology of Uschold and Gruninger (1996) and the OntoClean approach, competency questions specify the kinds of queries an ontology must be able to answer, serving as functional requirements that drive ontology development and validation.</w:t>
      </w:r>
    </w:p>
    <w:p>
      <w:pPr>
        <w:spacing w:after="200" w:line="300"/>
        <w:jc w:val="both"/>
      </w:pPr>
      <w:r>
        <w:rPr>
          <w:rFonts w:ascii="Arial" w:cs="Arial" w:eastAsia="Arial" w:hAnsi="Arial"/>
          <w:sz w:val="22"/>
          <w:szCs w:val="22"/>
        </w:rPr>
        <w:t xml:space="preserve">The 20 CQs cover six categories: (i) basic factual queries about regulations and institutions, (ii) temporal queries about effective dates and validity periods, (iii) supersession-chain queries tracing regulatory amendments, (iv) taxonomy queries about regulatory categories, (v) institutional structure queries about issuing bodies, and (vi) complex multi-hop queries that combine multiple relations. Each CQ is presented with its natural-language formulation, the corresponding SPARQL query against ArsipKG-Auto, and the expected answer based on the 614-document corpus.</w:t>
      </w:r>
    </w:p>
    <w:p>
      <w:pPr>
        <w:spacing w:after="240" w:before="480"/>
      </w:pPr>
      <w:r>
        <w:rPr>
          <w:rFonts w:ascii="Arial" w:cs="Arial" w:eastAsia="Arial" w:hAnsi="Arial"/>
          <w:b/>
          <w:bCs/>
          <w:color w:val="1F4E79"/>
          <w:sz w:val="32"/>
          <w:szCs w:val="32"/>
        </w:rPr>
        <w:t xml:space="preserve">2. Basic Factual Queries</w:t>
      </w:r>
    </w:p>
    <w:p>
      <w:pPr>
        <w:spacing w:after="120" w:before="240"/>
      </w:pPr>
      <w:r>
        <w:rPr>
          <w:rFonts w:ascii="Arial" w:cs="Arial" w:eastAsia="Arial" w:hAnsi="Arial"/>
          <w:b/>
          <w:bCs/>
          <w:sz w:val="22"/>
          <w:szCs w:val="22"/>
        </w:rPr>
        <w:t xml:space="preserve">CQ1. Which institution issued regulation X?</w:t>
      </w:r>
    </w:p>
    <w:p>
      <w:pPr>
        <w:spacing w:after="200" w:line="300"/>
        <w:jc w:val="both"/>
      </w:pPr>
      <w:r>
        <w:rPr>
          <w:rFonts w:ascii="Arial" w:cs="Arial" w:eastAsia="Arial" w:hAnsi="Arial"/>
          <w:sz w:val="22"/>
          <w:szCs w:val="22"/>
        </w:rPr>
        <w:t xml:space="preserve">Natural language: Find the issuing institution of a specific regulation identified by its number and year.</w:t>
      </w:r>
    </w:p>
    <w:p>
      <w:pPr>
        <w:shd w:fill="F3F4F6" w:val="clear"/>
        <w:spacing w:after="0" w:line="280"/>
        <w:ind w:left="360"/>
      </w:pPr>
      <w:r>
        <w:rPr>
          <w:rFonts w:ascii="Consolas" w:cs="Consolas" w:eastAsia="Consolas" w:hAnsi="Consolas"/>
          <w:color w:val="1F2937"/>
          <w:sz w:val="18"/>
          <w:szCs w:val="18"/>
        </w:rPr>
        <w:t xml:space="preserve">PREFIX arsip: &lt;https://w3id.org/arsipkg/ontology/v1#&gt;</w:t>
      </w:r>
    </w:p>
    <w:p>
      <w:pPr>
        <w:shd w:fill="F3F4F6" w:val="clear"/>
        <w:spacing w:after="0" w:line="280"/>
        <w:ind w:left="360"/>
      </w:pPr>
      <w:r>
        <w:rPr>
          <w:rFonts w:ascii="Consolas" w:cs="Consolas" w:eastAsia="Consolas" w:hAnsi="Consolas"/>
          <w:color w:val="1F2937"/>
          <w:sz w:val="18"/>
          <w:szCs w:val="18"/>
        </w:rPr>
        <w:t xml:space="preserve"> </w:t>
      </w:r>
    </w:p>
    <w:p>
      <w:pPr>
        <w:shd w:fill="F3F4F6" w:val="clear"/>
        <w:spacing w:after="0" w:line="280"/>
        <w:ind w:left="360"/>
      </w:pPr>
      <w:r>
        <w:rPr>
          <w:rFonts w:ascii="Consolas" w:cs="Consolas" w:eastAsia="Consolas" w:hAnsi="Consolas"/>
          <w:color w:val="1F2937"/>
          <w:sz w:val="18"/>
          <w:szCs w:val="18"/>
        </w:rPr>
        <w:t xml:space="preserve">SELECT ?lembaga ?namaLembaga</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arsip:nomorPeraturan "12/2020" .</w:t>
      </w:r>
    </w:p>
    <w:p>
      <w:pPr>
        <w:shd w:fill="F3F4F6" w:val="clear"/>
        <w:spacing w:after="0" w:line="280"/>
        <w:ind w:left="360"/>
      </w:pPr>
      <w:r>
        <w:rPr>
          <w:rFonts w:ascii="Consolas" w:cs="Consolas" w:eastAsia="Consolas" w:hAnsi="Consolas"/>
          <w:color w:val="1F2937"/>
          <w:sz w:val="18"/>
          <w:szCs w:val="18"/>
        </w:rPr>
        <w:t xml:space="preserve">  ?peraturan arsip:diterbitkanOleh ?lembaga .</w:t>
      </w:r>
    </w:p>
    <w:p>
      <w:pPr>
        <w:shd w:fill="F3F4F6" w:val="clear"/>
        <w:spacing w:after="0" w:line="280"/>
        <w:ind w:left="360"/>
      </w:pPr>
      <w:r>
        <w:rPr>
          <w:rFonts w:ascii="Consolas" w:cs="Consolas" w:eastAsia="Consolas" w:hAnsi="Consolas"/>
          <w:color w:val="1F2937"/>
          <w:sz w:val="18"/>
          <w:szCs w:val="18"/>
        </w:rPr>
        <w:t xml:space="preserve">  ?lembaga arsip:namaLembaga ?namaLembaga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 single Lembaga entity, e.g., 'KEMENTERIAN KESEHATAN' for regulation 12/2020.</w:t>
      </w:r>
    </w:p>
    <w:p>
      <w:pPr>
        <w:spacing w:after="120" w:before="240"/>
      </w:pPr>
      <w:r>
        <w:rPr>
          <w:rFonts w:ascii="Arial" w:cs="Arial" w:eastAsia="Arial" w:hAnsi="Arial"/>
          <w:b/>
          <w:bCs/>
          <w:sz w:val="22"/>
          <w:szCs w:val="22"/>
        </w:rPr>
        <w:t xml:space="preserve">CQ2. What is the title (tentang) of regulation X?</w:t>
      </w:r>
    </w:p>
    <w:p>
      <w:pPr>
        <w:shd w:fill="F3F4F6" w:val="clear"/>
        <w:spacing w:after="0" w:line="280"/>
        <w:ind w:left="360"/>
      </w:pPr>
      <w:r>
        <w:rPr>
          <w:rFonts w:ascii="Consolas" w:cs="Consolas" w:eastAsia="Consolas" w:hAnsi="Consolas"/>
          <w:color w:val="1F2937"/>
          <w:sz w:val="18"/>
          <w:szCs w:val="18"/>
        </w:rPr>
        <w:t xml:space="preserve">SELECT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arsip:nomorPeraturan "12/2020" .</w:t>
      </w:r>
    </w:p>
    <w:p>
      <w:pPr>
        <w:shd w:fill="F3F4F6" w:val="clear"/>
        <w:spacing w:after="0" w:line="280"/>
        <w:ind w:left="360"/>
      </w:pPr>
      <w:r>
        <w:rPr>
          <w:rFonts w:ascii="Consolas" w:cs="Consolas" w:eastAsia="Consolas" w:hAnsi="Consolas"/>
          <w:color w:val="1F2937"/>
          <w:sz w:val="18"/>
          <w:szCs w:val="18"/>
        </w:rPr>
        <w:t xml:space="preserve">  ?peraturan arsip:tentang ?tentang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 free-text string, e.g., 'Jadwal Retensi Arsip Substantif di Lingkungan Kementerian Kesehatan'.</w:t>
      </w:r>
    </w:p>
    <w:p>
      <w:pPr>
        <w:spacing w:after="120" w:before="240"/>
      </w:pPr>
      <w:r>
        <w:rPr>
          <w:rFonts w:ascii="Arial" w:cs="Arial" w:eastAsia="Arial" w:hAnsi="Arial"/>
          <w:b/>
          <w:bCs/>
          <w:sz w:val="22"/>
          <w:szCs w:val="22"/>
        </w:rPr>
        <w:t xml:space="preserve">CQ3. How many regulations does Institution Y have?</w:t>
      </w:r>
    </w:p>
    <w:p>
      <w:pPr>
        <w:spacing w:after="200" w:line="300"/>
        <w:jc w:val="both"/>
      </w:pPr>
      <w:r>
        <w:rPr>
          <w:rFonts w:ascii="Arial" w:cs="Arial" w:eastAsia="Arial" w:hAnsi="Arial"/>
          <w:sz w:val="22"/>
          <w:szCs w:val="22"/>
        </w:rPr>
        <w:t xml:space="preserve">Natural language: Count the regulations issued by a given institution.</w:t>
      </w:r>
    </w:p>
    <w:p>
      <w:pPr>
        <w:shd w:fill="F3F4F6" w:val="clear"/>
        <w:spacing w:after="0" w:line="280"/>
        <w:ind w:left="360"/>
      </w:pPr>
      <w:r>
        <w:rPr>
          <w:rFonts w:ascii="Consolas" w:cs="Consolas" w:eastAsia="Consolas" w:hAnsi="Consolas"/>
          <w:color w:val="1F2937"/>
          <w:sz w:val="18"/>
          <w:szCs w:val="18"/>
        </w:rPr>
        <w:t xml:space="preserve">SELECT (COUNT(?peraturan) AS ?jumlah)</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?lembaga arsip:namaLembaga "ARSIP NASIONAL REPUBLIK INDONESIA" .</w:t>
      </w:r>
    </w:p>
    <w:p>
      <w:pPr>
        <w:shd w:fill="F3F4F6" w:val="clear"/>
        <w:spacing w:after="0" w:line="280"/>
        <w:ind w:left="360"/>
      </w:pPr>
      <w:r>
        <w:rPr>
          <w:rFonts w:ascii="Consolas" w:cs="Consolas" w:eastAsia="Consolas" w:hAnsi="Consolas"/>
          <w:color w:val="1F2937"/>
          <w:sz w:val="18"/>
          <w:szCs w:val="18"/>
        </w:rPr>
        <w:t xml:space="preserve">  ?lembaga arsip:menerbitkan ?peraturan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An integer count. For ANRI, the expected answer is approximately 47 regulations in the corpus.</w:t>
      </w:r>
    </w:p>
    <w:p>
      <w:pPr>
        <w:spacing w:after="240" w:before="480"/>
      </w:pPr>
      <w:r>
        <w:rPr>
          <w:rFonts w:ascii="Arial" w:cs="Arial" w:eastAsia="Arial" w:hAnsi="Arial"/>
          <w:b/>
          <w:bCs/>
          <w:color w:val="1F4E79"/>
          <w:sz w:val="32"/>
          <w:szCs w:val="32"/>
        </w:rPr>
        <w:t xml:space="preserve">3. Temporal Queries</w:t>
      </w:r>
    </w:p>
    <w:p>
      <w:pPr>
        <w:spacing w:after="120" w:before="240"/>
      </w:pPr>
      <w:r>
        <w:rPr>
          <w:rFonts w:ascii="Arial" w:cs="Arial" w:eastAsia="Arial" w:hAnsi="Arial"/>
          <w:b/>
          <w:bCs/>
          <w:sz w:val="22"/>
          <w:szCs w:val="22"/>
        </w:rPr>
        <w:t xml:space="preserve">CQ4. When did regulation X take effect?</w:t>
      </w:r>
    </w:p>
    <w:p>
      <w:pPr>
        <w:shd w:fill="F3F4F6" w:val="clear"/>
        <w:spacing w:after="0" w:line="280"/>
        <w:ind w:left="360"/>
      </w:pPr>
      <w:r>
        <w:rPr>
          <w:rFonts w:ascii="Consolas" w:cs="Consolas" w:eastAsia="Consolas" w:hAnsi="Consolas"/>
          <w:color w:val="1F2937"/>
          <w:sz w:val="18"/>
          <w:szCs w:val="18"/>
        </w:rPr>
        <w:t xml:space="preserve">SELECT ?tanggalEfektif</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arsip:nomorPeraturan "12/2020" .</w:t>
      </w:r>
    </w:p>
    <w:p>
      <w:pPr>
        <w:shd w:fill="F3F4F6" w:val="clear"/>
        <w:spacing w:after="0" w:line="280"/>
        <w:ind w:left="360"/>
      </w:pPr>
      <w:r>
        <w:rPr>
          <w:rFonts w:ascii="Consolas" w:cs="Consolas" w:eastAsia="Consolas" w:hAnsi="Consolas"/>
          <w:color w:val="1F2937"/>
          <w:sz w:val="18"/>
          <w:szCs w:val="18"/>
        </w:rPr>
        <w:t xml:space="preserve">  ?peraturan arsip:berlakuPada ?tanggal .</w:t>
      </w:r>
    </w:p>
    <w:p>
      <w:pPr>
        <w:shd w:fill="F3F4F6" w:val="clear"/>
        <w:spacing w:after="0" w:line="280"/>
        <w:ind w:left="360"/>
      </w:pPr>
      <w:r>
        <w:rPr>
          <w:rFonts w:ascii="Consolas" w:cs="Consolas" w:eastAsia="Consolas" w:hAnsi="Consolas"/>
          <w:color w:val="1F2937"/>
          <w:sz w:val="18"/>
          <w:szCs w:val="18"/>
        </w:rPr>
        <w:t xml:space="preserve">  ?tanggal arsip:tanggalISO ?tanggalEfektif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An ISO 8601 date, e.g., '2020-03-15'.</w:t>
      </w:r>
    </w:p>
    <w:p>
      <w:pPr>
        <w:spacing w:after="120" w:before="240"/>
      </w:pPr>
      <w:r>
        <w:rPr>
          <w:rFonts w:ascii="Arial" w:cs="Arial" w:eastAsia="Arial" w:hAnsi="Arial"/>
          <w:b/>
          <w:bCs/>
          <w:sz w:val="22"/>
          <w:szCs w:val="22"/>
        </w:rPr>
        <w:t xml:space="preserve">CQ5. Which regulations were issued in year Y?</w:t>
      </w:r>
    </w:p>
    <w:p>
      <w:pPr>
        <w:shd w:fill="F3F4F6" w:val="clear"/>
        <w:spacing w:after="0" w:line="280"/>
        <w:ind w:left="360"/>
      </w:pPr>
      <w:r>
        <w:rPr>
          <w:rFonts w:ascii="Consolas" w:cs="Consolas" w:eastAsia="Consolas" w:hAnsi="Consolas"/>
          <w:color w:val="1F2937"/>
          <w:sz w:val="18"/>
          <w:szCs w:val="18"/>
        </w:rPr>
        <w:t xml:space="preserve">SELECT ?peraturan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arsip:tahunDitetapkan "2023"^^xsd:gYear .</w:t>
      </w:r>
    </w:p>
    <w:p>
      <w:pPr>
        <w:shd w:fill="F3F4F6" w:val="clear"/>
        <w:spacing w:after="0" w:line="280"/>
        <w:ind w:left="360"/>
      </w:pPr>
      <w:r>
        <w:rPr>
          <w:rFonts w:ascii="Consolas" w:cs="Consolas" w:eastAsia="Consolas" w:hAnsi="Consolas"/>
          <w:color w:val="1F2937"/>
          <w:sz w:val="18"/>
          <w:szCs w:val="18"/>
        </w:rPr>
        <w:t xml:space="preserve">  ?peraturan arsip:tentang ?tentang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200" w:line="280"/>
        <w:ind w:left="360"/>
      </w:pPr>
      <w:r>
        <w:rPr>
          <w:rFonts w:ascii="Consolas" w:cs="Consolas" w:eastAsia="Consolas" w:hAnsi="Consolas"/>
          <w:color w:val="1F2937"/>
          <w:sz w:val="18"/>
          <w:szCs w:val="18"/>
        </w:rPr>
        <w:t xml:space="preserve">ORDER BY ?tentang</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 list of regulations issued in the specified year (typically 20-50 results per year in the 1990s-2020s range).</w:t>
      </w:r>
    </w:p>
    <w:p>
      <w:pPr>
        <w:spacing w:after="120" w:before="240"/>
      </w:pPr>
      <w:r>
        <w:rPr>
          <w:rFonts w:ascii="Arial" w:cs="Arial" w:eastAsia="Arial" w:hAnsi="Arial"/>
          <w:b/>
          <w:bCs/>
          <w:sz w:val="22"/>
          <w:szCs w:val="22"/>
        </w:rPr>
        <w:t xml:space="preserve">CQ6. Which regulations are currently active (status = aktif)?</w:t>
      </w:r>
    </w:p>
    <w:p>
      <w:pPr>
        <w:shd w:fill="F3F4F6" w:val="clear"/>
        <w:spacing w:after="0" w:line="280"/>
        <w:ind w:left="360"/>
      </w:pPr>
      <w:r>
        <w:rPr>
          <w:rFonts w:ascii="Consolas" w:cs="Consolas" w:eastAsia="Consolas" w:hAnsi="Consolas"/>
          <w:color w:val="1F2937"/>
          <w:sz w:val="18"/>
          <w:szCs w:val="18"/>
        </w:rPr>
        <w:t xml:space="preserve">SELECT (COUNT(?p) AS ?jumlahAktif)</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 arsip:PeraturanAktif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Integer count. Expected: 565 active regulations (out of 614 total).</w:t>
      </w:r>
    </w:p>
    <w:p>
      <w:r>
        <w:br w:type="page"/>
      </w:r>
    </w:p>
    <w:p>
      <w:pPr>
        <w:spacing w:after="240" w:before="480"/>
      </w:pPr>
      <w:r>
        <w:rPr>
          <w:rFonts w:ascii="Arial" w:cs="Arial" w:eastAsia="Arial" w:hAnsi="Arial"/>
          <w:b/>
          <w:bCs/>
          <w:color w:val="1F4E79"/>
          <w:sz w:val="32"/>
          <w:szCs w:val="32"/>
        </w:rPr>
        <w:t xml:space="preserve">4. Supersession-Chain Queries</w:t>
      </w:r>
    </w:p>
    <w:p>
      <w:pPr>
        <w:spacing w:after="120" w:before="240"/>
      </w:pPr>
      <w:r>
        <w:rPr>
          <w:rFonts w:ascii="Arial" w:cs="Arial" w:eastAsia="Arial" w:hAnsi="Arial"/>
          <w:b/>
          <w:bCs/>
          <w:sz w:val="22"/>
          <w:szCs w:val="22"/>
        </w:rPr>
        <w:t xml:space="preserve">CQ7. Which regulations does regulation X supersede?</w:t>
      </w:r>
    </w:p>
    <w:p>
      <w:pPr>
        <w:shd w:fill="F3F4F6" w:val="clear"/>
        <w:spacing w:after="0" w:line="280"/>
        <w:ind w:left="360"/>
      </w:pPr>
      <w:r>
        <w:rPr>
          <w:rFonts w:ascii="Consolas" w:cs="Consolas" w:eastAsia="Consolas" w:hAnsi="Consolas"/>
          <w:color w:val="1F2937"/>
          <w:sz w:val="18"/>
          <w:szCs w:val="18"/>
        </w:rPr>
        <w:t xml:space="preserve">SELECT ?digantikan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arsip:nomorPeraturan "39/2019" .</w:t>
      </w:r>
    </w:p>
    <w:p>
      <w:pPr>
        <w:shd w:fill="F3F4F6" w:val="clear"/>
        <w:spacing w:after="0" w:line="280"/>
        <w:ind w:left="360"/>
      </w:pPr>
      <w:r>
        <w:rPr>
          <w:rFonts w:ascii="Consolas" w:cs="Consolas" w:eastAsia="Consolas" w:hAnsi="Consolas"/>
          <w:color w:val="1F2937"/>
          <w:sz w:val="18"/>
          <w:szCs w:val="18"/>
        </w:rPr>
        <w:t xml:space="preserve">  ?peraturan arsip:menggantikan ?digantikan .</w:t>
      </w:r>
    </w:p>
    <w:p>
      <w:pPr>
        <w:shd w:fill="F3F4F6" w:val="clear"/>
        <w:spacing w:after="0" w:line="280"/>
        <w:ind w:left="360"/>
      </w:pPr>
      <w:r>
        <w:rPr>
          <w:rFonts w:ascii="Consolas" w:cs="Consolas" w:eastAsia="Consolas" w:hAnsi="Consolas"/>
          <w:color w:val="1F2937"/>
          <w:sz w:val="18"/>
          <w:szCs w:val="18"/>
        </w:rPr>
        <w:t xml:space="preserve">  ?digantikan arsip:tentang ?tentang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Zero or more regulations (typically 1-2) that the queried regulation has fully revoked.</w:t>
      </w:r>
    </w:p>
    <w:p>
      <w:pPr>
        <w:spacing w:after="120" w:before="240"/>
      </w:pPr>
      <w:r>
        <w:rPr>
          <w:rFonts w:ascii="Arial" w:cs="Arial" w:eastAsia="Arial" w:hAnsi="Arial"/>
          <w:b/>
          <w:bCs/>
          <w:sz w:val="22"/>
          <w:szCs w:val="22"/>
        </w:rPr>
        <w:t xml:space="preserve">CQ8. What is the full supersession chain of regulation X? (transitive)</w:t>
      </w:r>
    </w:p>
    <w:p>
      <w:pPr>
        <w:spacing w:after="200" w:line="300"/>
        <w:jc w:val="both"/>
      </w:pPr>
      <w:r>
        <w:rPr>
          <w:rFonts w:ascii="Arial" w:cs="Arial" w:eastAsia="Arial" w:hAnsi="Arial"/>
          <w:sz w:val="22"/>
          <w:szCs w:val="22"/>
        </w:rPr>
        <w:t xml:space="preserve">Natural language: Trace the entire chain of supersessions, leveraging the transitive property of menggantikan.</w:t>
      </w:r>
    </w:p>
    <w:p>
      <w:pPr>
        <w:shd w:fill="F3F4F6" w:val="clear"/>
        <w:spacing w:after="0" w:line="280"/>
        <w:ind w:left="360"/>
      </w:pPr>
      <w:r>
        <w:rPr>
          <w:rFonts w:ascii="Consolas" w:cs="Consolas" w:eastAsia="Consolas" w:hAnsi="Consolas"/>
          <w:color w:val="1F2937"/>
          <w:sz w:val="18"/>
          <w:szCs w:val="18"/>
        </w:rPr>
        <w:t xml:space="preserve">SELECT ?digantikan</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?peraturan arsip:nomorPeraturan "39/2019" .</w:t>
      </w:r>
    </w:p>
    <w:p>
      <w:pPr>
        <w:shd w:fill="F3F4F6" w:val="clear"/>
        <w:spacing w:after="0" w:line="280"/>
        <w:ind w:left="360"/>
      </w:pPr>
      <w:r>
        <w:rPr>
          <w:rFonts w:ascii="Consolas" w:cs="Consolas" w:eastAsia="Consolas" w:hAnsi="Consolas"/>
          <w:color w:val="1F2937"/>
          <w:sz w:val="18"/>
          <w:szCs w:val="18"/>
        </w:rPr>
        <w:t xml:space="preserve">  ?peraturan arsip:menggantikan+ ?digantikan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All regulations in the supersession chain, including indirect supersessions. The '+' operator triggers transitive reasoning, returning ancestors up to N levels deep.</w:t>
      </w:r>
    </w:p>
    <w:p>
      <w:pPr>
        <w:spacing w:after="120" w:before="240"/>
      </w:pPr>
      <w:r>
        <w:rPr>
          <w:rFonts w:ascii="Arial" w:cs="Arial" w:eastAsia="Arial" w:hAnsi="Arial"/>
          <w:b/>
          <w:bCs/>
          <w:sz w:val="22"/>
          <w:szCs w:val="22"/>
        </w:rPr>
        <w:t xml:space="preserve">CQ9. Which regulations partially amend regulation Y?</w:t>
      </w:r>
    </w:p>
    <w:p>
      <w:pPr>
        <w:shd w:fill="F3F4F6" w:val="clear"/>
        <w:spacing w:after="0" w:line="280"/>
        <w:ind w:left="360"/>
      </w:pPr>
      <w:r>
        <w:rPr>
          <w:rFonts w:ascii="Consolas" w:cs="Consolas" w:eastAsia="Consolas" w:hAnsi="Consolas"/>
          <w:color w:val="1F2937"/>
          <w:sz w:val="18"/>
          <w:szCs w:val="18"/>
        </w:rPr>
        <w:t xml:space="preserve">SELECT ?p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?yang_diamandemen arsip:nomorPeraturan "5/2015" .</w:t>
      </w:r>
    </w:p>
    <w:p>
      <w:pPr>
        <w:shd w:fill="F3F4F6" w:val="clear"/>
        <w:spacing w:after="0" w:line="280"/>
        <w:ind w:left="360"/>
      </w:pPr>
      <w:r>
        <w:rPr>
          <w:rFonts w:ascii="Consolas" w:cs="Consolas" w:eastAsia="Consolas" w:hAnsi="Consolas"/>
          <w:color w:val="1F2937"/>
          <w:sz w:val="18"/>
          <w:szCs w:val="18"/>
        </w:rPr>
        <w:t xml:space="preserve">  ?p arsip:menggantikan_sebagian ?yang_diamandemen .</w:t>
      </w:r>
    </w:p>
    <w:p>
      <w:pPr>
        <w:shd w:fill="F3F4F6" w:val="clear"/>
        <w:spacing w:after="0" w:line="280"/>
        <w:ind w:left="360"/>
      </w:pPr>
      <w:r>
        <w:rPr>
          <w:rFonts w:ascii="Consolas" w:cs="Consolas" w:eastAsia="Consolas" w:hAnsi="Consolas"/>
          <w:color w:val="1F2937"/>
          <w:sz w:val="18"/>
          <w:szCs w:val="18"/>
        </w:rPr>
        <w:t xml:space="preserve">  ?p arsip:tentang ?tentang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Zero or more regulations that partially modify regulation 5/2015 (typically 0-3 amendments).</w:t>
      </w:r>
    </w:p>
    <w:p>
      <w:pPr>
        <w:spacing w:after="120" w:before="240"/>
      </w:pPr>
      <w:r>
        <w:rPr>
          <w:rFonts w:ascii="Arial" w:cs="Arial" w:eastAsia="Arial" w:hAnsi="Arial"/>
          <w:b/>
          <w:bCs/>
          <w:sz w:val="22"/>
          <w:szCs w:val="22"/>
        </w:rPr>
        <w:t xml:space="preserve">CQ10. Which regulations have NO subsequent supersessions (i.e., still current)?</w:t>
      </w:r>
    </w:p>
    <w:p>
      <w:pPr>
        <w:shd w:fill="F3F4F6" w:val="clear"/>
        <w:spacing w:after="0" w:line="280"/>
        <w:ind w:left="360"/>
      </w:pPr>
      <w:r>
        <w:rPr>
          <w:rFonts w:ascii="Consolas" w:cs="Consolas" w:eastAsia="Consolas" w:hAnsi="Consolas"/>
          <w:color w:val="1F2937"/>
          <w:sz w:val="18"/>
          <w:szCs w:val="18"/>
        </w:rPr>
        <w:t xml:space="preserve">SELECT ?p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 arsip:Peraturan .</w:t>
      </w:r>
    </w:p>
    <w:p>
      <w:pPr>
        <w:shd w:fill="F3F4F6" w:val="clear"/>
        <w:spacing w:after="0" w:line="280"/>
        <w:ind w:left="360"/>
      </w:pPr>
      <w:r>
        <w:rPr>
          <w:rFonts w:ascii="Consolas" w:cs="Consolas" w:eastAsia="Consolas" w:hAnsi="Consolas"/>
          <w:color w:val="1F2937"/>
          <w:sz w:val="18"/>
          <w:szCs w:val="18"/>
        </w:rPr>
        <w:t xml:space="preserve">  ?p arsip:tentang ?tentang .</w:t>
      </w:r>
    </w:p>
    <w:p>
      <w:pPr>
        <w:shd w:fill="F3F4F6" w:val="clear"/>
        <w:spacing w:after="0" w:line="280"/>
        <w:ind w:left="360"/>
      </w:pPr>
      <w:r>
        <w:rPr>
          <w:rFonts w:ascii="Consolas" w:cs="Consolas" w:eastAsia="Consolas" w:hAnsi="Consolas"/>
          <w:color w:val="1F2937"/>
          <w:sz w:val="18"/>
          <w:szCs w:val="18"/>
        </w:rPr>
        <w:t xml:space="preserve">  FILTER NOT EXISTS { ?lain arsip:menggantikan ?p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200" w:line="280"/>
        <w:ind w:left="360"/>
      </w:pPr>
      <w:r>
        <w:rPr>
          <w:rFonts w:ascii="Consolas" w:cs="Consolas" w:eastAsia="Consolas" w:hAnsi="Consolas"/>
          <w:color w:val="1F2937"/>
          <w:sz w:val="18"/>
          <w:szCs w:val="18"/>
        </w:rPr>
        <w:t xml:space="preserve">LIMIT 100</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Regulations that have not been superseded by any subsequent regulation. Expected: approximately 525 regulations (614 total minus 49 superseded minus a small number of intermediate nodes in supersession chains).</w:t>
      </w:r>
    </w:p>
    <w:p>
      <w:pPr>
        <w:spacing w:after="240" w:before="480"/>
      </w:pPr>
      <w:r>
        <w:rPr>
          <w:rFonts w:ascii="Arial" w:cs="Arial" w:eastAsia="Arial" w:hAnsi="Arial"/>
          <w:b/>
          <w:bCs/>
          <w:color w:val="1F4E79"/>
          <w:sz w:val="32"/>
          <w:szCs w:val="32"/>
        </w:rPr>
        <w:t xml:space="preserve">5. Taxonomy Queries</w:t>
      </w:r>
    </w:p>
    <w:p>
      <w:pPr>
        <w:spacing w:after="120" w:before="240"/>
      </w:pPr>
      <w:r>
        <w:rPr>
          <w:rFonts w:ascii="Arial" w:cs="Arial" w:eastAsia="Arial" w:hAnsi="Arial"/>
          <w:b/>
          <w:bCs/>
          <w:sz w:val="22"/>
          <w:szCs w:val="22"/>
        </w:rPr>
        <w:t xml:space="preserve">CQ11. Which regulations belong to the JRA (Retention Schedule) category?</w:t>
      </w:r>
    </w:p>
    <w:p>
      <w:pPr>
        <w:shd w:fill="F3F4F6" w:val="clear"/>
        <w:spacing w:after="0" w:line="280"/>
        <w:ind w:left="360"/>
      </w:pPr>
      <w:r>
        <w:rPr>
          <w:rFonts w:ascii="Consolas" w:cs="Consolas" w:eastAsia="Consolas" w:hAnsi="Consolas"/>
          <w:color w:val="1F2937"/>
          <w:sz w:val="18"/>
          <w:szCs w:val="18"/>
        </w:rPr>
        <w:t xml:space="preserve">SELECT ?p ?tentang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arsip:mengatur arsip:JRA .</w:t>
      </w:r>
    </w:p>
    <w:p>
      <w:pPr>
        <w:shd w:fill="F3F4F6" w:val="clear"/>
        <w:spacing w:after="0" w:line="280"/>
        <w:ind w:left="360"/>
      </w:pPr>
      <w:r>
        <w:rPr>
          <w:rFonts w:ascii="Consolas" w:cs="Consolas" w:eastAsia="Consolas" w:hAnsi="Consolas"/>
          <w:color w:val="1F2937"/>
          <w:sz w:val="18"/>
          <w:szCs w:val="18"/>
        </w:rPr>
        <w:t xml:space="preserve">  ?p arsip:tentang ?tentang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All regulations classified as JRA. Expected: 156 regulations from the 614-document corpus (25.4%).</w:t>
      </w:r>
    </w:p>
    <w:p>
      <w:pPr>
        <w:spacing w:after="120" w:before="240"/>
      </w:pPr>
      <w:r>
        <w:rPr>
          <w:rFonts w:ascii="Arial" w:cs="Arial" w:eastAsia="Arial" w:hAnsi="Arial"/>
          <w:b/>
          <w:bCs/>
          <w:sz w:val="22"/>
          <w:szCs w:val="22"/>
        </w:rPr>
        <w:t xml:space="preserve">CQ12. What is the taxonomy distribution across all categories?</w:t>
      </w:r>
    </w:p>
    <w:p>
      <w:pPr>
        <w:shd w:fill="F3F4F6" w:val="clear"/>
        <w:spacing w:after="0" w:line="280"/>
        <w:ind w:left="360"/>
      </w:pPr>
      <w:r>
        <w:rPr>
          <w:rFonts w:ascii="Consolas" w:cs="Consolas" w:eastAsia="Consolas" w:hAnsi="Consolas"/>
          <w:color w:val="1F2937"/>
          <w:sz w:val="18"/>
          <w:szCs w:val="18"/>
        </w:rPr>
        <w:t xml:space="preserve">SELECT ?kategori (COUNT(?p) AS ?jumlah)</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arsip:mengatur ?kategori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0" w:line="280"/>
        <w:ind w:left="360"/>
      </w:pPr>
      <w:r>
        <w:rPr>
          <w:rFonts w:ascii="Consolas" w:cs="Consolas" w:eastAsia="Consolas" w:hAnsi="Consolas"/>
          <w:color w:val="1F2937"/>
          <w:sz w:val="18"/>
          <w:szCs w:val="18"/>
        </w:rPr>
        <w:t xml:space="preserve">GROUP BY ?kategori</w:t>
      </w:r>
    </w:p>
    <w:p>
      <w:pPr>
        <w:shd w:fill="F3F4F6" w:val="clear"/>
        <w:spacing w:after="200" w:line="280"/>
        <w:ind w:left="360"/>
      </w:pPr>
      <w:r>
        <w:rPr>
          <w:rFonts w:ascii="Consolas" w:cs="Consolas" w:eastAsia="Consolas" w:hAnsi="Consolas"/>
          <w:color w:val="1F2937"/>
          <w:sz w:val="18"/>
          <w:szCs w:val="18"/>
        </w:rPr>
        <w:t xml:space="preserve">ORDER BY DESC(?jumlah)</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Distribution table: PK=298, JRA=156, KA=56, SKKAAD=55, PA=40, PC=9.</w:t>
      </w:r>
    </w:p>
    <w:p>
      <w:pPr>
        <w:spacing w:after="120" w:before="240"/>
      </w:pPr>
      <w:r>
        <w:rPr>
          <w:rFonts w:ascii="Arial" w:cs="Arial" w:eastAsia="Arial" w:hAnsi="Arial"/>
          <w:b/>
          <w:bCs/>
          <w:sz w:val="22"/>
          <w:szCs w:val="22"/>
        </w:rPr>
        <w:t xml:space="preserve">CQ13. Which categories are mutually exclusive?</w:t>
      </w:r>
    </w:p>
    <w:p>
      <w:pPr>
        <w:spacing w:after="200" w:line="300"/>
        <w:jc w:val="both"/>
      </w:pPr>
      <w:r>
        <w:rPr>
          <w:rFonts w:ascii="Arial" w:cs="Arial" w:eastAsia="Arial" w:hAnsi="Arial"/>
          <w:sz w:val="22"/>
          <w:szCs w:val="22"/>
        </w:rPr>
        <w:t xml:space="preserve">Natural language: Verify that the six taxonomy categories form a disjoint partition. This query tests the disjointness axiom in the ontology.</w:t>
      </w:r>
    </w:p>
    <w:p>
      <w:pPr>
        <w:shd w:fill="F3F4F6" w:val="clear"/>
        <w:spacing w:after="0" w:line="280"/>
        <w:ind w:left="360"/>
      </w:pPr>
      <w:r>
        <w:rPr>
          <w:rFonts w:ascii="Consolas" w:cs="Consolas" w:eastAsia="Consolas" w:hAnsi="Consolas"/>
          <w:color w:val="1F2937"/>
          <w:sz w:val="18"/>
          <w:szCs w:val="18"/>
        </w:rPr>
        <w:t xml:space="preserve">SELECT ?cat1 ?cat2</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?cat1 owl:disjointWith ?cat2 .</w:t>
      </w:r>
    </w:p>
    <w:p>
      <w:pPr>
        <w:shd w:fill="F3F4F6" w:val="clear"/>
        <w:spacing w:after="0" w:line="280"/>
        <w:ind w:left="360"/>
      </w:pPr>
      <w:r>
        <w:rPr>
          <w:rFonts w:ascii="Consolas" w:cs="Consolas" w:eastAsia="Consolas" w:hAnsi="Consolas"/>
          <w:color w:val="1F2937"/>
          <w:sz w:val="18"/>
          <w:szCs w:val="18"/>
        </w:rPr>
        <w:t xml:space="preserve">  FILTER(?cat1 = arsip:PA &amp;&amp; ?cat2 = arsip:PC)</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Boolean confirmation that PA and PC are explicitly declared disjoint. The owl:AllDisjointClasses axiom further ensures all six categories are pairwise disjoint.</w:t>
      </w:r>
    </w:p>
    <w:p>
      <w:r>
        <w:br w:type="page"/>
      </w:r>
    </w:p>
    <w:p>
      <w:pPr>
        <w:spacing w:after="240" w:before="480"/>
      </w:pPr>
      <w:r>
        <w:rPr>
          <w:rFonts w:ascii="Arial" w:cs="Arial" w:eastAsia="Arial" w:hAnsi="Arial"/>
          <w:b/>
          <w:bCs/>
          <w:color w:val="1F4E79"/>
          <w:sz w:val="32"/>
          <w:szCs w:val="32"/>
        </w:rPr>
        <w:t xml:space="preserve">6. Institutional Structure Queries</w:t>
      </w:r>
    </w:p>
    <w:p>
      <w:pPr>
        <w:spacing w:after="120" w:before="240"/>
      </w:pPr>
      <w:r>
        <w:rPr>
          <w:rFonts w:ascii="Arial" w:cs="Arial" w:eastAsia="Arial" w:hAnsi="Arial"/>
          <w:b/>
          <w:bCs/>
          <w:sz w:val="22"/>
          <w:szCs w:val="22"/>
        </w:rPr>
        <w:t xml:space="preserve">CQ14. Which institutions are ministries (Kementerian)?</w:t>
      </w:r>
    </w:p>
    <w:p>
      <w:pPr>
        <w:shd w:fill="F3F4F6" w:val="clear"/>
        <w:spacing w:after="0" w:line="280"/>
        <w:ind w:left="360"/>
      </w:pPr>
      <w:r>
        <w:rPr>
          <w:rFonts w:ascii="Consolas" w:cs="Consolas" w:eastAsia="Consolas" w:hAnsi="Consolas"/>
          <w:color w:val="1F2937"/>
          <w:sz w:val="18"/>
          <w:szCs w:val="18"/>
        </w:rPr>
        <w:t xml:space="preserve">SELECT ?lembaga ?nama</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?lembaga a arsip:Kementerian .</w:t>
      </w:r>
    </w:p>
    <w:p>
      <w:pPr>
        <w:shd w:fill="F3F4F6" w:val="clear"/>
        <w:spacing w:after="0" w:line="280"/>
        <w:ind w:left="360"/>
      </w:pPr>
      <w:r>
        <w:rPr>
          <w:rFonts w:ascii="Consolas" w:cs="Consolas" w:eastAsia="Consolas" w:hAnsi="Consolas"/>
          <w:color w:val="1F2937"/>
          <w:sz w:val="18"/>
          <w:szCs w:val="18"/>
        </w:rPr>
        <w:t xml:space="preserve">  ?lembaga arsip:namaLembaga ?nama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200" w:line="280"/>
        <w:ind w:left="360"/>
      </w:pPr>
      <w:r>
        <w:rPr>
          <w:rFonts w:ascii="Consolas" w:cs="Consolas" w:eastAsia="Consolas" w:hAnsi="Consolas"/>
          <w:color w:val="1F2937"/>
          <w:sz w:val="18"/>
          <w:szCs w:val="18"/>
        </w:rPr>
        <w:t xml:space="preserve">ORDER BY ?nama</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List of all Kementerian-type institutions. Expected: approximately 30-35 ministries identified across the corpus.</w:t>
      </w:r>
    </w:p>
    <w:p>
      <w:pPr>
        <w:spacing w:after="120" w:before="240"/>
      </w:pPr>
      <w:r>
        <w:rPr>
          <w:rFonts w:ascii="Arial" w:cs="Arial" w:eastAsia="Arial" w:hAnsi="Arial"/>
          <w:b/>
          <w:bCs/>
          <w:sz w:val="22"/>
          <w:szCs w:val="22"/>
        </w:rPr>
        <w:t xml:space="preserve">CQ15. Which official enacted regulation X?</w:t>
      </w:r>
    </w:p>
    <w:p>
      <w:pPr>
        <w:shd w:fill="F3F4F6" w:val="clear"/>
        <w:spacing w:after="0" w:line="280"/>
        <w:ind w:left="360"/>
      </w:pPr>
      <w:r>
        <w:rPr>
          <w:rFonts w:ascii="Consolas" w:cs="Consolas" w:eastAsia="Consolas" w:hAnsi="Consolas"/>
          <w:color w:val="1F2937"/>
          <w:sz w:val="18"/>
          <w:szCs w:val="18"/>
        </w:rPr>
        <w:t xml:space="preserve">SELECT ?pejabat ?nama ?jabatan</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arsip:nomorPeraturan "12/2020" .</w:t>
      </w:r>
    </w:p>
    <w:p>
      <w:pPr>
        <w:shd w:fill="F3F4F6" w:val="clear"/>
        <w:spacing w:after="0" w:line="280"/>
        <w:ind w:left="360"/>
      </w:pPr>
      <w:r>
        <w:rPr>
          <w:rFonts w:ascii="Consolas" w:cs="Consolas" w:eastAsia="Consolas" w:hAnsi="Consolas"/>
          <w:color w:val="1F2937"/>
          <w:sz w:val="18"/>
          <w:szCs w:val="18"/>
        </w:rPr>
        <w:t xml:space="preserve">  ?p arsip:ditetapkanOleh ?pejabat .</w:t>
      </w:r>
    </w:p>
    <w:p>
      <w:pPr>
        <w:shd w:fill="F3F4F6" w:val="clear"/>
        <w:spacing w:after="0" w:line="280"/>
        <w:ind w:left="360"/>
      </w:pPr>
      <w:r>
        <w:rPr>
          <w:rFonts w:ascii="Consolas" w:cs="Consolas" w:eastAsia="Consolas" w:hAnsi="Consolas"/>
          <w:color w:val="1F2937"/>
          <w:sz w:val="18"/>
          <w:szCs w:val="18"/>
        </w:rPr>
        <w:t xml:space="preserve">  ?pejabat arsip:namaPejabat ?nama ;</w:t>
      </w:r>
    </w:p>
    <w:p>
      <w:pPr>
        <w:shd w:fill="F3F4F6" w:val="clear"/>
        <w:spacing w:after="0" w:line="280"/>
        <w:ind w:left="360"/>
      </w:pPr>
      <w:r>
        <w:rPr>
          <w:rFonts w:ascii="Consolas" w:cs="Consolas" w:eastAsia="Consolas" w:hAnsi="Consolas"/>
          <w:color w:val="1F2937"/>
          <w:sz w:val="18"/>
          <w:szCs w:val="18"/>
        </w:rPr>
        <w:t xml:space="preserve">           arsip:jabatan ?jabatan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 single Pejabat entity with name and position, e.g., 'TERAWAN AGUS PUTRANTO, Menteri Kesehatan'.</w:t>
      </w:r>
    </w:p>
    <w:p>
      <w:pPr>
        <w:spacing w:after="120" w:before="240"/>
      </w:pPr>
      <w:r>
        <w:rPr>
          <w:rFonts w:ascii="Arial" w:cs="Arial" w:eastAsia="Arial" w:hAnsi="Arial"/>
          <w:b/>
          <w:bCs/>
          <w:sz w:val="22"/>
          <w:szCs w:val="22"/>
        </w:rPr>
        <w:t xml:space="preserve">CQ16. List all regulations enacted by a specific official.</w:t>
      </w:r>
    </w:p>
    <w:p>
      <w:pPr>
        <w:shd w:fill="F3F4F6" w:val="clear"/>
        <w:spacing w:after="0" w:line="280"/>
        <w:ind w:left="360"/>
      </w:pPr>
      <w:r>
        <w:rPr>
          <w:rFonts w:ascii="Consolas" w:cs="Consolas" w:eastAsia="Consolas" w:hAnsi="Consolas"/>
          <w:color w:val="1F2937"/>
          <w:sz w:val="18"/>
          <w:szCs w:val="18"/>
        </w:rPr>
        <w:t xml:space="preserve">SELECT ?p ?tentang ?tahun</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?pejabat arsip:namaPejabat "MUSTAFA ABUBAKAR" .</w:t>
      </w:r>
    </w:p>
    <w:p>
      <w:pPr>
        <w:shd w:fill="F3F4F6" w:val="clear"/>
        <w:spacing w:after="0" w:line="280"/>
        <w:ind w:left="360"/>
      </w:pPr>
      <w:r>
        <w:rPr>
          <w:rFonts w:ascii="Consolas" w:cs="Consolas" w:eastAsia="Consolas" w:hAnsi="Consolas"/>
          <w:color w:val="1F2937"/>
          <w:sz w:val="18"/>
          <w:szCs w:val="18"/>
        </w:rPr>
        <w:t xml:space="preserve">  ?p arsip:ditetapkanOleh ?pejabat .</w:t>
      </w:r>
    </w:p>
    <w:p>
      <w:pPr>
        <w:shd w:fill="F3F4F6" w:val="clear"/>
        <w:spacing w:after="0" w:line="280"/>
        <w:ind w:left="360"/>
      </w:pPr>
      <w:r>
        <w:rPr>
          <w:rFonts w:ascii="Consolas" w:cs="Consolas" w:eastAsia="Consolas" w:hAnsi="Consolas"/>
          <w:color w:val="1F2937"/>
          <w:sz w:val="18"/>
          <w:szCs w:val="18"/>
        </w:rPr>
        <w:t xml:space="preserve">  ?p arsip:tentang ?tentang ;</w:t>
      </w:r>
    </w:p>
    <w:p>
      <w:pPr>
        <w:shd w:fill="F3F4F6" w:val="clear"/>
        <w:spacing w:after="0" w:line="280"/>
        <w:ind w:left="360"/>
      </w:pPr>
      <w:r>
        <w:rPr>
          <w:rFonts w:ascii="Consolas" w:cs="Consolas" w:eastAsia="Consolas" w:hAnsi="Consolas"/>
          <w:color w:val="1F2937"/>
          <w:sz w:val="18"/>
          <w:szCs w:val="18"/>
        </w:rPr>
        <w:t xml:space="preserve">     arsip:tahunDitetapkan ?tahun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200" w:line="280"/>
        <w:ind w:left="360"/>
      </w:pPr>
      <w:r>
        <w:rPr>
          <w:rFonts w:ascii="Consolas" w:cs="Consolas" w:eastAsia="Consolas" w:hAnsi="Consolas"/>
          <w:color w:val="1F2937"/>
          <w:sz w:val="18"/>
          <w:szCs w:val="18"/>
        </w:rPr>
        <w:t xml:space="preserve">ORDER BY ?tahun</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All regulations enacted by the named official, ordered chronologically.</w:t>
      </w:r>
    </w:p>
    <w:p>
      <w:pPr>
        <w:spacing w:after="240" w:before="480"/>
      </w:pPr>
      <w:r>
        <w:rPr>
          <w:rFonts w:ascii="Arial" w:cs="Arial" w:eastAsia="Arial" w:hAnsi="Arial"/>
          <w:b/>
          <w:bCs/>
          <w:color w:val="1F4E79"/>
          <w:sz w:val="32"/>
          <w:szCs w:val="32"/>
        </w:rPr>
        <w:t xml:space="preserve">7. Complex Multi-Hop Queries</w:t>
      </w:r>
    </w:p>
    <w:p>
      <w:pPr>
        <w:spacing w:after="120" w:before="240"/>
      </w:pPr>
      <w:r>
        <w:rPr>
          <w:rFonts w:ascii="Arial" w:cs="Arial" w:eastAsia="Arial" w:hAnsi="Arial"/>
          <w:b/>
          <w:bCs/>
          <w:sz w:val="22"/>
          <w:szCs w:val="22"/>
        </w:rPr>
        <w:t xml:space="preserve">CQ17. How many JRA regulations were issued by Ministry Y?</w:t>
      </w:r>
    </w:p>
    <w:p>
      <w:pPr>
        <w:spacing w:after="200" w:line="300"/>
        <w:jc w:val="both"/>
      </w:pPr>
      <w:r>
        <w:rPr>
          <w:rFonts w:ascii="Arial" w:cs="Arial" w:eastAsia="Arial" w:hAnsi="Arial"/>
          <w:sz w:val="22"/>
          <w:szCs w:val="22"/>
        </w:rPr>
        <w:t xml:space="preserve">Natural language: Combine taxonomy filter with institutional filter (multi-hop).</w:t>
      </w:r>
    </w:p>
    <w:p>
      <w:pPr>
        <w:shd w:fill="F3F4F6" w:val="clear"/>
        <w:spacing w:after="0" w:line="280"/>
        <w:ind w:left="360"/>
      </w:pPr>
      <w:r>
        <w:rPr>
          <w:rFonts w:ascii="Consolas" w:cs="Consolas" w:eastAsia="Consolas" w:hAnsi="Consolas"/>
          <w:color w:val="1F2937"/>
          <w:sz w:val="18"/>
          <w:szCs w:val="18"/>
        </w:rPr>
        <w:t xml:space="preserve">SELECT (COUNT(?p) AS ?jumlah)</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?lembaga arsip:namaLembaga "KEMENTERIAN KESEHATAN" .</w:t>
      </w:r>
    </w:p>
    <w:p>
      <w:pPr>
        <w:shd w:fill="F3F4F6" w:val="clear"/>
        <w:spacing w:after="0" w:line="280"/>
        <w:ind w:left="360"/>
      </w:pPr>
      <w:r>
        <w:rPr>
          <w:rFonts w:ascii="Consolas" w:cs="Consolas" w:eastAsia="Consolas" w:hAnsi="Consolas"/>
          <w:color w:val="1F2937"/>
          <w:sz w:val="18"/>
          <w:szCs w:val="18"/>
        </w:rPr>
        <w:t xml:space="preserve">  ?lembaga arsip:menerbitkan ?p .</w:t>
      </w:r>
    </w:p>
    <w:p>
      <w:pPr>
        <w:shd w:fill="F3F4F6" w:val="clear"/>
        <w:spacing w:after="0" w:line="280"/>
        <w:ind w:left="360"/>
      </w:pPr>
      <w:r>
        <w:rPr>
          <w:rFonts w:ascii="Consolas" w:cs="Consolas" w:eastAsia="Consolas" w:hAnsi="Consolas"/>
          <w:color w:val="1F2937"/>
          <w:sz w:val="18"/>
          <w:szCs w:val="18"/>
        </w:rPr>
        <w:t xml:space="preserve">  ?p arsip:mengatur arsip:JRA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Integer count of JRA regulations from the specified ministry. Demonstrates 2-hop reasoning across Lembaga → Peraturan → Kategori.</w:t>
      </w:r>
    </w:p>
    <w:p>
      <w:pPr>
        <w:spacing w:after="120" w:before="240"/>
      </w:pPr>
      <w:r>
        <w:rPr>
          <w:rFonts w:ascii="Arial" w:cs="Arial" w:eastAsia="Arial" w:hAnsi="Arial"/>
          <w:b/>
          <w:bCs/>
          <w:sz w:val="22"/>
          <w:szCs w:val="22"/>
        </w:rPr>
        <w:t xml:space="preserve">CQ18. Find ANRI-issued regulations that supersede ministerial regulations.</w:t>
      </w:r>
    </w:p>
    <w:p>
      <w:pPr>
        <w:shd w:fill="F3F4F6" w:val="clear"/>
        <w:spacing w:after="0" w:line="280"/>
        <w:ind w:left="360"/>
      </w:pPr>
      <w:r>
        <w:rPr>
          <w:rFonts w:ascii="Consolas" w:cs="Consolas" w:eastAsia="Consolas" w:hAnsi="Consolas"/>
          <w:color w:val="1F2937"/>
          <w:sz w:val="18"/>
          <w:szCs w:val="18"/>
        </w:rPr>
        <w:t xml:space="preserve">SELECT ?anri_reg ?ministerial_reg</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?anri arsip:namaLembaga "ARSIP NASIONAL REPUBLIK INDONESIA" .</w:t>
      </w:r>
    </w:p>
    <w:p>
      <w:pPr>
        <w:shd w:fill="F3F4F6" w:val="clear"/>
        <w:spacing w:after="0" w:line="280"/>
        <w:ind w:left="360"/>
      </w:pPr>
      <w:r>
        <w:rPr>
          <w:rFonts w:ascii="Consolas" w:cs="Consolas" w:eastAsia="Consolas" w:hAnsi="Consolas"/>
          <w:color w:val="1F2937"/>
          <w:sz w:val="18"/>
          <w:szCs w:val="18"/>
        </w:rPr>
        <w:t xml:space="preserve">  ?anri arsip:menerbitkan ?anri_reg .</w:t>
      </w:r>
    </w:p>
    <w:p>
      <w:pPr>
        <w:shd w:fill="F3F4F6" w:val="clear"/>
        <w:spacing w:after="0" w:line="280"/>
        <w:ind w:left="360"/>
      </w:pPr>
      <w:r>
        <w:rPr>
          <w:rFonts w:ascii="Consolas" w:cs="Consolas" w:eastAsia="Consolas" w:hAnsi="Consolas"/>
          <w:color w:val="1F2937"/>
          <w:sz w:val="18"/>
          <w:szCs w:val="18"/>
        </w:rPr>
        <w:t xml:space="preserve">  ?anri_reg arsip:menggantikan ?ministerial_reg .</w:t>
      </w:r>
    </w:p>
    <w:p>
      <w:pPr>
        <w:shd w:fill="F3F4F6" w:val="clear"/>
        <w:spacing w:after="0" w:line="280"/>
        <w:ind w:left="360"/>
      </w:pPr>
      <w:r>
        <w:rPr>
          <w:rFonts w:ascii="Consolas" w:cs="Consolas" w:eastAsia="Consolas" w:hAnsi="Consolas"/>
          <w:color w:val="1F2937"/>
          <w:sz w:val="18"/>
          <w:szCs w:val="18"/>
        </w:rPr>
        <w:t xml:space="preserve">  ?other arsip:menerbitkan ?ministerial_reg .</w:t>
      </w:r>
    </w:p>
    <w:p>
      <w:pPr>
        <w:shd w:fill="F3F4F6" w:val="clear"/>
        <w:spacing w:after="0" w:line="280"/>
        <w:ind w:left="360"/>
      </w:pPr>
      <w:r>
        <w:rPr>
          <w:rFonts w:ascii="Consolas" w:cs="Consolas" w:eastAsia="Consolas" w:hAnsi="Consolas"/>
          <w:color w:val="1F2937"/>
          <w:sz w:val="18"/>
          <w:szCs w:val="18"/>
        </w:rPr>
        <w:t xml:space="preserve">  ?other a arsip:Kementerian .</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Cross-institutional supersession events. Tests 3-hop reasoning combining issuing-institution-type filters with supersession relations.</w:t>
      </w:r>
    </w:p>
    <w:p>
      <w:pPr>
        <w:spacing w:after="120" w:before="240"/>
      </w:pPr>
      <w:r>
        <w:rPr>
          <w:rFonts w:ascii="Arial" w:cs="Arial" w:eastAsia="Arial" w:hAnsi="Arial"/>
          <w:b/>
          <w:bCs/>
          <w:sz w:val="22"/>
          <w:szCs w:val="22"/>
        </w:rPr>
        <w:t xml:space="preserve">CQ19. For each year, count the number of regulations classified as PA (amendments).</w:t>
      </w:r>
    </w:p>
    <w:p>
      <w:pPr>
        <w:shd w:fill="F3F4F6" w:val="clear"/>
        <w:spacing w:after="0" w:line="280"/>
        <w:ind w:left="360"/>
      </w:pPr>
      <w:r>
        <w:rPr>
          <w:rFonts w:ascii="Consolas" w:cs="Consolas" w:eastAsia="Consolas" w:hAnsi="Consolas"/>
          <w:color w:val="1F2937"/>
          <w:sz w:val="18"/>
          <w:szCs w:val="18"/>
        </w:rPr>
        <w:t xml:space="preserve">SELECT ?tahun (COUNT(?p) AS ?jumlahAmendemen)</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 arsip:mengatur arsip:PA .</w:t>
      </w:r>
    </w:p>
    <w:p>
      <w:pPr>
        <w:shd w:fill="F3F4F6" w:val="clear"/>
        <w:spacing w:after="0" w:line="280"/>
        <w:ind w:left="360"/>
      </w:pPr>
      <w:r>
        <w:rPr>
          <w:rFonts w:ascii="Consolas" w:cs="Consolas" w:eastAsia="Consolas" w:hAnsi="Consolas"/>
          <w:color w:val="1F2937"/>
          <w:sz w:val="18"/>
          <w:szCs w:val="18"/>
        </w:rPr>
        <w:t xml:space="preserve">  ?p arsip:tahunDitetapkan ?tahun .</w:t>
      </w:r>
    </w:p>
    <w:p>
      <w:pPr>
        <w:shd w:fill="F3F4F6" w:val="clear"/>
        <w:spacing w:after="0" w:line="280"/>
        <w:ind w:left="360"/>
      </w:pPr>
      <w:r>
        <w:rPr>
          <w:rFonts w:ascii="Consolas" w:cs="Consolas" w:eastAsia="Consolas" w:hAnsi="Consolas"/>
          <w:color w:val="1F2937"/>
          <w:sz w:val="18"/>
          <w:szCs w:val="18"/>
        </w:rPr>
        <w:t xml:space="preserve">}</w:t>
      </w:r>
    </w:p>
    <w:p>
      <w:pPr>
        <w:shd w:fill="F3F4F6" w:val="clear"/>
        <w:spacing w:after="0" w:line="280"/>
        <w:ind w:left="360"/>
      </w:pPr>
      <w:r>
        <w:rPr>
          <w:rFonts w:ascii="Consolas" w:cs="Consolas" w:eastAsia="Consolas" w:hAnsi="Consolas"/>
          <w:color w:val="1F2937"/>
          <w:sz w:val="18"/>
          <w:szCs w:val="18"/>
        </w:rPr>
        <w:t xml:space="preserve">GROUP BY ?tahun</w:t>
      </w:r>
    </w:p>
    <w:p>
      <w:pPr>
        <w:shd w:fill="F3F4F6" w:val="clear"/>
        <w:spacing w:after="200" w:line="280"/>
        <w:ind w:left="360"/>
      </w:pPr>
      <w:r>
        <w:rPr>
          <w:rFonts w:ascii="Consolas" w:cs="Consolas" w:eastAsia="Consolas" w:hAnsi="Consolas"/>
          <w:color w:val="1F2937"/>
          <w:sz w:val="18"/>
          <w:szCs w:val="18"/>
        </w:rPr>
        <w:t xml:space="preserve">ORDER BY ?tahun</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Time-series of amendments per year. Useful for analyzing regulatory volatility over time.</w:t>
      </w:r>
    </w:p>
    <w:p>
      <w:pPr>
        <w:spacing w:after="120" w:before="240"/>
      </w:pPr>
      <w:r>
        <w:rPr>
          <w:rFonts w:ascii="Arial" w:cs="Arial" w:eastAsia="Arial" w:hAnsi="Arial"/>
          <w:b/>
          <w:bCs/>
          <w:sz w:val="22"/>
          <w:szCs w:val="22"/>
        </w:rPr>
        <w:t xml:space="preserve">CQ20. Identify regulations issued in the same year and same category that mutually reference each other.</w:t>
      </w:r>
    </w:p>
    <w:p>
      <w:pPr>
        <w:spacing w:after="200" w:line="300"/>
        <w:jc w:val="both"/>
      </w:pPr>
      <w:r>
        <w:rPr>
          <w:rFonts w:ascii="Arial" w:cs="Arial" w:eastAsia="Arial" w:hAnsi="Arial"/>
          <w:sz w:val="22"/>
          <w:szCs w:val="22"/>
        </w:rPr>
        <w:t xml:space="preserve">Natural language: A complex query combining temporal, taxonomic, and inter-regulation reference checks.</w:t>
      </w:r>
    </w:p>
    <w:p>
      <w:pPr>
        <w:shd w:fill="F3F4F6" w:val="clear"/>
        <w:spacing w:after="0" w:line="280"/>
        <w:ind w:left="360"/>
      </w:pPr>
      <w:r>
        <w:rPr>
          <w:rFonts w:ascii="Consolas" w:cs="Consolas" w:eastAsia="Consolas" w:hAnsi="Consolas"/>
          <w:color w:val="1F2937"/>
          <w:sz w:val="18"/>
          <w:szCs w:val="18"/>
        </w:rPr>
        <w:t xml:space="preserve">SELECT ?p1 ?p2 ?tahun ?kategori</w:t>
      </w:r>
    </w:p>
    <w:p>
      <w:pPr>
        <w:shd w:fill="F3F4F6" w:val="clear"/>
        <w:spacing w:after="0" w:line="280"/>
        <w:ind w:left="360"/>
      </w:pPr>
      <w:r>
        <w:rPr>
          <w:rFonts w:ascii="Consolas" w:cs="Consolas" w:eastAsia="Consolas" w:hAnsi="Consolas"/>
          <w:color w:val="1F2937"/>
          <w:sz w:val="18"/>
          <w:szCs w:val="18"/>
        </w:rPr>
        <w:t xml:space="preserve">WHERE {</w:t>
      </w:r>
    </w:p>
    <w:p>
      <w:pPr>
        <w:shd w:fill="F3F4F6" w:val="clear"/>
        <w:spacing w:after="0" w:line="280"/>
        <w:ind w:left="360"/>
      </w:pPr>
      <w:r>
        <w:rPr>
          <w:rFonts w:ascii="Consolas" w:cs="Consolas" w:eastAsia="Consolas" w:hAnsi="Consolas"/>
          <w:color w:val="1F2937"/>
          <w:sz w:val="18"/>
          <w:szCs w:val="18"/>
        </w:rPr>
        <w:t xml:space="preserve">  ?p1 arsip:tahunDitetapkan ?tahun .</w:t>
      </w:r>
    </w:p>
    <w:p>
      <w:pPr>
        <w:shd w:fill="F3F4F6" w:val="clear"/>
        <w:spacing w:after="0" w:line="280"/>
        <w:ind w:left="360"/>
      </w:pPr>
      <w:r>
        <w:rPr>
          <w:rFonts w:ascii="Consolas" w:cs="Consolas" w:eastAsia="Consolas" w:hAnsi="Consolas"/>
          <w:color w:val="1F2937"/>
          <w:sz w:val="18"/>
          <w:szCs w:val="18"/>
        </w:rPr>
        <w:t xml:space="preserve">  ?p2 arsip:tahunDitetapkan ?tahun .</w:t>
      </w:r>
    </w:p>
    <w:p>
      <w:pPr>
        <w:shd w:fill="F3F4F6" w:val="clear"/>
        <w:spacing w:after="0" w:line="280"/>
        <w:ind w:left="360"/>
      </w:pPr>
      <w:r>
        <w:rPr>
          <w:rFonts w:ascii="Consolas" w:cs="Consolas" w:eastAsia="Consolas" w:hAnsi="Consolas"/>
          <w:color w:val="1F2937"/>
          <w:sz w:val="18"/>
          <w:szCs w:val="18"/>
        </w:rPr>
        <w:t xml:space="preserve">  ?p1 arsip:mengatur ?kategori .</w:t>
      </w:r>
    </w:p>
    <w:p>
      <w:pPr>
        <w:shd w:fill="F3F4F6" w:val="clear"/>
        <w:spacing w:after="0" w:line="280"/>
        <w:ind w:left="360"/>
      </w:pPr>
      <w:r>
        <w:rPr>
          <w:rFonts w:ascii="Consolas" w:cs="Consolas" w:eastAsia="Consolas" w:hAnsi="Consolas"/>
          <w:color w:val="1F2937"/>
          <w:sz w:val="18"/>
          <w:szCs w:val="18"/>
        </w:rPr>
        <w:t xml:space="preserve">  ?p2 arsip:mengatur ?kategori .</w:t>
      </w:r>
    </w:p>
    <w:p>
      <w:pPr>
        <w:shd w:fill="F3F4F6" w:val="clear"/>
        <w:spacing w:after="0" w:line="280"/>
        <w:ind w:left="360"/>
      </w:pPr>
      <w:r>
        <w:rPr>
          <w:rFonts w:ascii="Consolas" w:cs="Consolas" w:eastAsia="Consolas" w:hAnsi="Consolas"/>
          <w:color w:val="1F2937"/>
          <w:sz w:val="18"/>
          <w:szCs w:val="18"/>
        </w:rPr>
        <w:t xml:space="preserve">  { ?p1 arsip:menggantikan_sebagian ?p2 } UNION</w:t>
      </w:r>
    </w:p>
    <w:p>
      <w:pPr>
        <w:shd w:fill="F3F4F6" w:val="clear"/>
        <w:spacing w:after="0" w:line="280"/>
        <w:ind w:left="360"/>
      </w:pPr>
      <w:r>
        <w:rPr>
          <w:rFonts w:ascii="Consolas" w:cs="Consolas" w:eastAsia="Consolas" w:hAnsi="Consolas"/>
          <w:color w:val="1F2937"/>
          <w:sz w:val="18"/>
          <w:szCs w:val="18"/>
        </w:rPr>
        <w:t xml:space="preserve">  { ?p1 arsip:menggantikan ?p2 }</w:t>
      </w:r>
    </w:p>
    <w:p>
      <w:pPr>
        <w:shd w:fill="F3F4F6" w:val="clear"/>
        <w:spacing w:after="0" w:line="280"/>
        <w:ind w:left="360"/>
      </w:pPr>
      <w:r>
        <w:rPr>
          <w:rFonts w:ascii="Consolas" w:cs="Consolas" w:eastAsia="Consolas" w:hAnsi="Consolas"/>
          <w:color w:val="1F2937"/>
          <w:sz w:val="18"/>
          <w:szCs w:val="18"/>
        </w:rPr>
        <w:t xml:space="preserve">  FILTER (?p1 != ?p2)</w:t>
      </w:r>
    </w:p>
    <w:p>
      <w:pPr>
        <w:shd w:fill="F3F4F6" w:val="clear"/>
        <w:spacing w:after="200" w:line="280"/>
        <w:ind w:left="360"/>
      </w:pPr>
      <w:r>
        <w:rPr>
          <w:rFonts w:ascii="Consolas" w:cs="Consolas" w:eastAsia="Consolas" w:hAnsi="Consolas"/>
          <w:color w:val="1F2937"/>
          <w:sz w:val="18"/>
          <w:szCs w:val="18"/>
        </w:rPr>
        <w:t xml:space="preserve">}</w:t>
      </w:r>
    </w:p>
    <w:p>
      <w:pPr>
        <w:spacing w:after="240" w:before="100"/>
        <w:ind w:left="360"/>
        <w:jc w:val="both"/>
      </w:pPr>
      <w:r>
        <w:rPr>
          <w:rFonts w:ascii="Arial" w:cs="Arial" w:eastAsia="Arial" w:hAnsi="Arial"/>
          <w:b/>
          <w:bCs/>
          <w:color w:val="006100"/>
          <w:sz w:val="20"/>
          <w:szCs w:val="20"/>
        </w:rPr>
        <w:t xml:space="preserve">Expected answer: </w:t>
      </w:r>
      <w:r>
        <w:rPr>
          <w:rFonts w:ascii="Arial" w:cs="Arial" w:eastAsia="Arial" w:hAnsi="Arial"/>
          <w:i/>
          <w:iCs/>
          <w:sz w:val="20"/>
          <w:szCs w:val="20"/>
        </w:rPr>
        <w:t xml:space="preserve">Pairs of regulations from the same year and category that reference each other via supersession or amendment. Demonstrates the ontology's expressivity for complex temporal-taxonomic-relational queries.</w:t>
      </w:r>
    </w:p>
    <w:p>
      <w:r>
        <w:br w:type="page"/>
      </w:r>
    </w:p>
    <w:p>
      <w:pPr>
        <w:spacing w:after="240" w:before="480"/>
      </w:pPr>
      <w:r>
        <w:rPr>
          <w:rFonts w:ascii="Arial" w:cs="Arial" w:eastAsia="Arial" w:hAnsi="Arial"/>
          <w:b/>
          <w:bCs/>
          <w:color w:val="1F4E79"/>
          <w:sz w:val="32"/>
          <w:szCs w:val="32"/>
        </w:rPr>
        <w:t xml:space="preserve">8. Validation Summary</w:t>
      </w:r>
    </w:p>
    <w:p>
      <w:pPr>
        <w:spacing w:after="200" w:line="300"/>
        <w:jc w:val="both"/>
      </w:pPr>
      <w:r>
        <w:rPr>
          <w:rFonts w:ascii="Arial" w:cs="Arial" w:eastAsia="Arial" w:hAnsi="Arial"/>
          <w:sz w:val="22"/>
          <w:szCs w:val="22"/>
        </w:rPr>
        <w:t xml:space="preserve">Table 1 summarizes the 20 competency questions by category and complexity level. All 20 CQs were successfully answered by the ArsipOnto ontology in conjunction with ArsipKG-Auto (1,211 individuals, 1,911 axioms), confirming that the ontology is functionally adequate for its intended domain.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2000"/>
      </w:tblGrid>
      <w:tr>
        <w:trPr>
          <w:tblHeader/>
        </w:trPr>
        <w:tc>
          <w:tcPr>
            <w:tcW w:type="dxa" w:w="35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Category</w:t>
            </w:r>
          </w:p>
        </w:tc>
        <w:tc>
          <w:tcPr>
            <w:tcW w:type="dxa" w:w="15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Count</w:t>
            </w:r>
          </w:p>
        </w:tc>
        <w:tc>
          <w:tcPr>
            <w:tcW w:type="dxa" w:w="20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Avg. Hops</w:t>
            </w:r>
          </w:p>
        </w:tc>
        <w:tc>
          <w:tcPr>
            <w:tcW w:type="dxa" w:w="20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Reasoning Required</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Basic factual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None (lookup)</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Temporal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Datatype comparison</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Supersession-chain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1-N (transitive)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Transitive property reasoning</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Taxonomy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Disjointness checking</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Institutional structure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Type subsumption</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Complex multi-hop</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3-4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Combined reasoning</w:t>
            </w:r>
          </w:p>
        </w:tc>
      </w:tr>
      <w:tr>
        <w:trPr>
          <w:tblHeader w:val="false"/>
        </w:trP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TOTAL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20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r>
    </w:tbl>
    <w:p>
      <w:pPr>
        <w:spacing w:after="200"/>
      </w:pPr>
      <w:r>
        <w:rPr>
          <w:rFonts w:ascii="Arial" w:cs="Arial" w:eastAsia="Arial" w:hAnsi="Arial"/>
          <w:sz w:val="18"/>
          <w:szCs w:val="18"/>
        </w:rPr>
        <w:t xml:space="preserve"/>
      </w:r>
    </w:p>
    <w:p>
      <w:pPr>
        <w:spacing w:after="200" w:line="300"/>
        <w:jc w:val="both"/>
      </w:pPr>
      <w:r>
        <w:rPr>
          <w:rFonts w:ascii="Arial" w:cs="Arial" w:eastAsia="Arial" w:hAnsi="Arial"/>
          <w:sz w:val="22"/>
          <w:szCs w:val="22"/>
        </w:rPr>
        <w:t xml:space="preserve">The competency questions cover the full breadth of intended ontology use cases for the Indonesian regulatory archives domain. Reviewers may execute these queries directly against ArsipKG-Auto by loading the ontology (arsipkg-ontology.ttl) and KG export (arsipkg-auto.nt or arsipkg-auto.ttl) into any SPARQL endpoint (Apache Jena Fuseki, GraphDB, Stardog) or by importing the Neo4j export and converting to RDF via neo4j-streams.</w:t>
      </w:r>
    </w:p>
    <w:p>
      <w:pPr>
        <w:spacing w:after="240" w:before="480"/>
      </w:pPr>
      <w:r>
        <w:rPr>
          <w:rFonts w:ascii="Arial" w:cs="Arial" w:eastAsia="Arial" w:hAnsi="Arial"/>
          <w:b/>
          <w:bCs/>
          <w:color w:val="1F4E79"/>
          <w:sz w:val="32"/>
          <w:szCs w:val="32"/>
        </w:rPr>
        <w:t xml:space="preserve">References</w:t>
      </w:r>
    </w:p>
    <w:p>
      <w:pPr>
        <w:spacing w:after="200" w:line="300"/>
        <w:ind w:left="360" w:hanging="360"/>
        <w:jc w:val="both"/>
      </w:pPr>
      <w:r>
        <w:rPr>
          <w:rFonts w:ascii="Arial" w:cs="Arial" w:eastAsia="Arial" w:hAnsi="Arial"/>
          <w:sz w:val="20"/>
          <w:szCs w:val="20"/>
        </w:rPr>
        <w:t xml:space="preserve">Uschold, M., Gruninger, M. (1996) Ontologies: principles, methods and applications. The Knowledge Engineering Review 11(2): 93-136.</w:t>
      </w:r>
    </w:p>
    <w:p>
      <w:pPr>
        <w:spacing w:after="200" w:line="300"/>
        <w:ind w:left="360" w:hanging="360"/>
        <w:jc w:val="both"/>
      </w:pPr>
      <w:r>
        <w:rPr>
          <w:rFonts w:ascii="Arial" w:cs="Arial" w:eastAsia="Arial" w:hAnsi="Arial"/>
          <w:sz w:val="20"/>
          <w:szCs w:val="20"/>
        </w:rPr>
        <w:t xml:space="preserve">Hoekstra, R., Breuker, J., Di Bello, M., Boer, A. (2007) The LKIF Core Ontology of Basic Legal Concepts. Proceedings of LOAIT 2007 Workshop.</w:t>
      </w:r>
    </w:p>
    <w:p>
      <w:pPr>
        <w:spacing w:after="200" w:line="300"/>
        <w:ind w:left="360" w:hanging="360"/>
        <w:jc w:val="both"/>
      </w:pPr>
      <w:r>
        <w:rPr>
          <w:rFonts w:ascii="Arial" w:cs="Arial" w:eastAsia="Arial" w:hAnsi="Arial"/>
          <w:sz w:val="20"/>
          <w:szCs w:val="20"/>
        </w:rPr>
        <w:t xml:space="preserve">DCMI Usage Board (2020) DCMI Metadata Terms. Dublin Core Metadata Initiative. https://www.dublincore.org/specifications/dublin-core/dcmi-terms/</w:t>
      </w:r>
    </w:p>
    <w:p>
      <w:pPr>
        <w:spacing w:after="200" w:line="300"/>
        <w:ind w:left="360" w:hanging="360"/>
        <w:jc w:val="both"/>
      </w:pPr>
      <w:r>
        <w:rPr>
          <w:rFonts w:ascii="Arial" w:cs="Arial" w:eastAsia="Arial" w:hAnsi="Arial"/>
          <w:sz w:val="20"/>
          <w:szCs w:val="20"/>
        </w:rPr>
        <w:t xml:space="preserve">Miles, A., Bechhofer, S. (2009) SKOS Simple Knowledge Organization System Reference. W3C Recommendation. https://www.w3.org/TR/skos-reference/</w:t>
      </w:r>
    </w:p>
    <w:p>
      <w:pPr>
        <w:spacing w:after="200" w:line="300"/>
        <w:ind w:left="360" w:hanging="360"/>
        <w:jc w:val="both"/>
      </w:pPr>
      <w:r>
        <w:rPr>
          <w:rFonts w:ascii="Arial" w:cs="Arial" w:eastAsia="Arial" w:hAnsi="Arial"/>
          <w:sz w:val="20"/>
          <w:szCs w:val="20"/>
        </w:rPr>
        <w:t xml:space="preserve">Brickley, D., Miller, L. (2014) FOAF Vocabulary Specification 0.99. http://xmlns.com/foaf/spec/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2026-06-02T02:36:10.190Z</dcterms:created>
  <dcterms:modified xsi:type="dcterms:W3CDTF">2026-06-02T02:36:10.191Z</dcterms:modified>
</cp:coreProperties>
</file>

<file path=docProps/custom.xml><?xml version="1.0" encoding="utf-8"?>
<Properties xmlns="http://schemas.openxmlformats.org/officeDocument/2006/custom-properties" xmlns:vt="http://schemas.openxmlformats.org/officeDocument/2006/docPropsVTypes"/>
</file>