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Assignment: Landmark Recognition Using SIFT Algorithm</w:t>
      </w:r>
    </w:p>
    <w:p>
      <w:pPr>
        <w:jc w:val="center"/>
      </w:pPr>
      <w:r>
        <w:rPr>
          <w:b/>
          <w:sz w:val="28"/>
        </w:rPr>
        <w:t>Task 6: Performance Evaluation Report</w:t>
      </w:r>
    </w:p>
    <w:p/>
    <w:p>
      <w:pPr>
        <w:pStyle w:val="Heading1"/>
      </w:pPr>
      <w:r>
        <w:t>1. Experimental Setup</w:t>
      </w:r>
    </w:p>
    <w:p>
      <w:r>
        <w:t>• Algorithm used: SIFT (Scale-Invariant Feature Transform)</w:t>
        <w:br/>
        <w:t>• Matcher: Brute-Force Matcher with k-Nearest Neighbor (k=2)</w:t>
        <w:br/>
        <w:t>• Ratio Test: Lowe’s Ratio Test (threshold = 0.75)</w:t>
        <w:br/>
        <w:t>• Matching Threshold: Minimum 12 reliable matches required for recognition</w:t>
        <w:br/>
        <w:t>• Geometric Verification: Homography estimated using RANSAC</w:t>
        <w:br/>
        <w:t>• Landmarks in Database: Eiffel Tower, Taj Mahal, Great Wall of China, Statue of Liberty, Colosseum</w:t>
      </w:r>
    </w:p>
    <w:p>
      <w:pPr>
        <w:pStyle w:val="Heading1"/>
      </w:pPr>
      <w:r>
        <w:t>2. Performance Evaluation Table</w:t>
      </w:r>
    </w:p>
    <w:tbl>
      <w:tblPr>
        <w:tblStyle w:val="TableGrid"/>
        <w:tblW w:type="auto" w:w="0"/>
        <w:jc w:val="center"/>
        <w:tblLook w:firstColumn="1" w:firstRow="1" w:lastColumn="0" w:lastRow="0" w:noHBand="0" w:noVBand="1" w:val="04A0"/>
      </w:tblPr>
      <w:tblGrid>
        <w:gridCol w:w="1506"/>
        <w:gridCol w:w="1506"/>
        <w:gridCol w:w="1506"/>
        <w:gridCol w:w="1506"/>
        <w:gridCol w:w="1506"/>
        <w:gridCol w:w="1506"/>
        <w:gridCol w:w="1506"/>
      </w:tblGrid>
      <w:tr>
        <w:tc>
          <w:tcPr>
            <w:tcW w:type="dxa" w:w="1506"/>
          </w:tcPr>
          <w:p>
            <w:pPr>
              <w:jc w:val="center"/>
            </w:pPr>
            <w:r>
              <w:rPr>
                <w:b/>
                <w:sz w:val="18"/>
              </w:rPr>
              <w:t>Test Case</w:t>
            </w:r>
          </w:p>
        </w:tc>
        <w:tc>
          <w:tcPr>
            <w:tcW w:type="dxa" w:w="1506"/>
          </w:tcPr>
          <w:p>
            <w:pPr>
              <w:jc w:val="center"/>
            </w:pPr>
            <w:r>
              <w:rPr>
                <w:b/>
                <w:sz w:val="18"/>
              </w:rPr>
              <w:t>Predicted Landmark</w:t>
            </w:r>
          </w:p>
        </w:tc>
        <w:tc>
          <w:tcPr>
            <w:tcW w:type="dxa" w:w="1506"/>
          </w:tcPr>
          <w:p>
            <w:pPr>
              <w:jc w:val="center"/>
            </w:pPr>
            <w:r>
              <w:rPr>
                <w:b/>
                <w:sz w:val="18"/>
              </w:rPr>
              <w:t>Keypoints</w:t>
            </w:r>
          </w:p>
        </w:tc>
        <w:tc>
          <w:tcPr>
            <w:tcW w:type="dxa" w:w="1506"/>
          </w:tcPr>
          <w:p>
            <w:pPr>
              <w:jc w:val="center"/>
            </w:pPr>
            <w:r>
              <w:rPr>
                <w:b/>
                <w:sz w:val="18"/>
              </w:rPr>
              <w:t>Reliable Matches</w:t>
            </w:r>
          </w:p>
        </w:tc>
        <w:tc>
          <w:tcPr>
            <w:tcW w:type="dxa" w:w="1506"/>
          </w:tcPr>
          <w:p>
            <w:pPr>
              <w:jc w:val="center"/>
            </w:pPr>
            <w:r>
              <w:rPr>
                <w:b/>
                <w:sz w:val="18"/>
              </w:rPr>
              <w:t>RANSAC Inliers</w:t>
            </w:r>
          </w:p>
        </w:tc>
        <w:tc>
          <w:tcPr>
            <w:tcW w:type="dxa" w:w="1506"/>
          </w:tcPr>
          <w:p>
            <w:pPr>
              <w:jc w:val="center"/>
            </w:pPr>
            <w:r>
              <w:rPr>
                <w:b/>
                <w:sz w:val="18"/>
              </w:rPr>
              <w:t>Decision</w:t>
            </w:r>
          </w:p>
        </w:tc>
        <w:tc>
          <w:tcPr>
            <w:tcW w:type="dxa" w:w="1506"/>
          </w:tcPr>
          <w:p>
            <w:pPr>
              <w:jc w:val="center"/>
            </w:pPr>
            <w:r>
              <w:rPr>
                <w:b/>
                <w:sz w:val="18"/>
              </w:rPr>
              <w:t>Time (sec)</w:t>
            </w:r>
          </w:p>
        </w:tc>
      </w:tr>
      <w:tr>
        <w:tc>
          <w:tcPr>
            <w:tcW w:type="dxa" w:w="1506"/>
          </w:tcPr>
          <w:p>
            <w:pPr>
              <w:jc w:val="center"/>
            </w:pPr>
            <w:r>
              <w:rPr>
                <w:sz w:val="16"/>
              </w:rPr>
              <w:t>Original Image</w:t>
            </w:r>
          </w:p>
        </w:tc>
        <w:tc>
          <w:tcPr>
            <w:tcW w:type="dxa" w:w="1506"/>
          </w:tcPr>
          <w:p>
            <w:pPr>
              <w:jc w:val="center"/>
            </w:pPr>
            <w:r>
              <w:rPr>
                <w:sz w:val="16"/>
              </w:rPr>
              <w:t>Eiffel Tower</w:t>
            </w:r>
          </w:p>
        </w:tc>
        <w:tc>
          <w:tcPr>
            <w:tcW w:type="dxa" w:w="1506"/>
          </w:tcPr>
          <w:p>
            <w:pPr>
              <w:jc w:val="center"/>
            </w:pPr>
            <w:r>
              <w:rPr>
                <w:sz w:val="16"/>
              </w:rPr>
              <w:t>270</w:t>
            </w:r>
          </w:p>
        </w:tc>
        <w:tc>
          <w:tcPr>
            <w:tcW w:type="dxa" w:w="1506"/>
          </w:tcPr>
          <w:p>
            <w:pPr>
              <w:jc w:val="center"/>
            </w:pPr>
            <w:r>
              <w:rPr>
                <w:sz w:val="16"/>
              </w:rPr>
              <w:t>152</w:t>
            </w:r>
          </w:p>
        </w:tc>
        <w:tc>
          <w:tcPr>
            <w:tcW w:type="dxa" w:w="1506"/>
          </w:tcPr>
          <w:p>
            <w:pPr>
              <w:jc w:val="center"/>
            </w:pPr>
            <w:r>
              <w:rPr>
                <w:sz w:val="16"/>
              </w:rPr>
              <w:t>120</w:t>
            </w:r>
          </w:p>
        </w:tc>
        <w:tc>
          <w:tcPr>
            <w:tcW w:type="dxa" w:w="1506"/>
          </w:tcPr>
          <w:p>
            <w:pPr>
              <w:jc w:val="center"/>
            </w:pPr>
            <w:r>
              <w:rPr>
                <w:b/>
                <w:color w:val="008000"/>
                <w:sz w:val="16"/>
              </w:rPr>
              <w:t>RECOGNIZED</w:t>
            </w:r>
          </w:p>
        </w:tc>
        <w:tc>
          <w:tcPr>
            <w:tcW w:type="dxa" w:w="1506"/>
          </w:tcPr>
          <w:p>
            <w:pPr>
              <w:jc w:val="center"/>
            </w:pPr>
            <w:r>
              <w:rPr>
                <w:sz w:val="16"/>
              </w:rPr>
              <w:t>0.35</w:t>
            </w:r>
          </w:p>
        </w:tc>
      </w:tr>
      <w:tr>
        <w:tc>
          <w:tcPr>
            <w:tcW w:type="dxa" w:w="1506"/>
          </w:tcPr>
          <w:p>
            <w:pPr>
              <w:jc w:val="center"/>
            </w:pPr>
            <w:r>
              <w:rPr>
                <w:sz w:val="16"/>
              </w:rPr>
              <w:t>Rotated Image (30°)</w:t>
            </w:r>
          </w:p>
        </w:tc>
        <w:tc>
          <w:tcPr>
            <w:tcW w:type="dxa" w:w="1506"/>
          </w:tcPr>
          <w:p>
            <w:pPr>
              <w:jc w:val="center"/>
            </w:pPr>
            <w:r>
              <w:rPr>
                <w:sz w:val="16"/>
              </w:rPr>
              <w:t>Eiffel Tower</w:t>
            </w:r>
          </w:p>
        </w:tc>
        <w:tc>
          <w:tcPr>
            <w:tcW w:type="dxa" w:w="1506"/>
          </w:tcPr>
          <w:p>
            <w:pPr>
              <w:jc w:val="center"/>
            </w:pPr>
            <w:r>
              <w:rPr>
                <w:sz w:val="16"/>
              </w:rPr>
              <w:t>144</w:t>
            </w:r>
          </w:p>
        </w:tc>
        <w:tc>
          <w:tcPr>
            <w:tcW w:type="dxa" w:w="1506"/>
          </w:tcPr>
          <w:p>
            <w:pPr>
              <w:jc w:val="center"/>
            </w:pPr>
            <w:r>
              <w:rPr>
                <w:sz w:val="16"/>
              </w:rPr>
              <w:t>87</w:t>
            </w:r>
          </w:p>
        </w:tc>
        <w:tc>
          <w:tcPr>
            <w:tcW w:type="dxa" w:w="1506"/>
          </w:tcPr>
          <w:p>
            <w:pPr>
              <w:jc w:val="center"/>
            </w:pPr>
            <w:r>
              <w:rPr>
                <w:sz w:val="16"/>
              </w:rPr>
              <w:t>82</w:t>
            </w:r>
          </w:p>
        </w:tc>
        <w:tc>
          <w:tcPr>
            <w:tcW w:type="dxa" w:w="1506"/>
          </w:tcPr>
          <w:p>
            <w:pPr>
              <w:jc w:val="center"/>
            </w:pPr>
            <w:r>
              <w:rPr>
                <w:b/>
                <w:color w:val="008000"/>
                <w:sz w:val="16"/>
              </w:rPr>
              <w:t>RECOGNIZED</w:t>
            </w:r>
          </w:p>
        </w:tc>
        <w:tc>
          <w:tcPr>
            <w:tcW w:type="dxa" w:w="1506"/>
          </w:tcPr>
          <w:p>
            <w:pPr>
              <w:jc w:val="center"/>
            </w:pPr>
            <w:r>
              <w:rPr>
                <w:sz w:val="16"/>
              </w:rPr>
              <w:t>0.28</w:t>
            </w:r>
          </w:p>
        </w:tc>
      </w:tr>
      <w:tr>
        <w:tc>
          <w:tcPr>
            <w:tcW w:type="dxa" w:w="1506"/>
          </w:tcPr>
          <w:p>
            <w:pPr>
              <w:jc w:val="center"/>
            </w:pPr>
            <w:r>
              <w:rPr>
                <w:sz w:val="16"/>
              </w:rPr>
              <w:t>Resized Image (60%)</w:t>
            </w:r>
          </w:p>
        </w:tc>
        <w:tc>
          <w:tcPr>
            <w:tcW w:type="dxa" w:w="1506"/>
          </w:tcPr>
          <w:p>
            <w:pPr>
              <w:jc w:val="center"/>
            </w:pPr>
            <w:r>
              <w:rPr>
                <w:sz w:val="16"/>
              </w:rPr>
              <w:t>Eiffel Tower</w:t>
            </w:r>
          </w:p>
        </w:tc>
        <w:tc>
          <w:tcPr>
            <w:tcW w:type="dxa" w:w="1506"/>
          </w:tcPr>
          <w:p>
            <w:pPr>
              <w:jc w:val="center"/>
            </w:pPr>
            <w:r>
              <w:rPr>
                <w:sz w:val="16"/>
              </w:rPr>
              <w:t>210</w:t>
            </w:r>
          </w:p>
        </w:tc>
        <w:tc>
          <w:tcPr>
            <w:tcW w:type="dxa" w:w="1506"/>
          </w:tcPr>
          <w:p>
            <w:pPr>
              <w:jc w:val="center"/>
            </w:pPr>
            <w:r>
              <w:rPr>
                <w:sz w:val="16"/>
              </w:rPr>
              <w:t>95</w:t>
            </w:r>
          </w:p>
        </w:tc>
        <w:tc>
          <w:tcPr>
            <w:tcW w:type="dxa" w:w="1506"/>
          </w:tcPr>
          <w:p>
            <w:pPr>
              <w:jc w:val="center"/>
            </w:pPr>
            <w:r>
              <w:rPr>
                <w:sz w:val="16"/>
              </w:rPr>
              <w:t>88</w:t>
            </w:r>
          </w:p>
        </w:tc>
        <w:tc>
          <w:tcPr>
            <w:tcW w:type="dxa" w:w="1506"/>
          </w:tcPr>
          <w:p>
            <w:pPr>
              <w:jc w:val="center"/>
            </w:pPr>
            <w:r>
              <w:rPr>
                <w:b/>
                <w:color w:val="008000"/>
                <w:sz w:val="16"/>
              </w:rPr>
              <w:t>RECOGNIZED</w:t>
            </w:r>
          </w:p>
        </w:tc>
        <w:tc>
          <w:tcPr>
            <w:tcW w:type="dxa" w:w="1506"/>
          </w:tcPr>
          <w:p>
            <w:pPr>
              <w:jc w:val="center"/>
            </w:pPr>
            <w:r>
              <w:rPr>
                <w:sz w:val="16"/>
              </w:rPr>
              <w:t>0.22</w:t>
            </w:r>
          </w:p>
        </w:tc>
      </w:tr>
      <w:tr>
        <w:tc>
          <w:tcPr>
            <w:tcW w:type="dxa" w:w="1506"/>
          </w:tcPr>
          <w:p>
            <w:pPr>
              <w:jc w:val="center"/>
            </w:pPr>
            <w:r>
              <w:rPr>
                <w:sz w:val="16"/>
              </w:rPr>
              <w:t>Reduced Brightness</w:t>
            </w:r>
          </w:p>
        </w:tc>
        <w:tc>
          <w:tcPr>
            <w:tcW w:type="dxa" w:w="1506"/>
          </w:tcPr>
          <w:p>
            <w:pPr>
              <w:jc w:val="center"/>
            </w:pPr>
            <w:r>
              <w:rPr>
                <w:sz w:val="16"/>
              </w:rPr>
              <w:t>Eiffel Tower</w:t>
            </w:r>
          </w:p>
        </w:tc>
        <w:tc>
          <w:tcPr>
            <w:tcW w:type="dxa" w:w="1506"/>
          </w:tcPr>
          <w:p>
            <w:pPr>
              <w:jc w:val="center"/>
            </w:pPr>
            <w:r>
              <w:rPr>
                <w:sz w:val="16"/>
              </w:rPr>
              <w:t>185</w:t>
            </w:r>
          </w:p>
        </w:tc>
        <w:tc>
          <w:tcPr>
            <w:tcW w:type="dxa" w:w="1506"/>
          </w:tcPr>
          <w:p>
            <w:pPr>
              <w:jc w:val="center"/>
            </w:pPr>
            <w:r>
              <w:rPr>
                <w:sz w:val="16"/>
              </w:rPr>
              <w:t>78</w:t>
            </w:r>
          </w:p>
        </w:tc>
        <w:tc>
          <w:tcPr>
            <w:tcW w:type="dxa" w:w="1506"/>
          </w:tcPr>
          <w:p>
            <w:pPr>
              <w:jc w:val="center"/>
            </w:pPr>
            <w:r>
              <w:rPr>
                <w:sz w:val="16"/>
              </w:rPr>
              <w:t>71</w:t>
            </w:r>
          </w:p>
        </w:tc>
        <w:tc>
          <w:tcPr>
            <w:tcW w:type="dxa" w:w="1506"/>
          </w:tcPr>
          <w:p>
            <w:pPr>
              <w:jc w:val="center"/>
            </w:pPr>
            <w:r>
              <w:rPr>
                <w:b/>
                <w:color w:val="008000"/>
                <w:sz w:val="16"/>
              </w:rPr>
              <w:t>RECOGNIZED</w:t>
            </w:r>
          </w:p>
        </w:tc>
        <w:tc>
          <w:tcPr>
            <w:tcW w:type="dxa" w:w="1506"/>
          </w:tcPr>
          <w:p>
            <w:pPr>
              <w:jc w:val="center"/>
            </w:pPr>
            <w:r>
              <w:rPr>
                <w:sz w:val="16"/>
              </w:rPr>
              <w:t>0.31</w:t>
            </w:r>
          </w:p>
        </w:tc>
      </w:tr>
      <w:tr>
        <w:tc>
          <w:tcPr>
            <w:tcW w:type="dxa" w:w="1506"/>
          </w:tcPr>
          <w:p>
            <w:pPr>
              <w:jc w:val="center"/>
            </w:pPr>
            <w:r>
              <w:rPr>
                <w:sz w:val="16"/>
              </w:rPr>
              <w:t>Different Viewpoint</w:t>
            </w:r>
          </w:p>
        </w:tc>
        <w:tc>
          <w:tcPr>
            <w:tcW w:type="dxa" w:w="1506"/>
          </w:tcPr>
          <w:p>
            <w:pPr>
              <w:jc w:val="center"/>
            </w:pPr>
            <w:r>
              <w:rPr>
                <w:sz w:val="16"/>
              </w:rPr>
              <w:t>Eiffel Tower</w:t>
            </w:r>
          </w:p>
        </w:tc>
        <w:tc>
          <w:tcPr>
            <w:tcW w:type="dxa" w:w="1506"/>
          </w:tcPr>
          <w:p>
            <w:pPr>
              <w:jc w:val="center"/>
            </w:pPr>
            <w:r>
              <w:rPr>
                <w:sz w:val="16"/>
              </w:rPr>
              <w:t>160</w:t>
            </w:r>
          </w:p>
        </w:tc>
        <w:tc>
          <w:tcPr>
            <w:tcW w:type="dxa" w:w="1506"/>
          </w:tcPr>
          <w:p>
            <w:pPr>
              <w:jc w:val="center"/>
            </w:pPr>
            <w:r>
              <w:rPr>
                <w:sz w:val="16"/>
              </w:rPr>
              <w:t>65</w:t>
            </w:r>
          </w:p>
        </w:tc>
        <w:tc>
          <w:tcPr>
            <w:tcW w:type="dxa" w:w="1506"/>
          </w:tcPr>
          <w:p>
            <w:pPr>
              <w:jc w:val="center"/>
            </w:pPr>
            <w:r>
              <w:rPr>
                <w:sz w:val="16"/>
              </w:rPr>
              <w:t>58</w:t>
            </w:r>
          </w:p>
        </w:tc>
        <w:tc>
          <w:tcPr>
            <w:tcW w:type="dxa" w:w="1506"/>
          </w:tcPr>
          <w:p>
            <w:pPr>
              <w:jc w:val="center"/>
            </w:pPr>
            <w:r>
              <w:rPr>
                <w:b/>
                <w:color w:val="008000"/>
                <w:sz w:val="16"/>
              </w:rPr>
              <w:t>RECOGNIZED</w:t>
            </w:r>
          </w:p>
        </w:tc>
        <w:tc>
          <w:tcPr>
            <w:tcW w:type="dxa" w:w="1506"/>
          </w:tcPr>
          <w:p>
            <w:pPr>
              <w:jc w:val="center"/>
            </w:pPr>
            <w:r>
              <w:rPr>
                <w:sz w:val="16"/>
              </w:rPr>
              <w:t>0.40</w:t>
            </w:r>
          </w:p>
        </w:tc>
      </w:tr>
      <w:tr>
        <w:tc>
          <w:tcPr>
            <w:tcW w:type="dxa" w:w="1506"/>
          </w:tcPr>
          <w:p>
            <w:pPr>
              <w:jc w:val="center"/>
            </w:pPr>
            <w:r>
              <w:rPr>
                <w:sz w:val="16"/>
              </w:rPr>
              <w:t>Unknown Landmark</w:t>
            </w:r>
          </w:p>
        </w:tc>
        <w:tc>
          <w:tcPr>
            <w:tcW w:type="dxa" w:w="1506"/>
          </w:tcPr>
          <w:p>
            <w:pPr>
              <w:jc w:val="center"/>
            </w:pPr>
            <w:r>
              <w:rPr>
                <w:sz w:val="16"/>
              </w:rPr>
              <w:t>—</w:t>
            </w:r>
          </w:p>
        </w:tc>
        <w:tc>
          <w:tcPr>
            <w:tcW w:type="dxa" w:w="1506"/>
          </w:tcPr>
          <w:p>
            <w:pPr>
              <w:jc w:val="center"/>
            </w:pPr>
            <w:r>
              <w:rPr>
                <w:sz w:val="16"/>
              </w:rPr>
              <w:t>120</w:t>
            </w:r>
          </w:p>
        </w:tc>
        <w:tc>
          <w:tcPr>
            <w:tcW w:type="dxa" w:w="1506"/>
          </w:tcPr>
          <w:p>
            <w:pPr>
              <w:jc w:val="center"/>
            </w:pPr>
            <w:r>
              <w:rPr>
                <w:sz w:val="16"/>
              </w:rPr>
              <w:t>9</w:t>
            </w:r>
          </w:p>
        </w:tc>
        <w:tc>
          <w:tcPr>
            <w:tcW w:type="dxa" w:w="1506"/>
          </w:tcPr>
          <w:p>
            <w:pPr>
              <w:jc w:val="center"/>
            </w:pPr>
            <w:r>
              <w:rPr>
                <w:sz w:val="16"/>
              </w:rPr>
              <w:t>—</w:t>
            </w:r>
          </w:p>
        </w:tc>
        <w:tc>
          <w:tcPr>
            <w:tcW w:type="dxa" w:w="1506"/>
          </w:tcPr>
          <w:p>
            <w:pPr>
              <w:jc w:val="center"/>
            </w:pPr>
            <w:r>
              <w:rPr>
                <w:b/>
                <w:color w:val="C80000"/>
                <w:sz w:val="16"/>
              </w:rPr>
              <w:t>REJECTED</w:t>
            </w:r>
          </w:p>
        </w:tc>
        <w:tc>
          <w:tcPr>
            <w:tcW w:type="dxa" w:w="1506"/>
          </w:tcPr>
          <w:p>
            <w:pPr>
              <w:jc w:val="center"/>
            </w:pPr>
            <w:r>
              <w:rPr>
                <w:sz w:val="16"/>
              </w:rPr>
              <w:t>0.25</w:t>
            </w:r>
          </w:p>
        </w:tc>
      </w:tr>
    </w:tbl>
    <w:p/>
    <w:p>
      <w:pPr>
        <w:pStyle w:val="Heading1"/>
      </w:pPr>
      <w:r>
        <w:t>3. Observations</w:t>
      </w:r>
    </w:p>
    <w:p>
      <w:r>
        <w:rPr>
          <w:b/>
        </w:rPr>
        <w:t xml:space="preserve">Original Image: </w:t>
      </w:r>
      <w:r>
        <w:t>System produced the highest number of reliable matches (152) and correctly recognized the landmark.</w:t>
      </w:r>
    </w:p>
    <w:p>
      <w:r>
        <w:rPr>
          <w:b/>
        </w:rPr>
        <w:t xml:space="preserve">Rotated Image: </w:t>
      </w:r>
      <w:r>
        <w:t>Even after 30° rotation, the system correctly identified the landmark. This demonstrates the rotation invariance of SIFT.</w:t>
      </w:r>
    </w:p>
    <w:p>
      <w:r>
        <w:rPr>
          <w:b/>
        </w:rPr>
        <w:t xml:space="preserve">Resized Image: </w:t>
      </w:r>
      <w:r>
        <w:t>After scaling the image to 60%, recognition remained successful, proving SIFT’s scale invariance.</w:t>
      </w:r>
    </w:p>
    <w:p>
      <w:r>
        <w:rPr>
          <w:b/>
        </w:rPr>
        <w:t xml:space="preserve">Reduced Brightness: </w:t>
      </w:r>
      <w:r>
        <w:t>Despite reduced illumination, the number of matches stayed above the threshold and the landmark was correctly recognized.</w:t>
      </w:r>
    </w:p>
    <w:p>
      <w:r>
        <w:rPr>
          <w:b/>
        </w:rPr>
        <w:t xml:space="preserve">Different Viewpoint: </w:t>
      </w:r>
      <w:r>
        <w:t>Viewpoint change reduced the number of matches, but the system still made the correct prediction.</w:t>
      </w:r>
    </w:p>
    <w:p>
      <w:r>
        <w:rPr>
          <w:b/>
        </w:rPr>
        <w:t xml:space="preserve">Unknown Landmark: </w:t>
      </w:r>
      <w:r>
        <w:t>The system correctly rejected the unknown image (only 9 matches), showing that the threshold mechanism works properly.</w:t>
      </w:r>
    </w:p>
    <w:p>
      <w:pPr>
        <w:pStyle w:val="Heading1"/>
      </w:pPr>
      <w:r>
        <w:t>4. Discussion – System Performance</w:t>
      </w:r>
    </w:p>
    <w:p>
      <w:pPr>
        <w:pStyle w:val="Heading2"/>
      </w:pPr>
      <w:r>
        <w:t>Strengths</w:t>
      </w:r>
    </w:p>
    <w:p>
      <w:pPr>
        <w:pStyle w:val="ListBullet"/>
      </w:pPr>
      <w:r>
        <w:t>SIFT features are robust against scale, rotation, and illumination changes.</w:t>
      </w:r>
    </w:p>
    <w:p>
      <w:pPr>
        <w:pStyle w:val="ListBullet"/>
      </w:pPr>
      <w:r>
        <w:t>Lowe’s ratio test combined with a matching threshold significantly reduces false positives.</w:t>
      </w:r>
    </w:p>
    <w:p>
      <w:pPr>
        <w:pStyle w:val="ListBullet"/>
      </w:pPr>
      <w:r>
        <w:t>Homography estimation with RANSAC successfully localizes the landmark in the query image.</w:t>
      </w:r>
    </w:p>
    <w:p>
      <w:pPr>
        <w:pStyle w:val="ListBullet"/>
      </w:pPr>
      <w:r>
        <w:t>The system correctly rejects images of landmarks that are not present in the database.</w:t>
      </w:r>
    </w:p>
    <w:p>
      <w:pPr>
        <w:pStyle w:val="Heading2"/>
      </w:pPr>
      <w:r>
        <w:t>Limitations</w:t>
      </w:r>
    </w:p>
    <w:p>
      <w:pPr>
        <w:pStyle w:val="ListBullet"/>
      </w:pPr>
      <w:r>
        <w:t>Very dark or highly blurred images can lead to a low number of matches and possible rejection.</w:t>
      </w:r>
    </w:p>
    <w:p>
      <w:pPr>
        <w:pStyle w:val="ListBullet"/>
      </w:pPr>
      <w:r>
        <w:t>If only a small portion of the landmark is visible, recognition may fail.</w:t>
      </w:r>
    </w:p>
    <w:p>
      <w:pPr>
        <w:pStyle w:val="ListBullet"/>
      </w:pPr>
      <w:r>
        <w:t>Accuracy can be further improved by adding more reference images per landmark with diverse viewpoints.</w:t>
      </w:r>
    </w:p>
    <w:p>
      <w:pPr>
        <w:pStyle w:val="Heading1"/>
      </w:pPr>
      <w:r>
        <w:t>5. Sample Output Screenshots</w:t>
      </w:r>
    </w:p>
    <w:p>
      <w:r>
        <w:t>Below are sample visualization results generated by the system for different test conditions:</w:t>
      </w:r>
    </w:p>
    <w:p/>
    <w:p>
      <w:pPr>
        <w:jc w:val="center"/>
      </w:pPr>
      <w:r>
        <w:drawing>
          <wp:inline xmlns:a="http://schemas.openxmlformats.org/drawingml/2006/main" xmlns:pic="http://schemas.openxmlformats.org/drawingml/2006/picture">
            <wp:extent cx="5303520" cy="4636657"/>
            <wp:docPr id="1" name="Picture 1"/>
            <wp:cNvGraphicFramePr>
              <a:graphicFrameLocks noChangeAspect="1"/>
            </wp:cNvGraphicFramePr>
            <a:graphic>
              <a:graphicData uri="http://schemas.openxmlformats.org/drawingml/2006/picture">
                <pic:pic>
                  <pic:nvPicPr>
                    <pic:cNvPr id="0" name="eval_0_eiffel1_original.png"/>
                    <pic:cNvPicPr/>
                  </pic:nvPicPr>
                  <pic:blipFill>
                    <a:blip r:embed="rId9"/>
                    <a:stretch>
                      <a:fillRect/>
                    </a:stretch>
                  </pic:blipFill>
                  <pic:spPr>
                    <a:xfrm>
                      <a:off x="0" y="0"/>
                      <a:ext cx="5303520" cy="4636657"/>
                    </a:xfrm>
                    <a:prstGeom prst="rect"/>
                  </pic:spPr>
                </pic:pic>
              </a:graphicData>
            </a:graphic>
          </wp:inline>
        </w:drawing>
      </w:r>
    </w:p>
    <w:p>
      <w:pPr>
        <w:jc w:val="center"/>
      </w:pPr>
      <w:r>
        <w:rPr>
          <w:i/>
          <w:sz w:val="20"/>
        </w:rPr>
        <w:t>Original Image – Recognition Result</w:t>
      </w:r>
    </w:p>
    <w:p/>
    <w:p>
      <w:pPr>
        <w:jc w:val="center"/>
      </w:pPr>
      <w:r>
        <w:drawing>
          <wp:inline xmlns:a="http://schemas.openxmlformats.org/drawingml/2006/main" xmlns:pic="http://schemas.openxmlformats.org/drawingml/2006/picture">
            <wp:extent cx="5303520" cy="4636657"/>
            <wp:docPr id="2" name="Picture 2"/>
            <wp:cNvGraphicFramePr>
              <a:graphicFrameLocks noChangeAspect="1"/>
            </wp:cNvGraphicFramePr>
            <a:graphic>
              <a:graphicData uri="http://schemas.openxmlformats.org/drawingml/2006/picture">
                <pic:pic>
                  <pic:nvPicPr>
                    <pic:cNvPr id="0" name="eval_1_eiffel1_rotated.png"/>
                    <pic:cNvPicPr/>
                  </pic:nvPicPr>
                  <pic:blipFill>
                    <a:blip r:embed="rId10"/>
                    <a:stretch>
                      <a:fillRect/>
                    </a:stretch>
                  </pic:blipFill>
                  <pic:spPr>
                    <a:xfrm>
                      <a:off x="0" y="0"/>
                      <a:ext cx="5303520" cy="4636657"/>
                    </a:xfrm>
                    <a:prstGeom prst="rect"/>
                  </pic:spPr>
                </pic:pic>
              </a:graphicData>
            </a:graphic>
          </wp:inline>
        </w:drawing>
      </w:r>
    </w:p>
    <w:p>
      <w:pPr>
        <w:jc w:val="center"/>
      </w:pPr>
      <w:r>
        <w:rPr>
          <w:i/>
          <w:sz w:val="20"/>
        </w:rPr>
        <w:t>Rotated Image (30°) – Recognition Result</w:t>
      </w:r>
    </w:p>
    <w:p/>
    <w:p>
      <w:pPr>
        <w:jc w:val="center"/>
      </w:pPr>
      <w:r>
        <w:drawing>
          <wp:inline xmlns:a="http://schemas.openxmlformats.org/drawingml/2006/main" xmlns:pic="http://schemas.openxmlformats.org/drawingml/2006/picture">
            <wp:extent cx="5303520" cy="4947720"/>
            <wp:docPr id="3" name="Picture 3"/>
            <wp:cNvGraphicFramePr>
              <a:graphicFrameLocks noChangeAspect="1"/>
            </wp:cNvGraphicFramePr>
            <a:graphic>
              <a:graphicData uri="http://schemas.openxmlformats.org/drawingml/2006/picture">
                <pic:pic>
                  <pic:nvPicPr>
                    <pic:cNvPr id="0" name="eval_2_eiffel1_resized.png"/>
                    <pic:cNvPicPr/>
                  </pic:nvPicPr>
                  <pic:blipFill>
                    <a:blip r:embed="rId11"/>
                    <a:stretch>
                      <a:fillRect/>
                    </a:stretch>
                  </pic:blipFill>
                  <pic:spPr>
                    <a:xfrm>
                      <a:off x="0" y="0"/>
                      <a:ext cx="5303520" cy="4947720"/>
                    </a:xfrm>
                    <a:prstGeom prst="rect"/>
                  </pic:spPr>
                </pic:pic>
              </a:graphicData>
            </a:graphic>
          </wp:inline>
        </w:drawing>
      </w:r>
    </w:p>
    <w:p>
      <w:pPr>
        <w:jc w:val="center"/>
      </w:pPr>
      <w:r>
        <w:rPr>
          <w:i/>
          <w:sz w:val="20"/>
        </w:rPr>
        <w:t>Resized Image – Recognition Result</w:t>
      </w:r>
    </w:p>
    <w:p/>
    <w:p>
      <w:pPr>
        <w:jc w:val="center"/>
      </w:pPr>
      <w:r>
        <w:drawing>
          <wp:inline xmlns:a="http://schemas.openxmlformats.org/drawingml/2006/main" xmlns:pic="http://schemas.openxmlformats.org/drawingml/2006/picture">
            <wp:extent cx="5303520" cy="4636657"/>
            <wp:docPr id="4" name="Picture 4"/>
            <wp:cNvGraphicFramePr>
              <a:graphicFrameLocks noChangeAspect="1"/>
            </wp:cNvGraphicFramePr>
            <a:graphic>
              <a:graphicData uri="http://schemas.openxmlformats.org/drawingml/2006/picture">
                <pic:pic>
                  <pic:nvPicPr>
                    <pic:cNvPr id="0" name="eval_3_eiffel1_dark.png"/>
                    <pic:cNvPicPr/>
                  </pic:nvPicPr>
                  <pic:blipFill>
                    <a:blip r:embed="rId12"/>
                    <a:stretch>
                      <a:fillRect/>
                    </a:stretch>
                  </pic:blipFill>
                  <pic:spPr>
                    <a:xfrm>
                      <a:off x="0" y="0"/>
                      <a:ext cx="5303520" cy="4636657"/>
                    </a:xfrm>
                    <a:prstGeom prst="rect"/>
                  </pic:spPr>
                </pic:pic>
              </a:graphicData>
            </a:graphic>
          </wp:inline>
        </w:drawing>
      </w:r>
    </w:p>
    <w:p>
      <w:pPr>
        <w:jc w:val="center"/>
      </w:pPr>
      <w:r>
        <w:rPr>
          <w:i/>
          <w:sz w:val="20"/>
        </w:rPr>
        <w:t>Reduced Brightness – Recognition Result</w:t>
      </w:r>
    </w:p>
    <w:p>
      <w:pPr>
        <w:pStyle w:val="Heading1"/>
      </w:pPr>
      <w:r>
        <w:t>6. Conclusion</w:t>
      </w:r>
    </w:p>
    <w:p>
      <w:r>
        <w:t>The SIFT-based landmark recognition system successfully handled most of the tested conditions including rotation, scaling, and illumination changes. The system was also able to correctly reject an unknown landmark that was not present in the database. Overall, the results demonstrate that SIFT feature matching is a practical and effective approach for building a tourism landmark recognition application.</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