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6"/>
          <w:szCs w:val="26"/>
        </w:rPr>
        <w:t xml:space="preserve">Using Histogram of Oriented Gradients for Detecting Surface Defects on Hot-Rolled Steel: Experiments with Different Parameters and Robustness Checks</w:t>
      </w:r>
    </w:p>
    <w:p>
      <w:pPr>
        <w:spacing w:after="200"/>
        <w:jc w:val="center"/>
      </w:pPr>
      <w:r>
        <w:rPr>
          <w:rFonts w:ascii="Times New Roman" w:cs="Times New Roman" w:eastAsia="Times New Roman" w:hAnsi="Times New Roman"/>
          <w:i/>
          <w:iCs/>
          <w:sz w:val="22"/>
          <w:szCs w:val="22"/>
        </w:rPr>
        <w:t xml:space="preserve">Lab 05 – Computer Vision</w:t>
      </w:r>
    </w:p>
    <w:p>
      <w:pPr>
        <w:spacing w:after="80" w:before="120"/>
      </w:pPr>
      <w:r>
        <w:rPr>
          <w:rFonts w:ascii="Times New Roman" w:cs="Times New Roman" w:eastAsia="Times New Roman" w:hAnsi="Times New Roman"/>
          <w:b/>
          <w:bCs/>
          <w:sz w:val="24"/>
          <w:szCs w:val="24"/>
        </w:rPr>
        <w:t xml:space="preserve">Abstract</w:t>
      </w:r>
    </w:p>
    <w:p>
      <w:pPr>
        <w:spacing w:after="120"/>
      </w:pPr>
      <w:r>
        <w:rPr>
          <w:rFonts w:ascii="Times New Roman" w:cs="Times New Roman" w:eastAsia="Times New Roman" w:hAnsi="Times New Roman"/>
          <w:sz w:val="22"/>
          <w:szCs w:val="22"/>
        </w:rPr>
        <w:t xml:space="preserve">In this lab we built a simple but complete system that looks at pictures of steel surfaces and decides whether a defect is present. The main idea is to use Histogram of Oriented Gradients (HOG) features together with two classical machine-learning models: a support-vector machine and a random forest. We worked with the NEU surface-defect dataset, which has 1800 grayscale images belonging to six types of defects. After resizing every image to 128×128 we extracted HOG features under nine different settings (cell sizes 4×4, 8×8, 16×16 and orientation counts 6, 9, 12). The best combination gave us 94.7 % accuracy with the SVM. We also checked how the same model behaves when the images are made brighter or darker, when noise is added, when they are rotated a little, or when they are blurred. Blur hurt the results the most. At the end we wrote a small decision module that prints “ACCEPT PRODUCT” or “REJECT PRODUCT” so the system can be used on a real inspection line. Overall the experiments show that HOG is still a useful and fast method when deep learning is not practical.</w:t>
      </w:r>
    </w:p>
    <w:p>
      <w:pPr>
        <w:spacing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HOG, steel surface defect, NEU dataset, SVM, random forest, industrial inspection, robustness.</w:t>
      </w:r>
    </w:p>
    <w:p>
      <w:pPr>
        <w:pStyle w:val="Heading1"/>
      </w:pPr>
      <w:r>
        <w:rPr>
          <w:b/>
          <w:bCs/>
        </w:rPr>
        <w:t xml:space="preserve">1. Introduction</w:t>
      </w:r>
    </w:p>
    <w:p>
      <w:pPr>
        <w:spacing w:after="120"/>
      </w:pPr>
      <w:r>
        <w:rPr>
          <w:rFonts w:ascii="Times New Roman" w:cs="Times New Roman" w:eastAsia="Times New Roman" w:hAnsi="Times New Roman"/>
          <w:sz w:val="24"/>
          <w:szCs w:val="24"/>
        </w:rPr>
        <w:t xml:space="preserve">Steel strip is used everywhere – cars, buildings, appliances. If the surface has scratches, inclusions or other defects, the product may be rejected later or even cause safety problems. Most factories still rely on human inspectors who watch the moving strip. People get tired, lighting changes, and the line speed is high, so mistakes happen.</w:t>
      </w:r>
    </w:p>
    <w:p>
      <w:pPr>
        <w:spacing w:after="120"/>
      </w:pPr>
      <w:r>
        <w:rPr>
          <w:rFonts w:ascii="Times New Roman" w:cs="Times New Roman" w:eastAsia="Times New Roman" w:hAnsi="Times New Roman"/>
          <w:sz w:val="24"/>
          <w:szCs w:val="24"/>
        </w:rPr>
        <w:t xml:space="preserve">Computer vision can help. Many recent papers use deep neural networks and report almost perfect scores on public datasets. Those networks need a lot of data, a GPU, and careful training. In a student lab or in a small factory that may not be realistic. That is why we decided to look at a classical method – the Histogram of Oriented Gradients (HOG) – and see how far it can go.</w:t>
      </w:r>
    </w:p>
    <w:p>
      <w:pPr>
        <w:spacing w:after="120"/>
      </w:pPr>
      <w:r>
        <w:rPr>
          <w:rFonts w:ascii="Times New Roman" w:cs="Times New Roman" w:eastAsia="Times New Roman" w:hAnsi="Times New Roman"/>
          <w:sz w:val="24"/>
          <w:szCs w:val="24"/>
        </w:rPr>
        <w:t xml:space="preserve">HOG was first made for pedestrian detection. It counts the directions of edges inside small blocks of the image. Because most steel defects show up as edges or texture changes, HOG seems a natural choice. Earlier papers already tried HOG on the NEU dataset, but they usually kept the default settings (8×8 cells, 9 bins) and did not test what happens when the pictures become noisy or slightly rotated. We wanted to fill that gap.</w:t>
      </w:r>
    </w:p>
    <w:p>
      <w:pPr>
        <w:spacing w:after="120"/>
      </w:pPr>
      <w:r>
        <w:rPr>
          <w:rFonts w:ascii="Times New Roman" w:cs="Times New Roman" w:eastAsia="Times New Roman" w:hAnsi="Times New Roman"/>
          <w:sz w:val="24"/>
          <w:szCs w:val="24"/>
        </w:rPr>
        <w:t xml:space="preserve">In this report we describe the full pipeline we built: resizing, HOG extraction under different parameters, training of two classifiers, comparison of results, robustness tests, and a simple accept/reject decision module. All numbers come from experiments we ran ourselves on the NEU images.</w:t>
      </w:r>
    </w:p>
    <w:p>
      <w:pPr>
        <w:pStyle w:val="Heading1"/>
      </w:pPr>
      <w:r>
        <w:rPr>
          <w:b/>
          <w:bCs/>
        </w:rPr>
        <w:t xml:space="preserve">2. Related Work</w:t>
      </w:r>
    </w:p>
    <w:p>
      <w:pPr>
        <w:spacing w:after="120"/>
      </w:pPr>
      <w:r>
        <w:rPr>
          <w:rFonts w:ascii="Times New Roman" w:cs="Times New Roman" w:eastAsia="Times New Roman" w:hAnsi="Times New Roman"/>
          <w:sz w:val="24"/>
          <w:szCs w:val="24"/>
        </w:rPr>
        <w:t xml:space="preserve">The NEU surface-defect database was created by Song and Yan at Northeastern University. It contains 300 pictures for each of six defect types: crazing, inclusion, patches, pitted surface, rolled-in scale and scratches. The images are grayscale and 200×200 pixels. A lot of later work has used this set. Some papers stayed with hand-crafted features such as completed local binary patterns; others moved to residual networks or YOLO-style detectors and reached more than 99 % accuracy.</w:t>
      </w:r>
    </w:p>
    <w:p>
      <w:pPr>
        <w:spacing w:after="120"/>
      </w:pPr>
      <w:r>
        <w:rPr>
          <w:rFonts w:ascii="Times New Roman" w:cs="Times New Roman" w:eastAsia="Times New Roman" w:hAnsi="Times New Roman"/>
          <w:sz w:val="24"/>
          <w:szCs w:val="24"/>
        </w:rPr>
        <w:t xml:space="preserve">HOG itself appears in fewer steel-defect papers. Most authors simply take the default 8×8 cell size and 9 orientation bins that Dalal and Triggs suggested for pedestrians. Very few studies change both parameters at the same time or measure how the accuracy falls when the test images are degraded. That is the main reason we decided to run a systematic grid of cell sizes and orientation counts, and also to add the four robustness tests required by the lab hand-out.</w:t>
      </w:r>
    </w:p>
    <w:p>
      <w:pPr>
        <w:spacing w:after="120"/>
      </w:pPr>
      <w:r>
        <w:rPr>
          <w:rFonts w:ascii="Times New Roman" w:cs="Times New Roman" w:eastAsia="Times New Roman" w:hAnsi="Times New Roman"/>
          <w:sz w:val="24"/>
          <w:szCs w:val="24"/>
        </w:rPr>
        <w:t xml:space="preserve">For the classification step we chose a support-vector machine with a radial-basis kernel and a random forest. Both are easy to train on a normal laptop and need no GPU. If the HOG features are already good, the difference between the two learners should stay small – which is exactly what we observed.</w:t>
      </w:r>
    </w:p>
    <w:p>
      <w:pPr>
        <w:pStyle w:val="Heading1"/>
      </w:pPr>
      <w:r>
        <w:rPr>
          <w:b/>
          <w:bCs/>
        </w:rPr>
        <w:t xml:space="preserve">3. Methodology</w:t>
      </w:r>
    </w:p>
    <w:p>
      <w:pPr>
        <w:pStyle w:val="Heading2"/>
      </w:pPr>
      <w:r>
        <w:rPr>
          <w:b/>
          <w:bCs/>
        </w:rPr>
        <w:t xml:space="preserve">3.1 Dataset</w:t>
      </w:r>
    </w:p>
    <w:p>
      <w:pPr>
        <w:spacing w:after="120"/>
      </w:pPr>
      <w:r>
        <w:rPr>
          <w:rFonts w:ascii="Times New Roman" w:cs="Times New Roman" w:eastAsia="Times New Roman" w:hAnsi="Times New Roman"/>
          <w:sz w:val="24"/>
          <w:szCs w:val="24"/>
        </w:rPr>
        <w:t xml:space="preserve">We used the NEU-DET collection. All six classes are balanced (300 images each). The original images are already grayscale, so we only needed to resize them. Because the public set contains only defective samples, a true “normal versus defective” binary task would need extra defect-free pictures. For the main experiments we therefore stayed with the six-class problem. We split the data randomly but kept the class proportions: 80 % for training (1440 images) and 20 % for testing (360 images).</w:t>
      </w:r>
    </w:p>
    <w:p>
      <w:pPr>
        <w:pStyle w:val="Heading2"/>
      </w:pPr>
      <w:r>
        <w:rPr>
          <w:b/>
          <w:bCs/>
        </w:rPr>
        <w:t xml:space="preserve">3.2 Preprocessing</w:t>
      </w:r>
    </w:p>
    <w:p>
      <w:pPr>
        <w:spacing w:after="120"/>
      </w:pPr>
      <w:r>
        <w:rPr>
          <w:rFonts w:ascii="Times New Roman" w:cs="Times New Roman" w:eastAsia="Times New Roman" w:hAnsi="Times New Roman"/>
          <w:sz w:val="24"/>
          <w:szCs w:val="24"/>
        </w:rPr>
        <w:t xml:space="preserve">Every picture was resized to 128×128 pixels with bilinear interpolation. We kept the intensity values between 0 and 255. No extra contrast stretching was applied; the HOG algorithm already normalises each block, so global contrast changes are partly handled inside the descriptor.</w:t>
      </w:r>
    </w:p>
    <w:p>
      <w:pPr>
        <w:pStyle w:val="Heading2"/>
      </w:pPr>
      <w:r>
        <w:rPr>
          <w:b/>
          <w:bCs/>
        </w:rPr>
        <w:t xml:space="preserve">3.3 HOG Feature Extraction</w:t>
      </w:r>
    </w:p>
    <w:p>
      <w:pPr>
        <w:spacing w:after="120"/>
      </w:pPr>
      <w:r>
        <w:rPr>
          <w:rFonts w:ascii="Times New Roman" w:cs="Times New Roman" w:eastAsia="Times New Roman" w:hAnsi="Times New Roman"/>
          <w:sz w:val="24"/>
          <w:szCs w:val="24"/>
        </w:rPr>
        <w:t xml:space="preserve">We used the scikit-image implementation of HOG. Gradients are computed with a simple one-dimensional filter. Orientations are put into 6, 9 or 12 bins over the range 0–180°. Spatial cells can be 4×4, 8×8 or 16×16 pixels. Neighbouring cells form 2×2 blocks that are L2-Hys normalised. The length of the final feature vector changes with the chosen settings; for the default 8×8 / 9-bin case it is a few thousand dimensions. After extraction we standardised the vectors (zero mean, unit variance) on the training set and applied the same scaling to the test set.</w:t>
      </w:r>
    </w:p>
    <w:p>
      <w:pPr>
        <w:pStyle w:val="Heading2"/>
      </w:pPr>
      <w:r>
        <w:rPr>
          <w:b/>
          <w:bCs/>
        </w:rPr>
        <w:t xml:space="preserve">3.4 Classifiers</w:t>
      </w:r>
    </w:p>
    <w:p>
      <w:pPr>
        <w:spacing w:after="120"/>
      </w:pPr>
      <w:r>
        <w:rPr>
          <w:rFonts w:ascii="Times New Roman" w:cs="Times New Roman" w:eastAsia="Times New Roman" w:hAnsi="Times New Roman"/>
          <w:sz w:val="24"/>
          <w:szCs w:val="24"/>
        </w:rPr>
        <w:t xml:space="preserve">Two models were trained for every HOG setting. The first is an SVM with RBF kernel (C = 10, γ = “scale”). The second is a random forest with 200 trees and a maximum depth of 20. Both come from scikit-learn. We did not run a full grid search for the hyper-parameters because the lab time was limited; the values above worked well in a few pilot runs.</w:t>
      </w:r>
    </w:p>
    <w:p>
      <w:pPr>
        <w:pStyle w:val="Heading2"/>
      </w:pPr>
      <w:r>
        <w:rPr>
          <w:b/>
          <w:bCs/>
        </w:rPr>
        <w:t xml:space="preserve">3.5 Parameter Study and Robustness Tests</w:t>
      </w:r>
    </w:p>
    <w:p>
      <w:pPr>
        <w:spacing w:after="120"/>
      </w:pPr>
      <w:r>
        <w:rPr>
          <w:rFonts w:ascii="Times New Roman" w:cs="Times New Roman" w:eastAsia="Times New Roman" w:hAnsi="Times New Roman"/>
          <w:sz w:val="24"/>
          <w:szCs w:val="24"/>
        </w:rPr>
        <w:t xml:space="preserve">We tried every combination of the three cell sizes and three orientation counts – nine HOG versions in total. Each version was given to both the SVM and the random forest, so we trained 18 models. For the robustness part we took the best model and applied four kinds of disturbance to the test images: brightness multiplied by 0.6 or 1.5, Gaussian noise with σ = 15, rotation of ±15°, and a 5×5 Gaussian blur. After each disturbance we re-extracted HOG features and measured how much accuracy and macro-F1 dropped.</w:t>
      </w:r>
    </w:p>
    <w:p>
      <w:pPr>
        <w:pStyle w:val="Heading2"/>
      </w:pPr>
      <w:r>
        <w:rPr>
          <w:b/>
          <w:bCs/>
        </w:rPr>
        <w:t xml:space="preserve">3.6 Accept / Reject Decision Module</w:t>
      </w:r>
    </w:p>
    <w:p>
      <w:pPr>
        <w:spacing w:after="120"/>
      </w:pPr>
      <w:r>
        <w:rPr>
          <w:rFonts w:ascii="Times New Roman" w:cs="Times New Roman" w:eastAsia="Times New Roman" w:hAnsi="Times New Roman"/>
          <w:sz w:val="24"/>
          <w:szCs w:val="24"/>
        </w:rPr>
        <w:t xml:space="preserve">On a real production line the system only needs to say “accept” or “reject”. Our module takes the multi-class prediction and maps any defect class to “DEFECTIVE – REJECT PRODUCT”. If a normal class existed it would map that class to “NON-DEFECTIVE – ACCEPT PRODUCT”. The SVM also returns a probability; we print it as a confidence percentage so an operator can double-check low-confidence decisions.</w:t>
      </w:r>
    </w:p>
    <w:p>
      <w:pPr>
        <w:pStyle w:val="Heading1"/>
      </w:pPr>
      <w:r>
        <w:rPr>
          <w:b/>
          <w:bCs/>
        </w:rPr>
        <w:t xml:space="preserve">4. Results and Discussion</w:t>
      </w:r>
    </w:p>
    <w:p>
      <w:pPr>
        <w:pStyle w:val="Heading2"/>
      </w:pPr>
      <w:r>
        <w:rPr>
          <w:b/>
          <w:bCs/>
        </w:rPr>
        <w:t xml:space="preserve">4.1 Results with the Usual HOG Settings</w:t>
      </w:r>
    </w:p>
    <w:p>
      <w:pPr>
        <w:spacing w:after="120"/>
      </w:pPr>
      <w:r>
        <w:rPr>
          <w:rFonts w:ascii="Times New Roman" w:cs="Times New Roman" w:eastAsia="Times New Roman" w:hAnsi="Times New Roman"/>
          <w:sz w:val="24"/>
          <w:szCs w:val="24"/>
        </w:rPr>
        <w:t xml:space="preserve">When we used the classic 8×8 cells and 9 orientation bins, the SVM reached 93.6 % accuracy and 93.3 % macro-F1. The random forest was a little behind: 91.9 % accuracy and 91.5 % macro-F1. Both scores are comfortably above 90 %, which already shows that HOG captures most of the useful edge information. Looking at the confusion matrices, the biggest remaining mistakes are between “crazing” and “rolled-in scale”. Those two classes look quite similar once the image is only 128×128 pixels.</w:t>
      </w:r>
    </w:p>
    <w:p>
      <w:pPr>
        <w:pStyle w:val="Heading2"/>
      </w:pPr>
      <w:r>
        <w:rPr>
          <w:b/>
          <w:bCs/>
        </w:rPr>
        <w:t xml:space="preserve">4.2 Changing Cell Size and Number of Orientations</w:t>
      </w:r>
    </w:p>
    <w:p>
      <w:pPr>
        <w:spacing w:after="120"/>
      </w:pPr>
      <w:r>
        <w:rPr>
          <w:rFonts w:ascii="Times New Roman" w:cs="Times New Roman" w:eastAsia="Times New Roman" w:hAnsi="Times New Roman"/>
          <w:sz w:val="24"/>
          <w:szCs w:val="24"/>
        </w:rPr>
        <w:t xml:space="preserve">Table I lists every combination we tried. The single best result is 94.7 % accuracy (SVM, 8×8 cells, 12 bins). Making the cells smaller (4×4) gives a longer feature vector and, with only 1440 training images, starts to over-fit a little. Making the cells larger (16×16) loses the fine scratches, so accuracy falls by three to five points. Adding more orientation bins from 6 to 12 almost always helps by one or two points. The extra angular detail seems useful for separating defects whose main edges point in slightly different directions.</w:t>
      </w:r>
    </w:p>
    <w:p>
      <w:pPr>
        <w:spacing w:after="80" w:before="160"/>
        <w:jc w:val="center"/>
      </w:pPr>
      <w:r>
        <w:rPr>
          <w:rFonts w:ascii="Times New Roman" w:cs="Times New Roman" w:eastAsia="Times New Roman" w:hAnsi="Times New Roman"/>
          <w:i/>
          <w:iCs/>
          <w:sz w:val="20"/>
          <w:szCs w:val="20"/>
        </w:rPr>
        <w:t xml:space="preserve">Table I. Accuracy and macro-F1 for all HOG parameter combinations (SVM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00"/>
        <w:gridCol w:w="1300"/>
        <w:gridCol w:w="1300"/>
        <w:gridCol w:w="1300"/>
        <w:gridCol w:w="1260"/>
      </w:tblGrid>
      <w:tr>
        <w:tc>
          <w:tcPr>
            <w:tcW w:type="dxa" w:w="1400"/>
            <w:shd w:fill="D9E2F3" w:val="clear"/>
            <w:vAlign w:val="center"/>
          </w:tcPr>
          <w:p>
            <w:pPr>
              <w:jc w:val="center"/>
            </w:pPr>
            <w:r>
              <w:rPr>
                <w:rFonts w:ascii="Times New Roman" w:cs="Times New Roman" w:eastAsia="Times New Roman" w:hAnsi="Times New Roman"/>
                <w:b/>
                <w:bCs/>
                <w:sz w:val="18"/>
                <w:szCs w:val="18"/>
              </w:rPr>
              <w:t xml:space="preserve">Cell size</w:t>
            </w:r>
          </w:p>
        </w:tc>
        <w:tc>
          <w:tcPr>
            <w:tcW w:type="dxa" w:w="1100"/>
            <w:shd w:fill="D9E2F3" w:val="clear"/>
            <w:vAlign w:val="center"/>
          </w:tcPr>
          <w:p>
            <w:pPr>
              <w:jc w:val="center"/>
            </w:pPr>
            <w:r>
              <w:rPr>
                <w:rFonts w:ascii="Times New Roman" w:cs="Times New Roman" w:eastAsia="Times New Roman" w:hAnsi="Times New Roman"/>
                <w:b/>
                <w:bCs/>
                <w:sz w:val="18"/>
                <w:szCs w:val="18"/>
              </w:rPr>
              <w:t xml:space="preserve">Orient.</w:t>
            </w:r>
          </w:p>
        </w:tc>
        <w:tc>
          <w:tcPr>
            <w:tcW w:type="dxa" w:w="1700"/>
            <w:shd w:fill="D9E2F3" w:val="clear"/>
            <w:vAlign w:val="center"/>
          </w:tcPr>
          <w:p>
            <w:pPr>
              <w:jc w:val="center"/>
            </w:pPr>
            <w:r>
              <w:rPr>
                <w:rFonts w:ascii="Times New Roman" w:cs="Times New Roman" w:eastAsia="Times New Roman" w:hAnsi="Times New Roman"/>
                <w:b/>
                <w:bCs/>
                <w:sz w:val="18"/>
                <w:szCs w:val="18"/>
              </w:rPr>
              <w:t xml:space="preserve">Classifier</w:t>
            </w:r>
          </w:p>
        </w:tc>
        <w:tc>
          <w:tcPr>
            <w:tcW w:type="dxa" w:w="1300"/>
            <w:shd w:fill="D9E2F3" w:val="clear"/>
            <w:vAlign w:val="center"/>
          </w:tcPr>
          <w:p>
            <w:pPr>
              <w:jc w:val="center"/>
            </w:pPr>
            <w:r>
              <w:rPr>
                <w:rFonts w:ascii="Times New Roman" w:cs="Times New Roman" w:eastAsia="Times New Roman" w:hAnsi="Times New Roman"/>
                <w:b/>
                <w:bCs/>
                <w:sz w:val="18"/>
                <w:szCs w:val="18"/>
              </w:rPr>
              <w:t xml:space="preserve">Acc. %</w:t>
            </w:r>
          </w:p>
        </w:tc>
        <w:tc>
          <w:tcPr>
            <w:tcW w:type="dxa" w:w="1300"/>
            <w:shd w:fill="D9E2F3" w:val="clear"/>
            <w:vAlign w:val="center"/>
          </w:tcPr>
          <w:p>
            <w:pPr>
              <w:jc w:val="center"/>
            </w:pPr>
            <w:r>
              <w:rPr>
                <w:rFonts w:ascii="Times New Roman" w:cs="Times New Roman" w:eastAsia="Times New Roman" w:hAnsi="Times New Roman"/>
                <w:b/>
                <w:bCs/>
                <w:sz w:val="18"/>
                <w:szCs w:val="18"/>
              </w:rPr>
              <w:t xml:space="preserve">Prec. %</w:t>
            </w:r>
          </w:p>
        </w:tc>
        <w:tc>
          <w:tcPr>
            <w:tcW w:type="dxa" w:w="1300"/>
            <w:shd w:fill="D9E2F3" w:val="clear"/>
            <w:vAlign w:val="center"/>
          </w:tcPr>
          <w:p>
            <w:pPr>
              <w:jc w:val="center"/>
            </w:pPr>
            <w:r>
              <w:rPr>
                <w:rFonts w:ascii="Times New Roman" w:cs="Times New Roman" w:eastAsia="Times New Roman" w:hAnsi="Times New Roman"/>
                <w:b/>
                <w:bCs/>
                <w:sz w:val="18"/>
                <w:szCs w:val="18"/>
              </w:rPr>
              <w:t xml:space="preserve">Rec. %</w:t>
            </w:r>
          </w:p>
        </w:tc>
        <w:tc>
          <w:tcPr>
            <w:tcW w:type="dxa" w:w="1260"/>
            <w:shd w:fill="D9E2F3" w:val="clear"/>
            <w:vAlign w:val="center"/>
          </w:tcPr>
          <w:p>
            <w:pPr>
              <w:jc w:val="center"/>
            </w:pPr>
            <w:r>
              <w:rPr>
                <w:rFonts w:ascii="Times New Roman" w:cs="Times New Roman" w:eastAsia="Times New Roman" w:hAnsi="Times New Roman"/>
                <w:b/>
                <w:bCs/>
                <w:sz w:val="18"/>
                <w:szCs w:val="18"/>
              </w:rPr>
              <w:t xml:space="preserve">F1 %</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4×4</w:t>
            </w:r>
          </w:p>
        </w:tc>
        <w:tc>
          <w:tcPr>
            <w:tcW w:type="dxa" w:w="1100"/>
            <w:vAlign w:val="center"/>
          </w:tcPr>
          <w:p>
            <w:pPr>
              <w:jc w:val="center"/>
            </w:pPr>
            <w:r>
              <w:rPr>
                <w:rFonts w:ascii="Times New Roman" w:cs="Times New Roman" w:eastAsia="Times New Roman" w:hAnsi="Times New Roman"/>
                <w:b w:val="false"/>
                <w:bCs w:val="false"/>
                <w:sz w:val="18"/>
                <w:szCs w:val="18"/>
              </w:rPr>
              <w:t xml:space="preserve">6</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91.4</w:t>
            </w:r>
          </w:p>
        </w:tc>
        <w:tc>
          <w:tcPr>
            <w:tcW w:type="dxa" w:w="1300"/>
            <w:vAlign w:val="center"/>
          </w:tcPr>
          <w:p>
            <w:pPr>
              <w:jc w:val="center"/>
            </w:pPr>
            <w:r>
              <w:rPr>
                <w:rFonts w:ascii="Times New Roman" w:cs="Times New Roman" w:eastAsia="Times New Roman" w:hAnsi="Times New Roman"/>
                <w:b w:val="false"/>
                <w:bCs w:val="false"/>
                <w:sz w:val="18"/>
                <w:szCs w:val="18"/>
              </w:rPr>
              <w:t xml:space="preserve">91.1</w:t>
            </w:r>
          </w:p>
        </w:tc>
        <w:tc>
          <w:tcPr>
            <w:tcW w:type="dxa" w:w="1300"/>
            <w:vAlign w:val="center"/>
          </w:tcPr>
          <w:p>
            <w:pPr>
              <w:jc w:val="center"/>
            </w:pPr>
            <w:r>
              <w:rPr>
                <w:rFonts w:ascii="Times New Roman" w:cs="Times New Roman" w:eastAsia="Times New Roman" w:hAnsi="Times New Roman"/>
                <w:b w:val="false"/>
                <w:bCs w:val="false"/>
                <w:sz w:val="18"/>
                <w:szCs w:val="18"/>
              </w:rPr>
              <w:t xml:space="preserve">91.2</w:t>
            </w:r>
          </w:p>
        </w:tc>
        <w:tc>
          <w:tcPr>
            <w:tcW w:type="dxa" w:w="1260"/>
            <w:vAlign w:val="center"/>
          </w:tcPr>
          <w:p>
            <w:pPr>
              <w:jc w:val="center"/>
            </w:pPr>
            <w:r>
              <w:rPr>
                <w:rFonts w:ascii="Times New Roman" w:cs="Times New Roman" w:eastAsia="Times New Roman" w:hAnsi="Times New Roman"/>
                <w:b w:val="false"/>
                <w:bCs w:val="false"/>
                <w:sz w:val="18"/>
                <w:szCs w:val="18"/>
              </w:rPr>
              <w:t xml:space="preserve">91.1</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4×4</w:t>
            </w:r>
          </w:p>
        </w:tc>
        <w:tc>
          <w:tcPr>
            <w:tcW w:type="dxa" w:w="1100"/>
            <w:vAlign w:val="center"/>
          </w:tcPr>
          <w:p>
            <w:pPr>
              <w:jc w:val="center"/>
            </w:pPr>
            <w:r>
              <w:rPr>
                <w:rFonts w:ascii="Times New Roman" w:cs="Times New Roman" w:eastAsia="Times New Roman" w:hAnsi="Times New Roman"/>
                <w:b w:val="false"/>
                <w:bCs w:val="false"/>
                <w:sz w:val="18"/>
                <w:szCs w:val="18"/>
              </w:rPr>
              <w:t xml:space="preserve">9</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92.8</w:t>
            </w:r>
          </w:p>
        </w:tc>
        <w:tc>
          <w:tcPr>
            <w:tcW w:type="dxa" w:w="1300"/>
            <w:vAlign w:val="center"/>
          </w:tcPr>
          <w:p>
            <w:pPr>
              <w:jc w:val="center"/>
            </w:pPr>
            <w:r>
              <w:rPr>
                <w:rFonts w:ascii="Times New Roman" w:cs="Times New Roman" w:eastAsia="Times New Roman" w:hAnsi="Times New Roman"/>
                <w:b w:val="false"/>
                <w:bCs w:val="false"/>
                <w:sz w:val="18"/>
                <w:szCs w:val="18"/>
              </w:rPr>
              <w:t xml:space="preserve">92.5</w:t>
            </w:r>
          </w:p>
        </w:tc>
        <w:tc>
          <w:tcPr>
            <w:tcW w:type="dxa" w:w="1300"/>
            <w:vAlign w:val="center"/>
          </w:tcPr>
          <w:p>
            <w:pPr>
              <w:jc w:val="center"/>
            </w:pPr>
            <w:r>
              <w:rPr>
                <w:rFonts w:ascii="Times New Roman" w:cs="Times New Roman" w:eastAsia="Times New Roman" w:hAnsi="Times New Roman"/>
                <w:b w:val="false"/>
                <w:bCs w:val="false"/>
                <w:sz w:val="18"/>
                <w:szCs w:val="18"/>
              </w:rPr>
              <w:t xml:space="preserve">92.6</w:t>
            </w:r>
          </w:p>
        </w:tc>
        <w:tc>
          <w:tcPr>
            <w:tcW w:type="dxa" w:w="1260"/>
            <w:vAlign w:val="center"/>
          </w:tcPr>
          <w:p>
            <w:pPr>
              <w:jc w:val="center"/>
            </w:pPr>
            <w:r>
              <w:rPr>
                <w:rFonts w:ascii="Times New Roman" w:cs="Times New Roman" w:eastAsia="Times New Roman" w:hAnsi="Times New Roman"/>
                <w:b w:val="false"/>
                <w:bCs w:val="false"/>
                <w:sz w:val="18"/>
                <w:szCs w:val="18"/>
              </w:rPr>
              <w:t xml:space="preserve">92.5</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4×4</w:t>
            </w:r>
          </w:p>
        </w:tc>
        <w:tc>
          <w:tcPr>
            <w:tcW w:type="dxa" w:w="1100"/>
            <w:vAlign w:val="center"/>
          </w:tcPr>
          <w:p>
            <w:pPr>
              <w:jc w:val="center"/>
            </w:pPr>
            <w:r>
              <w:rPr>
                <w:rFonts w:ascii="Times New Roman" w:cs="Times New Roman" w:eastAsia="Times New Roman" w:hAnsi="Times New Roman"/>
                <w:b w:val="false"/>
                <w:bCs w:val="false"/>
                <w:sz w:val="18"/>
                <w:szCs w:val="18"/>
              </w:rPr>
              <w:t xml:space="preserve">12</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93.1</w:t>
            </w:r>
          </w:p>
        </w:tc>
        <w:tc>
          <w:tcPr>
            <w:tcW w:type="dxa" w:w="1300"/>
            <w:vAlign w:val="center"/>
          </w:tcPr>
          <w:p>
            <w:pPr>
              <w:jc w:val="center"/>
            </w:pPr>
            <w:r>
              <w:rPr>
                <w:rFonts w:ascii="Times New Roman" w:cs="Times New Roman" w:eastAsia="Times New Roman" w:hAnsi="Times New Roman"/>
                <w:b w:val="false"/>
                <w:bCs w:val="false"/>
                <w:sz w:val="18"/>
                <w:szCs w:val="18"/>
              </w:rPr>
              <w:t xml:space="preserve">92.9</w:t>
            </w:r>
          </w:p>
        </w:tc>
        <w:tc>
          <w:tcPr>
            <w:tcW w:type="dxa" w:w="1300"/>
            <w:vAlign w:val="center"/>
          </w:tcPr>
          <w:p>
            <w:pPr>
              <w:jc w:val="center"/>
            </w:pPr>
            <w:r>
              <w:rPr>
                <w:rFonts w:ascii="Times New Roman" w:cs="Times New Roman" w:eastAsia="Times New Roman" w:hAnsi="Times New Roman"/>
                <w:b w:val="false"/>
                <w:bCs w:val="false"/>
                <w:sz w:val="18"/>
                <w:szCs w:val="18"/>
              </w:rPr>
              <w:t xml:space="preserve">92.9</w:t>
            </w:r>
          </w:p>
        </w:tc>
        <w:tc>
          <w:tcPr>
            <w:tcW w:type="dxa" w:w="1260"/>
            <w:vAlign w:val="center"/>
          </w:tcPr>
          <w:p>
            <w:pPr>
              <w:jc w:val="center"/>
            </w:pPr>
            <w:r>
              <w:rPr>
                <w:rFonts w:ascii="Times New Roman" w:cs="Times New Roman" w:eastAsia="Times New Roman" w:hAnsi="Times New Roman"/>
                <w:b w:val="false"/>
                <w:bCs w:val="false"/>
                <w:sz w:val="18"/>
                <w:szCs w:val="18"/>
              </w:rPr>
              <w:t xml:space="preserve">92.8</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8×8</w:t>
            </w:r>
          </w:p>
        </w:tc>
        <w:tc>
          <w:tcPr>
            <w:tcW w:type="dxa" w:w="1100"/>
            <w:vAlign w:val="center"/>
          </w:tcPr>
          <w:p>
            <w:pPr>
              <w:jc w:val="center"/>
            </w:pPr>
            <w:r>
              <w:rPr>
                <w:rFonts w:ascii="Times New Roman" w:cs="Times New Roman" w:eastAsia="Times New Roman" w:hAnsi="Times New Roman"/>
                <w:b w:val="false"/>
                <w:bCs w:val="false"/>
                <w:sz w:val="18"/>
                <w:szCs w:val="18"/>
              </w:rPr>
              <w:t xml:space="preserve">6</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92.5</w:t>
            </w:r>
          </w:p>
        </w:tc>
        <w:tc>
          <w:tcPr>
            <w:tcW w:type="dxa" w:w="1300"/>
            <w:vAlign w:val="center"/>
          </w:tcPr>
          <w:p>
            <w:pPr>
              <w:jc w:val="center"/>
            </w:pPr>
            <w:r>
              <w:rPr>
                <w:rFonts w:ascii="Times New Roman" w:cs="Times New Roman" w:eastAsia="Times New Roman" w:hAnsi="Times New Roman"/>
                <w:b w:val="false"/>
                <w:bCs w:val="false"/>
                <w:sz w:val="18"/>
                <w:szCs w:val="18"/>
              </w:rPr>
              <w:t xml:space="preserve">92.2</w:t>
            </w:r>
          </w:p>
        </w:tc>
        <w:tc>
          <w:tcPr>
            <w:tcW w:type="dxa" w:w="1300"/>
            <w:vAlign w:val="center"/>
          </w:tcPr>
          <w:p>
            <w:pPr>
              <w:jc w:val="center"/>
            </w:pPr>
            <w:r>
              <w:rPr>
                <w:rFonts w:ascii="Times New Roman" w:cs="Times New Roman" w:eastAsia="Times New Roman" w:hAnsi="Times New Roman"/>
                <w:b w:val="false"/>
                <w:bCs w:val="false"/>
                <w:sz w:val="18"/>
                <w:szCs w:val="18"/>
              </w:rPr>
              <w:t xml:space="preserve">92.3</w:t>
            </w:r>
          </w:p>
        </w:tc>
        <w:tc>
          <w:tcPr>
            <w:tcW w:type="dxa" w:w="1260"/>
            <w:vAlign w:val="center"/>
          </w:tcPr>
          <w:p>
            <w:pPr>
              <w:jc w:val="center"/>
            </w:pPr>
            <w:r>
              <w:rPr>
                <w:rFonts w:ascii="Times New Roman" w:cs="Times New Roman" w:eastAsia="Times New Roman" w:hAnsi="Times New Roman"/>
                <w:b w:val="false"/>
                <w:bCs w:val="false"/>
                <w:sz w:val="18"/>
                <w:szCs w:val="18"/>
              </w:rPr>
              <w:t xml:space="preserve">92.2</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8×8</w:t>
            </w:r>
          </w:p>
        </w:tc>
        <w:tc>
          <w:tcPr>
            <w:tcW w:type="dxa" w:w="1100"/>
            <w:vAlign w:val="center"/>
          </w:tcPr>
          <w:p>
            <w:pPr>
              <w:jc w:val="center"/>
            </w:pPr>
            <w:r>
              <w:rPr>
                <w:rFonts w:ascii="Times New Roman" w:cs="Times New Roman" w:eastAsia="Times New Roman" w:hAnsi="Times New Roman"/>
                <w:b w:val="false"/>
                <w:bCs w:val="false"/>
                <w:sz w:val="18"/>
                <w:szCs w:val="18"/>
              </w:rPr>
              <w:t xml:space="preserve">9</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93.6</w:t>
            </w:r>
          </w:p>
        </w:tc>
        <w:tc>
          <w:tcPr>
            <w:tcW w:type="dxa" w:w="1300"/>
            <w:vAlign w:val="center"/>
          </w:tcPr>
          <w:p>
            <w:pPr>
              <w:jc w:val="center"/>
            </w:pPr>
            <w:r>
              <w:rPr>
                <w:rFonts w:ascii="Times New Roman" w:cs="Times New Roman" w:eastAsia="Times New Roman" w:hAnsi="Times New Roman"/>
                <w:b w:val="false"/>
                <w:bCs w:val="false"/>
                <w:sz w:val="18"/>
                <w:szCs w:val="18"/>
              </w:rPr>
              <w:t xml:space="preserve">93.4</w:t>
            </w:r>
          </w:p>
        </w:tc>
        <w:tc>
          <w:tcPr>
            <w:tcW w:type="dxa" w:w="1300"/>
            <w:vAlign w:val="center"/>
          </w:tcPr>
          <w:p>
            <w:pPr>
              <w:jc w:val="center"/>
            </w:pPr>
            <w:r>
              <w:rPr>
                <w:rFonts w:ascii="Times New Roman" w:cs="Times New Roman" w:eastAsia="Times New Roman" w:hAnsi="Times New Roman"/>
                <w:b w:val="false"/>
                <w:bCs w:val="false"/>
                <w:sz w:val="18"/>
                <w:szCs w:val="18"/>
              </w:rPr>
              <w:t xml:space="preserve">93.4</w:t>
            </w:r>
          </w:p>
        </w:tc>
        <w:tc>
          <w:tcPr>
            <w:tcW w:type="dxa" w:w="1260"/>
            <w:vAlign w:val="center"/>
          </w:tcPr>
          <w:p>
            <w:pPr>
              <w:jc w:val="center"/>
            </w:pPr>
            <w:r>
              <w:rPr>
                <w:rFonts w:ascii="Times New Roman" w:cs="Times New Roman" w:eastAsia="Times New Roman" w:hAnsi="Times New Roman"/>
                <w:b w:val="false"/>
                <w:bCs w:val="false"/>
                <w:sz w:val="18"/>
                <w:szCs w:val="18"/>
              </w:rPr>
              <w:t xml:space="preserve">93.3</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8×8</w:t>
            </w:r>
          </w:p>
        </w:tc>
        <w:tc>
          <w:tcPr>
            <w:tcW w:type="dxa" w:w="1100"/>
            <w:vAlign w:val="center"/>
          </w:tcPr>
          <w:p>
            <w:pPr>
              <w:jc w:val="center"/>
            </w:pPr>
            <w:r>
              <w:rPr>
                <w:rFonts w:ascii="Times New Roman" w:cs="Times New Roman" w:eastAsia="Times New Roman" w:hAnsi="Times New Roman"/>
                <w:b w:val="false"/>
                <w:bCs w:val="false"/>
                <w:sz w:val="18"/>
                <w:szCs w:val="18"/>
              </w:rPr>
              <w:t xml:space="preserve">12</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94.7</w:t>
            </w:r>
          </w:p>
        </w:tc>
        <w:tc>
          <w:tcPr>
            <w:tcW w:type="dxa" w:w="1300"/>
            <w:vAlign w:val="center"/>
          </w:tcPr>
          <w:p>
            <w:pPr>
              <w:jc w:val="center"/>
            </w:pPr>
            <w:r>
              <w:rPr>
                <w:rFonts w:ascii="Times New Roman" w:cs="Times New Roman" w:eastAsia="Times New Roman" w:hAnsi="Times New Roman"/>
                <w:b w:val="false"/>
                <w:bCs w:val="false"/>
                <w:sz w:val="18"/>
                <w:szCs w:val="18"/>
              </w:rPr>
              <w:t xml:space="preserve">94.5</w:t>
            </w:r>
          </w:p>
        </w:tc>
        <w:tc>
          <w:tcPr>
            <w:tcW w:type="dxa" w:w="1300"/>
            <w:vAlign w:val="center"/>
          </w:tcPr>
          <w:p>
            <w:pPr>
              <w:jc w:val="center"/>
            </w:pPr>
            <w:r>
              <w:rPr>
                <w:rFonts w:ascii="Times New Roman" w:cs="Times New Roman" w:eastAsia="Times New Roman" w:hAnsi="Times New Roman"/>
                <w:b w:val="false"/>
                <w:bCs w:val="false"/>
                <w:sz w:val="18"/>
                <w:szCs w:val="18"/>
              </w:rPr>
              <w:t xml:space="preserve">94.5</w:t>
            </w:r>
          </w:p>
        </w:tc>
        <w:tc>
          <w:tcPr>
            <w:tcW w:type="dxa" w:w="1260"/>
            <w:vAlign w:val="center"/>
          </w:tcPr>
          <w:p>
            <w:pPr>
              <w:jc w:val="center"/>
            </w:pPr>
            <w:r>
              <w:rPr>
                <w:rFonts w:ascii="Times New Roman" w:cs="Times New Roman" w:eastAsia="Times New Roman" w:hAnsi="Times New Roman"/>
                <w:b w:val="false"/>
                <w:bCs w:val="false"/>
                <w:sz w:val="18"/>
                <w:szCs w:val="18"/>
              </w:rPr>
              <w:t xml:space="preserve">94.4</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16×16</w:t>
            </w:r>
          </w:p>
        </w:tc>
        <w:tc>
          <w:tcPr>
            <w:tcW w:type="dxa" w:w="1100"/>
            <w:vAlign w:val="center"/>
          </w:tcPr>
          <w:p>
            <w:pPr>
              <w:jc w:val="center"/>
            </w:pPr>
            <w:r>
              <w:rPr>
                <w:rFonts w:ascii="Times New Roman" w:cs="Times New Roman" w:eastAsia="Times New Roman" w:hAnsi="Times New Roman"/>
                <w:b w:val="false"/>
                <w:bCs w:val="false"/>
                <w:sz w:val="18"/>
                <w:szCs w:val="18"/>
              </w:rPr>
              <w:t xml:space="preserve">6</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88.9</w:t>
            </w:r>
          </w:p>
        </w:tc>
        <w:tc>
          <w:tcPr>
            <w:tcW w:type="dxa" w:w="1300"/>
            <w:vAlign w:val="center"/>
          </w:tcPr>
          <w:p>
            <w:pPr>
              <w:jc w:val="center"/>
            </w:pPr>
            <w:r>
              <w:rPr>
                <w:rFonts w:ascii="Times New Roman" w:cs="Times New Roman" w:eastAsia="Times New Roman" w:hAnsi="Times New Roman"/>
                <w:b w:val="false"/>
                <w:bCs w:val="false"/>
                <w:sz w:val="18"/>
                <w:szCs w:val="18"/>
              </w:rPr>
              <w:t xml:space="preserve">88.6</w:t>
            </w:r>
          </w:p>
        </w:tc>
        <w:tc>
          <w:tcPr>
            <w:tcW w:type="dxa" w:w="1300"/>
            <w:vAlign w:val="center"/>
          </w:tcPr>
          <w:p>
            <w:pPr>
              <w:jc w:val="center"/>
            </w:pPr>
            <w:r>
              <w:rPr>
                <w:rFonts w:ascii="Times New Roman" w:cs="Times New Roman" w:eastAsia="Times New Roman" w:hAnsi="Times New Roman"/>
                <w:b w:val="false"/>
                <w:bCs w:val="false"/>
                <w:sz w:val="18"/>
                <w:szCs w:val="18"/>
              </w:rPr>
              <w:t xml:space="preserve">88.7</w:t>
            </w:r>
          </w:p>
        </w:tc>
        <w:tc>
          <w:tcPr>
            <w:tcW w:type="dxa" w:w="1260"/>
            <w:vAlign w:val="center"/>
          </w:tcPr>
          <w:p>
            <w:pPr>
              <w:jc w:val="center"/>
            </w:pPr>
            <w:r>
              <w:rPr>
                <w:rFonts w:ascii="Times New Roman" w:cs="Times New Roman" w:eastAsia="Times New Roman" w:hAnsi="Times New Roman"/>
                <w:b w:val="false"/>
                <w:bCs w:val="false"/>
                <w:sz w:val="18"/>
                <w:szCs w:val="18"/>
              </w:rPr>
              <w:t xml:space="preserve">88.5</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16×16</w:t>
            </w:r>
          </w:p>
        </w:tc>
        <w:tc>
          <w:tcPr>
            <w:tcW w:type="dxa" w:w="1100"/>
            <w:vAlign w:val="center"/>
          </w:tcPr>
          <w:p>
            <w:pPr>
              <w:jc w:val="center"/>
            </w:pPr>
            <w:r>
              <w:rPr>
                <w:rFonts w:ascii="Times New Roman" w:cs="Times New Roman" w:eastAsia="Times New Roman" w:hAnsi="Times New Roman"/>
                <w:b w:val="false"/>
                <w:bCs w:val="false"/>
                <w:sz w:val="18"/>
                <w:szCs w:val="18"/>
              </w:rPr>
              <w:t xml:space="preserve">9</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90.3</w:t>
            </w:r>
          </w:p>
        </w:tc>
        <w:tc>
          <w:tcPr>
            <w:tcW w:type="dxa" w:w="1300"/>
            <w:vAlign w:val="center"/>
          </w:tcPr>
          <w:p>
            <w:pPr>
              <w:jc w:val="center"/>
            </w:pPr>
            <w:r>
              <w:rPr>
                <w:rFonts w:ascii="Times New Roman" w:cs="Times New Roman" w:eastAsia="Times New Roman" w:hAnsi="Times New Roman"/>
                <w:b w:val="false"/>
                <w:bCs w:val="false"/>
                <w:sz w:val="18"/>
                <w:szCs w:val="18"/>
              </w:rPr>
              <w:t xml:space="preserve">90.0</w:t>
            </w:r>
          </w:p>
        </w:tc>
        <w:tc>
          <w:tcPr>
            <w:tcW w:type="dxa" w:w="1300"/>
            <w:vAlign w:val="center"/>
          </w:tcPr>
          <w:p>
            <w:pPr>
              <w:jc w:val="center"/>
            </w:pPr>
            <w:r>
              <w:rPr>
                <w:rFonts w:ascii="Times New Roman" w:cs="Times New Roman" w:eastAsia="Times New Roman" w:hAnsi="Times New Roman"/>
                <w:b w:val="false"/>
                <w:bCs w:val="false"/>
                <w:sz w:val="18"/>
                <w:szCs w:val="18"/>
              </w:rPr>
              <w:t xml:space="preserve">90.1</w:t>
            </w:r>
          </w:p>
        </w:tc>
        <w:tc>
          <w:tcPr>
            <w:tcW w:type="dxa" w:w="1260"/>
            <w:vAlign w:val="center"/>
          </w:tcPr>
          <w:p>
            <w:pPr>
              <w:jc w:val="center"/>
            </w:pPr>
            <w:r>
              <w:rPr>
                <w:rFonts w:ascii="Times New Roman" w:cs="Times New Roman" w:eastAsia="Times New Roman" w:hAnsi="Times New Roman"/>
                <w:b w:val="false"/>
                <w:bCs w:val="false"/>
                <w:sz w:val="18"/>
                <w:szCs w:val="18"/>
              </w:rPr>
              <w:t xml:space="preserve">89.9</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16×16</w:t>
            </w:r>
          </w:p>
        </w:tc>
        <w:tc>
          <w:tcPr>
            <w:tcW w:type="dxa" w:w="1100"/>
            <w:vAlign w:val="center"/>
          </w:tcPr>
          <w:p>
            <w:pPr>
              <w:jc w:val="center"/>
            </w:pPr>
            <w:r>
              <w:rPr>
                <w:rFonts w:ascii="Times New Roman" w:cs="Times New Roman" w:eastAsia="Times New Roman" w:hAnsi="Times New Roman"/>
                <w:b w:val="false"/>
                <w:bCs w:val="false"/>
                <w:sz w:val="18"/>
                <w:szCs w:val="18"/>
              </w:rPr>
              <w:t xml:space="preserve">12</w:t>
            </w:r>
          </w:p>
        </w:tc>
        <w:tc>
          <w:tcPr>
            <w:tcW w:type="dxa" w:w="1700"/>
            <w:vAlign w:val="center"/>
          </w:tcPr>
          <w:p>
            <w:pPr>
              <w:jc w:val="center"/>
            </w:pPr>
            <w:r>
              <w:rPr>
                <w:rFonts w:ascii="Times New Roman" w:cs="Times New Roman" w:eastAsia="Times New Roman" w:hAnsi="Times New Roman"/>
                <w:b w:val="false"/>
                <w:bCs w:val="false"/>
                <w:sz w:val="18"/>
                <w:szCs w:val="18"/>
              </w:rPr>
              <w:t xml:space="preserve">SVM</w:t>
            </w:r>
          </w:p>
        </w:tc>
        <w:tc>
          <w:tcPr>
            <w:tcW w:type="dxa" w:w="1300"/>
            <w:vAlign w:val="center"/>
          </w:tcPr>
          <w:p>
            <w:pPr>
              <w:jc w:val="center"/>
            </w:pPr>
            <w:r>
              <w:rPr>
                <w:rFonts w:ascii="Times New Roman" w:cs="Times New Roman" w:eastAsia="Times New Roman" w:hAnsi="Times New Roman"/>
                <w:b w:val="false"/>
                <w:bCs w:val="false"/>
                <w:sz w:val="18"/>
                <w:szCs w:val="18"/>
              </w:rPr>
              <w:t xml:space="preserve">91.1</w:t>
            </w:r>
          </w:p>
        </w:tc>
        <w:tc>
          <w:tcPr>
            <w:tcW w:type="dxa" w:w="1300"/>
            <w:vAlign w:val="center"/>
          </w:tcPr>
          <w:p>
            <w:pPr>
              <w:jc w:val="center"/>
            </w:pPr>
            <w:r>
              <w:rPr>
                <w:rFonts w:ascii="Times New Roman" w:cs="Times New Roman" w:eastAsia="Times New Roman" w:hAnsi="Times New Roman"/>
                <w:b w:val="false"/>
                <w:bCs w:val="false"/>
                <w:sz w:val="18"/>
                <w:szCs w:val="18"/>
              </w:rPr>
              <w:t xml:space="preserve">90.8</w:t>
            </w:r>
          </w:p>
        </w:tc>
        <w:tc>
          <w:tcPr>
            <w:tcW w:type="dxa" w:w="1300"/>
            <w:vAlign w:val="center"/>
          </w:tcPr>
          <w:p>
            <w:pPr>
              <w:jc w:val="center"/>
            </w:pPr>
            <w:r>
              <w:rPr>
                <w:rFonts w:ascii="Times New Roman" w:cs="Times New Roman" w:eastAsia="Times New Roman" w:hAnsi="Times New Roman"/>
                <w:b w:val="false"/>
                <w:bCs w:val="false"/>
                <w:sz w:val="18"/>
                <w:szCs w:val="18"/>
              </w:rPr>
              <w:t xml:space="preserve">90.9</w:t>
            </w:r>
          </w:p>
        </w:tc>
        <w:tc>
          <w:tcPr>
            <w:tcW w:type="dxa" w:w="1260"/>
            <w:vAlign w:val="center"/>
          </w:tcPr>
          <w:p>
            <w:pPr>
              <w:jc w:val="center"/>
            </w:pPr>
            <w:r>
              <w:rPr>
                <w:rFonts w:ascii="Times New Roman" w:cs="Times New Roman" w:eastAsia="Times New Roman" w:hAnsi="Times New Roman"/>
                <w:b w:val="false"/>
                <w:bCs w:val="false"/>
                <w:sz w:val="18"/>
                <w:szCs w:val="18"/>
              </w:rPr>
              <w:t xml:space="preserve">90.7</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8×8</w:t>
            </w:r>
          </w:p>
        </w:tc>
        <w:tc>
          <w:tcPr>
            <w:tcW w:type="dxa" w:w="1100"/>
            <w:vAlign w:val="center"/>
          </w:tcPr>
          <w:p>
            <w:pPr>
              <w:jc w:val="center"/>
            </w:pPr>
            <w:r>
              <w:rPr>
                <w:rFonts w:ascii="Times New Roman" w:cs="Times New Roman" w:eastAsia="Times New Roman" w:hAnsi="Times New Roman"/>
                <w:b w:val="false"/>
                <w:bCs w:val="false"/>
                <w:sz w:val="18"/>
                <w:szCs w:val="18"/>
              </w:rPr>
              <w:t xml:space="preserve">9</w:t>
            </w:r>
          </w:p>
        </w:tc>
        <w:tc>
          <w:tcPr>
            <w:tcW w:type="dxa" w:w="1700"/>
            <w:vAlign w:val="center"/>
          </w:tcPr>
          <w:p>
            <w:pPr>
              <w:jc w:val="center"/>
            </w:pPr>
            <w:r>
              <w:rPr>
                <w:rFonts w:ascii="Times New Roman" w:cs="Times New Roman" w:eastAsia="Times New Roman" w:hAnsi="Times New Roman"/>
                <w:b w:val="false"/>
                <w:bCs w:val="false"/>
                <w:sz w:val="18"/>
                <w:szCs w:val="18"/>
              </w:rPr>
              <w:t xml:space="preserve">RF</w:t>
            </w:r>
          </w:p>
        </w:tc>
        <w:tc>
          <w:tcPr>
            <w:tcW w:type="dxa" w:w="1300"/>
            <w:vAlign w:val="center"/>
          </w:tcPr>
          <w:p>
            <w:pPr>
              <w:jc w:val="center"/>
            </w:pPr>
            <w:r>
              <w:rPr>
                <w:rFonts w:ascii="Times New Roman" w:cs="Times New Roman" w:eastAsia="Times New Roman" w:hAnsi="Times New Roman"/>
                <w:b w:val="false"/>
                <w:bCs w:val="false"/>
                <w:sz w:val="18"/>
                <w:szCs w:val="18"/>
              </w:rPr>
              <w:t xml:space="preserve">91.9</w:t>
            </w:r>
          </w:p>
        </w:tc>
        <w:tc>
          <w:tcPr>
            <w:tcW w:type="dxa" w:w="1300"/>
            <w:vAlign w:val="center"/>
          </w:tcPr>
          <w:p>
            <w:pPr>
              <w:jc w:val="center"/>
            </w:pPr>
            <w:r>
              <w:rPr>
                <w:rFonts w:ascii="Times New Roman" w:cs="Times New Roman" w:eastAsia="Times New Roman" w:hAnsi="Times New Roman"/>
                <w:b w:val="false"/>
                <w:bCs w:val="false"/>
                <w:sz w:val="18"/>
                <w:szCs w:val="18"/>
              </w:rPr>
              <w:t xml:space="preserve">91.6</w:t>
            </w:r>
          </w:p>
        </w:tc>
        <w:tc>
          <w:tcPr>
            <w:tcW w:type="dxa" w:w="1300"/>
            <w:vAlign w:val="center"/>
          </w:tcPr>
          <w:p>
            <w:pPr>
              <w:jc w:val="center"/>
            </w:pPr>
            <w:r>
              <w:rPr>
                <w:rFonts w:ascii="Times New Roman" w:cs="Times New Roman" w:eastAsia="Times New Roman" w:hAnsi="Times New Roman"/>
                <w:b w:val="false"/>
                <w:bCs w:val="false"/>
                <w:sz w:val="18"/>
                <w:szCs w:val="18"/>
              </w:rPr>
              <w:t xml:space="preserve">91.7</w:t>
            </w:r>
          </w:p>
        </w:tc>
        <w:tc>
          <w:tcPr>
            <w:tcW w:type="dxa" w:w="1260"/>
            <w:vAlign w:val="center"/>
          </w:tcPr>
          <w:p>
            <w:pPr>
              <w:jc w:val="center"/>
            </w:pPr>
            <w:r>
              <w:rPr>
                <w:rFonts w:ascii="Times New Roman" w:cs="Times New Roman" w:eastAsia="Times New Roman" w:hAnsi="Times New Roman"/>
                <w:b w:val="false"/>
                <w:bCs w:val="false"/>
                <w:sz w:val="18"/>
                <w:szCs w:val="18"/>
              </w:rPr>
              <w:t xml:space="preserve">91.5</w:t>
            </w:r>
          </w:p>
        </w:tc>
      </w:tr>
      <w:tr>
        <w:tc>
          <w:tcPr>
            <w:tcW w:type="dxa" w:w="1400"/>
            <w:vAlign w:val="center"/>
          </w:tcPr>
          <w:p>
            <w:pPr>
              <w:jc w:val="center"/>
            </w:pPr>
            <w:r>
              <w:rPr>
                <w:rFonts w:ascii="Times New Roman" w:cs="Times New Roman" w:eastAsia="Times New Roman" w:hAnsi="Times New Roman"/>
                <w:b w:val="false"/>
                <w:bCs w:val="false"/>
                <w:sz w:val="18"/>
                <w:szCs w:val="18"/>
              </w:rPr>
              <w:t xml:space="preserve">8×8</w:t>
            </w:r>
          </w:p>
        </w:tc>
        <w:tc>
          <w:tcPr>
            <w:tcW w:type="dxa" w:w="1100"/>
            <w:vAlign w:val="center"/>
          </w:tcPr>
          <w:p>
            <w:pPr>
              <w:jc w:val="center"/>
            </w:pPr>
            <w:r>
              <w:rPr>
                <w:rFonts w:ascii="Times New Roman" w:cs="Times New Roman" w:eastAsia="Times New Roman" w:hAnsi="Times New Roman"/>
                <w:b w:val="false"/>
                <w:bCs w:val="false"/>
                <w:sz w:val="18"/>
                <w:szCs w:val="18"/>
              </w:rPr>
              <w:t xml:space="preserve">12</w:t>
            </w:r>
          </w:p>
        </w:tc>
        <w:tc>
          <w:tcPr>
            <w:tcW w:type="dxa" w:w="1700"/>
            <w:vAlign w:val="center"/>
          </w:tcPr>
          <w:p>
            <w:pPr>
              <w:jc w:val="center"/>
            </w:pPr>
            <w:r>
              <w:rPr>
                <w:rFonts w:ascii="Times New Roman" w:cs="Times New Roman" w:eastAsia="Times New Roman" w:hAnsi="Times New Roman"/>
                <w:b w:val="false"/>
                <w:bCs w:val="false"/>
                <w:sz w:val="18"/>
                <w:szCs w:val="18"/>
              </w:rPr>
              <w:t xml:space="preserve">RF</w:t>
            </w:r>
          </w:p>
        </w:tc>
        <w:tc>
          <w:tcPr>
            <w:tcW w:type="dxa" w:w="1300"/>
            <w:vAlign w:val="center"/>
          </w:tcPr>
          <w:p>
            <w:pPr>
              <w:jc w:val="center"/>
            </w:pPr>
            <w:r>
              <w:rPr>
                <w:rFonts w:ascii="Times New Roman" w:cs="Times New Roman" w:eastAsia="Times New Roman" w:hAnsi="Times New Roman"/>
                <w:b w:val="false"/>
                <w:bCs w:val="false"/>
                <w:sz w:val="18"/>
                <w:szCs w:val="18"/>
              </w:rPr>
              <w:t xml:space="preserve">92.8</w:t>
            </w:r>
          </w:p>
        </w:tc>
        <w:tc>
          <w:tcPr>
            <w:tcW w:type="dxa" w:w="1300"/>
            <w:vAlign w:val="center"/>
          </w:tcPr>
          <w:p>
            <w:pPr>
              <w:jc w:val="center"/>
            </w:pPr>
            <w:r>
              <w:rPr>
                <w:rFonts w:ascii="Times New Roman" w:cs="Times New Roman" w:eastAsia="Times New Roman" w:hAnsi="Times New Roman"/>
                <w:b w:val="false"/>
                <w:bCs w:val="false"/>
                <w:sz w:val="18"/>
                <w:szCs w:val="18"/>
              </w:rPr>
              <w:t xml:space="preserve">92.5</w:t>
            </w:r>
          </w:p>
        </w:tc>
        <w:tc>
          <w:tcPr>
            <w:tcW w:type="dxa" w:w="1300"/>
            <w:vAlign w:val="center"/>
          </w:tcPr>
          <w:p>
            <w:pPr>
              <w:jc w:val="center"/>
            </w:pPr>
            <w:r>
              <w:rPr>
                <w:rFonts w:ascii="Times New Roman" w:cs="Times New Roman" w:eastAsia="Times New Roman" w:hAnsi="Times New Roman"/>
                <w:b w:val="false"/>
                <w:bCs w:val="false"/>
                <w:sz w:val="18"/>
                <w:szCs w:val="18"/>
              </w:rPr>
              <w:t xml:space="preserve">92.6</w:t>
            </w:r>
          </w:p>
        </w:tc>
        <w:tc>
          <w:tcPr>
            <w:tcW w:type="dxa" w:w="1260"/>
            <w:vAlign w:val="center"/>
          </w:tcPr>
          <w:p>
            <w:pPr>
              <w:jc w:val="center"/>
            </w:pPr>
            <w:r>
              <w:rPr>
                <w:rFonts w:ascii="Times New Roman" w:cs="Times New Roman" w:eastAsia="Times New Roman" w:hAnsi="Times New Roman"/>
                <w:b w:val="false"/>
                <w:bCs w:val="false"/>
                <w:sz w:val="18"/>
                <w:szCs w:val="18"/>
              </w:rPr>
              <w:t xml:space="preserve">92.4</w:t>
            </w:r>
          </w:p>
        </w:tc>
      </w:tr>
    </w:tbl>
    <w:p>
      <w:pPr>
        <w:spacing w:after="120" w:before="160"/>
      </w:pPr>
      <w:r>
        <w:rPr>
          <w:rFonts w:ascii="Times New Roman" w:cs="Times New Roman" w:eastAsia="Times New Roman" w:hAnsi="Times New Roman"/>
          <w:sz w:val="24"/>
          <w:szCs w:val="24"/>
        </w:rPr>
        <w:t xml:space="preserve">Looking at the whole table, the SVM is usually one or two points ahead of the random forest. The gap is small enough that either model could be used in practice. The forest trains faster and can tell us which HOG features matter most; the SVM simply gives a slightly higher score.</w:t>
      </w:r>
    </w:p>
    <w:p>
      <w:pPr>
        <w:pStyle w:val="Heading2"/>
      </w:pPr>
      <w:r>
        <w:rPr>
          <w:b/>
          <w:bCs/>
        </w:rPr>
        <w:t xml:space="preserve">4.3 What Happens When the Images Are Disturbed</w:t>
      </w:r>
    </w:p>
    <w:p>
      <w:pPr>
        <w:spacing w:after="120"/>
      </w:pPr>
      <w:r>
        <w:rPr>
          <w:rFonts w:ascii="Times New Roman" w:cs="Times New Roman" w:eastAsia="Times New Roman" w:hAnsi="Times New Roman"/>
          <w:sz w:val="24"/>
          <w:szCs w:val="24"/>
        </w:rPr>
        <w:t xml:space="preserve">Table II shows the robustness results for the best model (SVM, 8×8, 12 bins). Making the picture brighter (×1.5) hardly changes anything. Making it darker (×0.6) costs about three points. Adding moderate Gaussian noise drops accuracy by roughly five points. Rotating the image by 15 degrees in either direction also costs four to five points – not surprising, because we never showed the model any rotated examples during training. The biggest problem is blur: a 5×5 Gaussian blur removes the high-frequency edges that HOG depends on, and accuracy falls by more than eleven points.</w:t>
      </w:r>
    </w:p>
    <w:p>
      <w:pPr>
        <w:spacing w:after="80" w:before="160"/>
        <w:jc w:val="center"/>
      </w:pPr>
      <w:r>
        <w:rPr>
          <w:rFonts w:ascii="Times New Roman" w:cs="Times New Roman" w:eastAsia="Times New Roman" w:hAnsi="Times New Roman"/>
          <w:i/>
          <w:iCs/>
          <w:sz w:val="20"/>
          <w:szCs w:val="20"/>
        </w:rPr>
        <w:t xml:space="preserve">Table II. How the best HOG+SVM model reacts to different image disturbances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shd w:fill="D9E2F3" w:val="clear"/>
            <w:vAlign w:val="center"/>
          </w:tcPr>
          <w:p>
            <w:pPr>
              <w:jc w:val="center"/>
            </w:pPr>
            <w:r>
              <w:rPr>
                <w:rFonts w:ascii="Times New Roman" w:cs="Times New Roman" w:eastAsia="Times New Roman" w:hAnsi="Times New Roman"/>
                <w:b/>
                <w:bCs/>
                <w:sz w:val="18"/>
                <w:szCs w:val="18"/>
              </w:rPr>
              <w:t xml:space="preserve">Condition</w:t>
            </w:r>
          </w:p>
        </w:tc>
        <w:tc>
          <w:tcPr>
            <w:tcW w:type="dxa" w:w="1600"/>
            <w:shd w:fill="D9E2F3" w:val="clear"/>
            <w:vAlign w:val="center"/>
          </w:tcPr>
          <w:p>
            <w:pPr>
              <w:jc w:val="center"/>
            </w:pPr>
            <w:r>
              <w:rPr>
                <w:rFonts w:ascii="Times New Roman" w:cs="Times New Roman" w:eastAsia="Times New Roman" w:hAnsi="Times New Roman"/>
                <w:b/>
                <w:bCs/>
                <w:sz w:val="18"/>
                <w:szCs w:val="18"/>
              </w:rPr>
              <w:t xml:space="preserve">Accuracy</w:t>
            </w:r>
          </w:p>
        </w:tc>
        <w:tc>
          <w:tcPr>
            <w:tcW w:type="dxa" w:w="1600"/>
            <w:shd w:fill="D9E2F3" w:val="clear"/>
            <w:vAlign w:val="center"/>
          </w:tcPr>
          <w:p>
            <w:pPr>
              <w:jc w:val="center"/>
            </w:pPr>
            <w:r>
              <w:rPr>
                <w:rFonts w:ascii="Times New Roman" w:cs="Times New Roman" w:eastAsia="Times New Roman" w:hAnsi="Times New Roman"/>
                <w:b/>
                <w:bCs/>
                <w:sz w:val="18"/>
                <w:szCs w:val="18"/>
              </w:rPr>
              <w:t xml:space="preserve">Macro-F1</w:t>
            </w:r>
          </w:p>
        </w:tc>
        <w:tc>
          <w:tcPr>
            <w:tcW w:type="dxa" w:w="1680"/>
            <w:shd w:fill="D9E2F3" w:val="clear"/>
            <w:vAlign w:val="center"/>
          </w:tcPr>
          <w:p>
            <w:pPr>
              <w:jc w:val="center"/>
            </w:pPr>
            <w:r>
              <w:rPr>
                <w:rFonts w:ascii="Times New Roman" w:cs="Times New Roman" w:eastAsia="Times New Roman" w:hAnsi="Times New Roman"/>
                <w:b/>
                <w:bCs/>
                <w:sz w:val="18"/>
                <w:szCs w:val="18"/>
              </w:rPr>
              <w:t xml:space="preserve">Δ Acc.</w:t>
            </w:r>
          </w:p>
        </w:tc>
        <w:tc>
          <w:tcPr>
            <w:tcW w:type="dxa" w:w="1680"/>
            <w:shd w:fill="D9E2F3" w:val="clear"/>
            <w:vAlign w:val="center"/>
          </w:tcPr>
          <w:p>
            <w:pPr>
              <w:jc w:val="center"/>
            </w:pPr>
            <w:r>
              <w:rPr>
                <w:rFonts w:ascii="Times New Roman" w:cs="Times New Roman" w:eastAsia="Times New Roman" w:hAnsi="Times New Roman"/>
                <w:b/>
                <w:bCs/>
                <w:sz w:val="18"/>
                <w:szCs w:val="18"/>
              </w:rPr>
              <w:t xml:space="preserve">Δ F1</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Clean baseline</w:t>
            </w:r>
          </w:p>
        </w:tc>
        <w:tc>
          <w:tcPr>
            <w:tcW w:type="dxa" w:w="1600"/>
            <w:vAlign w:val="center"/>
          </w:tcPr>
          <w:p>
            <w:pPr>
              <w:jc w:val="center"/>
            </w:pPr>
            <w:r>
              <w:rPr>
                <w:rFonts w:ascii="Times New Roman" w:cs="Times New Roman" w:eastAsia="Times New Roman" w:hAnsi="Times New Roman"/>
                <w:b w:val="false"/>
                <w:bCs w:val="false"/>
                <w:sz w:val="18"/>
                <w:szCs w:val="18"/>
              </w:rPr>
              <w:t xml:space="preserve">94.7</w:t>
            </w:r>
          </w:p>
        </w:tc>
        <w:tc>
          <w:tcPr>
            <w:tcW w:type="dxa" w:w="1600"/>
            <w:vAlign w:val="center"/>
          </w:tcPr>
          <w:p>
            <w:pPr>
              <w:jc w:val="center"/>
            </w:pPr>
            <w:r>
              <w:rPr>
                <w:rFonts w:ascii="Times New Roman" w:cs="Times New Roman" w:eastAsia="Times New Roman" w:hAnsi="Times New Roman"/>
                <w:b w:val="false"/>
                <w:bCs w:val="false"/>
                <w:sz w:val="18"/>
                <w:szCs w:val="18"/>
              </w:rPr>
              <w:t xml:space="preserve">94.4</w:t>
            </w:r>
          </w:p>
        </w:tc>
        <w:tc>
          <w:tcPr>
            <w:tcW w:type="dxa" w:w="1680"/>
            <w:vAlign w:val="center"/>
          </w:tcPr>
          <w:p>
            <w:pPr>
              <w:jc w:val="center"/>
            </w:pPr>
            <w:r>
              <w:rPr>
                <w:rFonts w:ascii="Times New Roman" w:cs="Times New Roman" w:eastAsia="Times New Roman" w:hAnsi="Times New Roman"/>
                <w:b w:val="false"/>
                <w:bCs w:val="false"/>
                <w:sz w:val="18"/>
                <w:szCs w:val="18"/>
              </w:rPr>
              <w:t xml:space="preserve">—</w:t>
            </w:r>
          </w:p>
        </w:tc>
        <w:tc>
          <w:tcPr>
            <w:tcW w:type="dxa" w:w="1680"/>
            <w:vAlign w:val="center"/>
          </w:tcPr>
          <w:p>
            <w:pPr>
              <w:jc w:val="center"/>
            </w:pPr>
            <w:r>
              <w:rPr>
                <w:rFonts w:ascii="Times New Roman" w:cs="Times New Roman" w:eastAsia="Times New Roman" w:hAnsi="Times New Roman"/>
                <w:b w:val="false"/>
                <w:bCs w:val="false"/>
                <w:sz w:val="18"/>
                <w:szCs w:val="18"/>
              </w:rPr>
              <w:t xml:space="preserve">—</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Brightness ×1.5</w:t>
            </w:r>
          </w:p>
        </w:tc>
        <w:tc>
          <w:tcPr>
            <w:tcW w:type="dxa" w:w="1600"/>
            <w:vAlign w:val="center"/>
          </w:tcPr>
          <w:p>
            <w:pPr>
              <w:jc w:val="center"/>
            </w:pPr>
            <w:r>
              <w:rPr>
                <w:rFonts w:ascii="Times New Roman" w:cs="Times New Roman" w:eastAsia="Times New Roman" w:hAnsi="Times New Roman"/>
                <w:b w:val="false"/>
                <w:bCs w:val="false"/>
                <w:sz w:val="18"/>
                <w:szCs w:val="18"/>
              </w:rPr>
              <w:t xml:space="preserve">94.2</w:t>
            </w:r>
          </w:p>
        </w:tc>
        <w:tc>
          <w:tcPr>
            <w:tcW w:type="dxa" w:w="1600"/>
            <w:vAlign w:val="center"/>
          </w:tcPr>
          <w:p>
            <w:pPr>
              <w:jc w:val="center"/>
            </w:pPr>
            <w:r>
              <w:rPr>
                <w:rFonts w:ascii="Times New Roman" w:cs="Times New Roman" w:eastAsia="Times New Roman" w:hAnsi="Times New Roman"/>
                <w:b w:val="false"/>
                <w:bCs w:val="false"/>
                <w:sz w:val="18"/>
                <w:szCs w:val="18"/>
              </w:rPr>
              <w:t xml:space="preserve">93.9</w:t>
            </w:r>
          </w:p>
        </w:tc>
        <w:tc>
          <w:tcPr>
            <w:tcW w:type="dxa" w:w="1680"/>
            <w:vAlign w:val="center"/>
          </w:tcPr>
          <w:p>
            <w:pPr>
              <w:jc w:val="center"/>
            </w:pPr>
            <w:r>
              <w:rPr>
                <w:rFonts w:ascii="Times New Roman" w:cs="Times New Roman" w:eastAsia="Times New Roman" w:hAnsi="Times New Roman"/>
                <w:b w:val="false"/>
                <w:bCs w:val="false"/>
                <w:sz w:val="18"/>
                <w:szCs w:val="18"/>
              </w:rPr>
              <w:t xml:space="preserve">−0.5</w:t>
            </w:r>
          </w:p>
        </w:tc>
        <w:tc>
          <w:tcPr>
            <w:tcW w:type="dxa" w:w="1680"/>
            <w:vAlign w:val="center"/>
          </w:tcPr>
          <w:p>
            <w:pPr>
              <w:jc w:val="center"/>
            </w:pPr>
            <w:r>
              <w:rPr>
                <w:rFonts w:ascii="Times New Roman" w:cs="Times New Roman" w:eastAsia="Times New Roman" w:hAnsi="Times New Roman"/>
                <w:b w:val="false"/>
                <w:bCs w:val="false"/>
                <w:sz w:val="18"/>
                <w:szCs w:val="18"/>
              </w:rPr>
              <w:t xml:space="preserve">−0.5</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Brightness ×0.6</w:t>
            </w:r>
          </w:p>
        </w:tc>
        <w:tc>
          <w:tcPr>
            <w:tcW w:type="dxa" w:w="1600"/>
            <w:vAlign w:val="center"/>
          </w:tcPr>
          <w:p>
            <w:pPr>
              <w:jc w:val="center"/>
            </w:pPr>
            <w:r>
              <w:rPr>
                <w:rFonts w:ascii="Times New Roman" w:cs="Times New Roman" w:eastAsia="Times New Roman" w:hAnsi="Times New Roman"/>
                <w:b w:val="false"/>
                <w:bCs w:val="false"/>
                <w:sz w:val="18"/>
                <w:szCs w:val="18"/>
              </w:rPr>
              <w:t xml:space="preserve">91.4</w:t>
            </w:r>
          </w:p>
        </w:tc>
        <w:tc>
          <w:tcPr>
            <w:tcW w:type="dxa" w:w="1600"/>
            <w:vAlign w:val="center"/>
          </w:tcPr>
          <w:p>
            <w:pPr>
              <w:jc w:val="center"/>
            </w:pPr>
            <w:r>
              <w:rPr>
                <w:rFonts w:ascii="Times New Roman" w:cs="Times New Roman" w:eastAsia="Times New Roman" w:hAnsi="Times New Roman"/>
                <w:b w:val="false"/>
                <w:bCs w:val="false"/>
                <w:sz w:val="18"/>
                <w:szCs w:val="18"/>
              </w:rPr>
              <w:t xml:space="preserve">91.0</w:t>
            </w:r>
          </w:p>
        </w:tc>
        <w:tc>
          <w:tcPr>
            <w:tcW w:type="dxa" w:w="1680"/>
            <w:vAlign w:val="center"/>
          </w:tcPr>
          <w:p>
            <w:pPr>
              <w:jc w:val="center"/>
            </w:pPr>
            <w:r>
              <w:rPr>
                <w:rFonts w:ascii="Times New Roman" w:cs="Times New Roman" w:eastAsia="Times New Roman" w:hAnsi="Times New Roman"/>
                <w:b w:val="false"/>
                <w:bCs w:val="false"/>
                <w:sz w:val="18"/>
                <w:szCs w:val="18"/>
              </w:rPr>
              <w:t xml:space="preserve">−3.3</w:t>
            </w:r>
          </w:p>
        </w:tc>
        <w:tc>
          <w:tcPr>
            <w:tcW w:type="dxa" w:w="1680"/>
            <w:vAlign w:val="center"/>
          </w:tcPr>
          <w:p>
            <w:pPr>
              <w:jc w:val="center"/>
            </w:pPr>
            <w:r>
              <w:rPr>
                <w:rFonts w:ascii="Times New Roman" w:cs="Times New Roman" w:eastAsia="Times New Roman" w:hAnsi="Times New Roman"/>
                <w:b w:val="false"/>
                <w:bCs w:val="false"/>
                <w:sz w:val="18"/>
                <w:szCs w:val="18"/>
              </w:rPr>
              <w:t xml:space="preserve">−3.4</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Gaussian noise σ=15</w:t>
            </w:r>
          </w:p>
        </w:tc>
        <w:tc>
          <w:tcPr>
            <w:tcW w:type="dxa" w:w="1600"/>
            <w:vAlign w:val="center"/>
          </w:tcPr>
          <w:p>
            <w:pPr>
              <w:jc w:val="center"/>
            </w:pPr>
            <w:r>
              <w:rPr>
                <w:rFonts w:ascii="Times New Roman" w:cs="Times New Roman" w:eastAsia="Times New Roman" w:hAnsi="Times New Roman"/>
                <w:b w:val="false"/>
                <w:bCs w:val="false"/>
                <w:sz w:val="18"/>
                <w:szCs w:val="18"/>
              </w:rPr>
              <w:t xml:space="preserve">89.7</w:t>
            </w:r>
          </w:p>
        </w:tc>
        <w:tc>
          <w:tcPr>
            <w:tcW w:type="dxa" w:w="1600"/>
            <w:vAlign w:val="center"/>
          </w:tcPr>
          <w:p>
            <w:pPr>
              <w:jc w:val="center"/>
            </w:pPr>
            <w:r>
              <w:rPr>
                <w:rFonts w:ascii="Times New Roman" w:cs="Times New Roman" w:eastAsia="Times New Roman" w:hAnsi="Times New Roman"/>
                <w:b w:val="false"/>
                <w:bCs w:val="false"/>
                <w:sz w:val="18"/>
                <w:szCs w:val="18"/>
              </w:rPr>
              <w:t xml:space="preserve">89.3</w:t>
            </w:r>
          </w:p>
        </w:tc>
        <w:tc>
          <w:tcPr>
            <w:tcW w:type="dxa" w:w="1680"/>
            <w:vAlign w:val="center"/>
          </w:tcPr>
          <w:p>
            <w:pPr>
              <w:jc w:val="center"/>
            </w:pPr>
            <w:r>
              <w:rPr>
                <w:rFonts w:ascii="Times New Roman" w:cs="Times New Roman" w:eastAsia="Times New Roman" w:hAnsi="Times New Roman"/>
                <w:b w:val="false"/>
                <w:bCs w:val="false"/>
                <w:sz w:val="18"/>
                <w:szCs w:val="18"/>
              </w:rPr>
              <w:t xml:space="preserve">−5.0</w:t>
            </w:r>
          </w:p>
        </w:tc>
        <w:tc>
          <w:tcPr>
            <w:tcW w:type="dxa" w:w="1680"/>
            <w:vAlign w:val="center"/>
          </w:tcPr>
          <w:p>
            <w:pPr>
              <w:jc w:val="center"/>
            </w:pPr>
            <w:r>
              <w:rPr>
                <w:rFonts w:ascii="Times New Roman" w:cs="Times New Roman" w:eastAsia="Times New Roman" w:hAnsi="Times New Roman"/>
                <w:b w:val="false"/>
                <w:bCs w:val="false"/>
                <w:sz w:val="18"/>
                <w:szCs w:val="18"/>
              </w:rPr>
              <w:t xml:space="preserve">−5.1</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Rotation +15°</w:t>
            </w:r>
          </w:p>
        </w:tc>
        <w:tc>
          <w:tcPr>
            <w:tcW w:type="dxa" w:w="1600"/>
            <w:vAlign w:val="center"/>
          </w:tcPr>
          <w:p>
            <w:pPr>
              <w:jc w:val="center"/>
            </w:pPr>
            <w:r>
              <w:rPr>
                <w:rFonts w:ascii="Times New Roman" w:cs="Times New Roman" w:eastAsia="Times New Roman" w:hAnsi="Times New Roman"/>
                <w:b w:val="false"/>
                <w:bCs w:val="false"/>
                <w:sz w:val="18"/>
                <w:szCs w:val="18"/>
              </w:rPr>
              <w:t xml:space="preserve">90.3</w:t>
            </w:r>
          </w:p>
        </w:tc>
        <w:tc>
          <w:tcPr>
            <w:tcW w:type="dxa" w:w="1600"/>
            <w:vAlign w:val="center"/>
          </w:tcPr>
          <w:p>
            <w:pPr>
              <w:jc w:val="center"/>
            </w:pPr>
            <w:r>
              <w:rPr>
                <w:rFonts w:ascii="Times New Roman" w:cs="Times New Roman" w:eastAsia="Times New Roman" w:hAnsi="Times New Roman"/>
                <w:b w:val="false"/>
                <w:bCs w:val="false"/>
                <w:sz w:val="18"/>
                <w:szCs w:val="18"/>
              </w:rPr>
              <w:t xml:space="preserve">89.9</w:t>
            </w:r>
          </w:p>
        </w:tc>
        <w:tc>
          <w:tcPr>
            <w:tcW w:type="dxa" w:w="1680"/>
            <w:vAlign w:val="center"/>
          </w:tcPr>
          <w:p>
            <w:pPr>
              <w:jc w:val="center"/>
            </w:pPr>
            <w:r>
              <w:rPr>
                <w:rFonts w:ascii="Times New Roman" w:cs="Times New Roman" w:eastAsia="Times New Roman" w:hAnsi="Times New Roman"/>
                <w:b w:val="false"/>
                <w:bCs w:val="false"/>
                <w:sz w:val="18"/>
                <w:szCs w:val="18"/>
              </w:rPr>
              <w:t xml:space="preserve">−4.4</w:t>
            </w:r>
          </w:p>
        </w:tc>
        <w:tc>
          <w:tcPr>
            <w:tcW w:type="dxa" w:w="1680"/>
            <w:vAlign w:val="center"/>
          </w:tcPr>
          <w:p>
            <w:pPr>
              <w:jc w:val="center"/>
            </w:pPr>
            <w:r>
              <w:rPr>
                <w:rFonts w:ascii="Times New Roman" w:cs="Times New Roman" w:eastAsia="Times New Roman" w:hAnsi="Times New Roman"/>
                <w:b w:val="false"/>
                <w:bCs w:val="false"/>
                <w:sz w:val="18"/>
                <w:szCs w:val="18"/>
              </w:rPr>
              <w:t xml:space="preserve">−4.5</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Rotation −15°</w:t>
            </w:r>
          </w:p>
        </w:tc>
        <w:tc>
          <w:tcPr>
            <w:tcW w:type="dxa" w:w="1600"/>
            <w:vAlign w:val="center"/>
          </w:tcPr>
          <w:p>
            <w:pPr>
              <w:jc w:val="center"/>
            </w:pPr>
            <w:r>
              <w:rPr>
                <w:rFonts w:ascii="Times New Roman" w:cs="Times New Roman" w:eastAsia="Times New Roman" w:hAnsi="Times New Roman"/>
                <w:b w:val="false"/>
                <w:bCs w:val="false"/>
                <w:sz w:val="18"/>
                <w:szCs w:val="18"/>
              </w:rPr>
              <w:t xml:space="preserve">90.0</w:t>
            </w:r>
          </w:p>
        </w:tc>
        <w:tc>
          <w:tcPr>
            <w:tcW w:type="dxa" w:w="1600"/>
            <w:vAlign w:val="center"/>
          </w:tcPr>
          <w:p>
            <w:pPr>
              <w:jc w:val="center"/>
            </w:pPr>
            <w:r>
              <w:rPr>
                <w:rFonts w:ascii="Times New Roman" w:cs="Times New Roman" w:eastAsia="Times New Roman" w:hAnsi="Times New Roman"/>
                <w:b w:val="false"/>
                <w:bCs w:val="false"/>
                <w:sz w:val="18"/>
                <w:szCs w:val="18"/>
              </w:rPr>
              <w:t xml:space="preserve">89.6</w:t>
            </w:r>
          </w:p>
        </w:tc>
        <w:tc>
          <w:tcPr>
            <w:tcW w:type="dxa" w:w="1680"/>
            <w:vAlign w:val="center"/>
          </w:tcPr>
          <w:p>
            <w:pPr>
              <w:jc w:val="center"/>
            </w:pPr>
            <w:r>
              <w:rPr>
                <w:rFonts w:ascii="Times New Roman" w:cs="Times New Roman" w:eastAsia="Times New Roman" w:hAnsi="Times New Roman"/>
                <w:b w:val="false"/>
                <w:bCs w:val="false"/>
                <w:sz w:val="18"/>
                <w:szCs w:val="18"/>
              </w:rPr>
              <w:t xml:space="preserve">−4.7</w:t>
            </w:r>
          </w:p>
        </w:tc>
        <w:tc>
          <w:tcPr>
            <w:tcW w:type="dxa" w:w="1680"/>
            <w:vAlign w:val="center"/>
          </w:tcPr>
          <w:p>
            <w:pPr>
              <w:jc w:val="center"/>
            </w:pPr>
            <w:r>
              <w:rPr>
                <w:rFonts w:ascii="Times New Roman" w:cs="Times New Roman" w:eastAsia="Times New Roman" w:hAnsi="Times New Roman"/>
                <w:b w:val="false"/>
                <w:bCs w:val="false"/>
                <w:sz w:val="18"/>
                <w:szCs w:val="18"/>
              </w:rPr>
              <w:t xml:space="preserve">−4.8</w:t>
            </w:r>
          </w:p>
        </w:tc>
      </w:tr>
      <w:tr>
        <w:tc>
          <w:tcPr>
            <w:tcW w:type="dxa" w:w="2800"/>
            <w:vAlign w:val="center"/>
          </w:tcPr>
          <w:p>
            <w:pPr>
              <w:jc w:val="left"/>
            </w:pPr>
            <w:r>
              <w:rPr>
                <w:rFonts w:ascii="Times New Roman" w:cs="Times New Roman" w:eastAsia="Times New Roman" w:hAnsi="Times New Roman"/>
                <w:b w:val="false"/>
                <w:bCs w:val="false"/>
                <w:sz w:val="18"/>
                <w:szCs w:val="18"/>
              </w:rPr>
              <w:t xml:space="preserve">Blur 5×5</w:t>
            </w:r>
          </w:p>
        </w:tc>
        <w:tc>
          <w:tcPr>
            <w:tcW w:type="dxa" w:w="1600"/>
            <w:vAlign w:val="center"/>
          </w:tcPr>
          <w:p>
            <w:pPr>
              <w:jc w:val="center"/>
            </w:pPr>
            <w:r>
              <w:rPr>
                <w:rFonts w:ascii="Times New Roman" w:cs="Times New Roman" w:eastAsia="Times New Roman" w:hAnsi="Times New Roman"/>
                <w:b w:val="false"/>
                <w:bCs w:val="false"/>
                <w:sz w:val="18"/>
                <w:szCs w:val="18"/>
              </w:rPr>
              <w:t xml:space="preserve">83.6</w:t>
            </w:r>
          </w:p>
        </w:tc>
        <w:tc>
          <w:tcPr>
            <w:tcW w:type="dxa" w:w="1600"/>
            <w:vAlign w:val="center"/>
          </w:tcPr>
          <w:p>
            <w:pPr>
              <w:jc w:val="center"/>
            </w:pPr>
            <w:r>
              <w:rPr>
                <w:rFonts w:ascii="Times New Roman" w:cs="Times New Roman" w:eastAsia="Times New Roman" w:hAnsi="Times New Roman"/>
                <w:b w:val="false"/>
                <w:bCs w:val="false"/>
                <w:sz w:val="18"/>
                <w:szCs w:val="18"/>
              </w:rPr>
              <w:t xml:space="preserve">83.1</w:t>
            </w:r>
          </w:p>
        </w:tc>
        <w:tc>
          <w:tcPr>
            <w:tcW w:type="dxa" w:w="1680"/>
            <w:vAlign w:val="center"/>
          </w:tcPr>
          <w:p>
            <w:pPr>
              <w:jc w:val="center"/>
            </w:pPr>
            <w:r>
              <w:rPr>
                <w:rFonts w:ascii="Times New Roman" w:cs="Times New Roman" w:eastAsia="Times New Roman" w:hAnsi="Times New Roman"/>
                <w:b w:val="false"/>
                <w:bCs w:val="false"/>
                <w:sz w:val="18"/>
                <w:szCs w:val="18"/>
              </w:rPr>
              <w:t xml:space="preserve">−11.1</w:t>
            </w:r>
          </w:p>
        </w:tc>
        <w:tc>
          <w:tcPr>
            <w:tcW w:type="dxa" w:w="1680"/>
            <w:vAlign w:val="center"/>
          </w:tcPr>
          <w:p>
            <w:pPr>
              <w:jc w:val="center"/>
            </w:pPr>
            <w:r>
              <w:rPr>
                <w:rFonts w:ascii="Times New Roman" w:cs="Times New Roman" w:eastAsia="Times New Roman" w:hAnsi="Times New Roman"/>
                <w:b w:val="false"/>
                <w:bCs w:val="false"/>
                <w:sz w:val="18"/>
                <w:szCs w:val="18"/>
              </w:rPr>
              <w:t xml:space="preserve">−11.3</w:t>
            </w:r>
          </w:p>
        </w:tc>
      </w:tr>
    </w:tbl>
    <w:p>
      <w:pPr>
        <w:spacing w:after="120" w:before="160"/>
      </w:pPr>
      <w:r>
        <w:rPr>
          <w:rFonts w:ascii="Times New Roman" w:cs="Times New Roman" w:eastAsia="Times New Roman" w:hAnsi="Times New Roman"/>
          <w:sz w:val="24"/>
          <w:szCs w:val="24"/>
        </w:rPr>
        <w:t xml:space="preserve">From these numbers we can see that a real factory would still need reasonably good lighting and sharp focus. Small brightness changes are not a big problem, which is good news because mill lighting is rarely perfect. Adding a few rotated or slightly blurred images to the training set would probably improve the robustness further.</w:t>
      </w:r>
    </w:p>
    <w:p>
      <w:pPr>
        <w:pStyle w:val="Heading2"/>
      </w:pPr>
      <w:r>
        <w:rPr>
          <w:b/>
          <w:bCs/>
        </w:rPr>
        <w:t xml:space="preserve">4.4 Example Output of the Decision Module</w:t>
      </w:r>
    </w:p>
    <w:p>
      <w:pPr>
        <w:spacing w:after="120"/>
      </w:pPr>
      <w:r>
        <w:rPr>
          <w:rFonts w:ascii="Times New Roman" w:cs="Times New Roman" w:eastAsia="Times New Roman" w:hAnsi="Times New Roman"/>
          <w:sz w:val="24"/>
          <w:szCs w:val="24"/>
        </w:rPr>
        <w:t xml:space="preserve">When the system looks at a new picture it prints a short report like this:</w:t>
      </w:r>
    </w:p>
    <w:p>
      <w:pPr>
        <w:spacing w:after="40"/>
        <w:ind w:left="360"/>
      </w:pPr>
      <w:r>
        <w:rPr>
          <w:rFonts w:ascii="Courier New" w:cs="Courier New" w:eastAsia="Courier New" w:hAnsi="Courier New"/>
          <w:sz w:val="22"/>
          <w:szCs w:val="22"/>
        </w:rPr>
        <w:t xml:space="preserve">PRODUCT INSPECTION RESULT</w:t>
      </w:r>
    </w:p>
    <w:p>
      <w:pPr>
        <w:spacing w:after="40"/>
        <w:ind w:left="360"/>
      </w:pPr>
      <w:r>
        <w:rPr>
          <w:rFonts w:ascii="Courier New" w:cs="Courier New" w:eastAsia="Courier New" w:hAnsi="Courier New"/>
          <w:sz w:val="22"/>
          <w:szCs w:val="22"/>
        </w:rPr>
        <w:t xml:space="preserve">Prediction:          DEFECTIVE (scratches)</w:t>
      </w:r>
    </w:p>
    <w:p>
      <w:pPr>
        <w:spacing w:after="40"/>
        <w:ind w:left="360"/>
      </w:pPr>
      <w:r>
        <w:rPr>
          <w:rFonts w:ascii="Courier New" w:cs="Courier New" w:eastAsia="Courier New" w:hAnsi="Courier New"/>
          <w:sz w:val="22"/>
          <w:szCs w:val="22"/>
        </w:rPr>
        <w:t xml:space="preserve">Confidence:          96.2%</w:t>
      </w:r>
    </w:p>
    <w:p>
      <w:pPr>
        <w:spacing w:after="120"/>
        <w:ind w:left="360"/>
      </w:pPr>
      <w:r>
        <w:rPr>
          <w:rFonts w:ascii="Courier New" w:cs="Courier New" w:eastAsia="Courier New" w:hAnsi="Courier New"/>
          <w:sz w:val="22"/>
          <w:szCs w:val="22"/>
        </w:rPr>
        <w:t xml:space="preserve">Action:              REJECT PRODUCT</w:t>
      </w:r>
    </w:p>
    <w:p>
      <w:pPr>
        <w:spacing w:after="120"/>
      </w:pPr>
      <w:r>
        <w:rPr>
          <w:rFonts w:ascii="Times New Roman" w:cs="Times New Roman" w:eastAsia="Times New Roman" w:hAnsi="Times New Roman"/>
          <w:sz w:val="24"/>
          <w:szCs w:val="24"/>
        </w:rPr>
        <w:t xml:space="preserve">Because every image in the NEU set is defective, the module always says “reject”. In a real mixed stream it would say “accept” only when the highest probability belongs to a normal class.</w:t>
      </w:r>
    </w:p>
    <w:p>
      <w:pPr>
        <w:pStyle w:val="Heading1"/>
      </w:pPr>
      <w:r>
        <w:rPr>
          <w:b/>
          <w:bCs/>
        </w:rPr>
        <w:t xml:space="preserve">5. Limitations</w:t>
      </w:r>
    </w:p>
    <w:p>
      <w:pPr>
        <w:spacing w:after="120"/>
      </w:pPr>
      <w:r>
        <w:rPr>
          <w:rFonts w:ascii="Times New Roman" w:cs="Times New Roman" w:eastAsia="Times New Roman" w:hAnsi="Times New Roman"/>
          <w:sz w:val="24"/>
          <w:szCs w:val="24"/>
        </w:rPr>
        <w:t xml:space="preserve">A few things limit how far we can generalise the results. First, the NEU pictures were taken in a lab with controlled lighting; a real mill is dirtier and the lighting changes more. Second, we only had 1440 training images. With more data we could probably use the finer 4×4 cells without over-fitting. Third, we did not add any rotated or blurred examples during training, so the model had never seen those situations before the robustness test. Finally, all numbers come from a single train/test split; running the same experiment several times with different seeds would give a better idea of the variance.</w:t>
      </w:r>
    </w:p>
    <w:p>
      <w:pPr>
        <w:pStyle w:val="Heading1"/>
      </w:pPr>
      <w:r>
        <w:rPr>
          <w:b/>
          <w:bCs/>
        </w:rPr>
        <w:t xml:space="preserve">6. Conclusion</w:t>
      </w:r>
    </w:p>
    <w:p>
      <w:pPr>
        <w:spacing w:after="120"/>
      </w:pPr>
      <w:r>
        <w:rPr>
          <w:rFonts w:ascii="Times New Roman" w:cs="Times New Roman" w:eastAsia="Times New Roman" w:hAnsi="Times New Roman"/>
          <w:sz w:val="24"/>
          <w:szCs w:val="24"/>
        </w:rPr>
        <w:t xml:space="preserve">In this lab we showed that a classical HOG + SVM pipeline can reach almost 95 % accuracy on the six-class NEU surface-defect task when the cell size and the number of orientation bins are chosen carefully. The combination of 8×8 cells and 12 bins worked best for us. The same model stays usable under moderate brightness and noise changes, but blur hurts it a lot. The small decision module we wrote turns the six-class output into a clear accept/reject signal that a quality-control station can use. Taken together, the experiments confirm that HOG is still a practical and lightweight option for industrial surface inspection, especially when a deep network would be too heavy or too data-hungry.</w:t>
      </w:r>
    </w:p>
    <w:p>
      <w:pPr>
        <w:pStyle w:val="Heading1"/>
      </w:pPr>
      <w:r>
        <w:rPr>
          <w:b/>
          <w:bCs/>
        </w:rPr>
        <w:t xml:space="preserve">References</w:t>
      </w:r>
    </w:p>
    <w:p>
      <w:pPr>
        <w:spacing w:after="80"/>
        <w:ind w:left="360" w:hanging="360"/>
      </w:pPr>
      <w:r>
        <w:rPr>
          <w:rFonts w:ascii="Times New Roman" w:cs="Times New Roman" w:eastAsia="Times New Roman" w:hAnsi="Times New Roman"/>
          <w:sz w:val="20"/>
          <w:szCs w:val="20"/>
        </w:rPr>
        <w:t xml:space="preserve">[1] N. Dalal and B. Triggs, “Histograms of oriented gradients for human detection,” in Proc. IEEE CVPR, 2005, pp. 886–893.</w:t>
      </w:r>
    </w:p>
    <w:p>
      <w:pPr>
        <w:spacing w:after="80"/>
        <w:ind w:left="360" w:hanging="360"/>
      </w:pPr>
      <w:r>
        <w:rPr>
          <w:rFonts w:ascii="Times New Roman" w:cs="Times New Roman" w:eastAsia="Times New Roman" w:hAnsi="Times New Roman"/>
          <w:sz w:val="20"/>
          <w:szCs w:val="20"/>
        </w:rPr>
        <w:t xml:space="preserve">[2] K. Song and Y. Yan, “A noise robust method based on completed local binary patterns for hot-rolled steel strip surface defects,” Applied Surface Science, vol. 285, pp. 858–864, 2013.</w:t>
      </w:r>
    </w:p>
    <w:p>
      <w:pPr>
        <w:spacing w:after="80"/>
        <w:ind w:left="360" w:hanging="360"/>
      </w:pPr>
      <w:r>
        <w:rPr>
          <w:rFonts w:ascii="Times New Roman" w:cs="Times New Roman" w:eastAsia="Times New Roman" w:hAnsi="Times New Roman"/>
          <w:sz w:val="20"/>
          <w:szCs w:val="20"/>
        </w:rPr>
        <w:t xml:space="preserve">[3] H. Dong, K. Song, Y. He, J. Xu, Y. Yan and Q. Meng, “PGA-Net: Pyramid feature fusion and global context attention network for automated surface defect detection,” IEEE Trans. Industrial Informatics, vol. 16, no. 12, pp. 7448–7458, 2020.</w:t>
      </w:r>
    </w:p>
    <w:p>
      <w:pPr>
        <w:spacing w:after="80"/>
        <w:ind w:left="360" w:hanging="360"/>
      </w:pPr>
      <w:r>
        <w:rPr>
          <w:rFonts w:ascii="Times New Roman" w:cs="Times New Roman" w:eastAsia="Times New Roman" w:hAnsi="Times New Roman"/>
          <w:sz w:val="20"/>
          <w:szCs w:val="20"/>
        </w:rPr>
        <w:t xml:space="preserve">[4] Y. He, K. Song, Q. Meng and Y. Yan, “An end-to-end steel surface defect detection approach via fusing multiple hierarchical features,” IEEE Trans. Instrumentation and Measurement, vol. 69, no. 4, pp. 1493–1504, 2020.</w:t>
      </w:r>
    </w:p>
    <w:p>
      <w:pPr>
        <w:spacing w:after="80"/>
        <w:ind w:left="360" w:hanging="360"/>
      </w:pPr>
      <w:r>
        <w:rPr>
          <w:rFonts w:ascii="Times New Roman" w:cs="Times New Roman" w:eastAsia="Times New Roman" w:hAnsi="Times New Roman"/>
          <w:sz w:val="20"/>
          <w:szCs w:val="20"/>
        </w:rPr>
        <w:t xml:space="preserve">[5] C. Cortes and V. Vapnik, “Support-vector networks,” Machine Learning, vol. 20, no. 3, pp. 273–297, 1995.</w:t>
      </w:r>
    </w:p>
    <w:p>
      <w:pPr>
        <w:spacing w:after="80"/>
        <w:ind w:left="360" w:hanging="360"/>
      </w:pPr>
      <w:r>
        <w:rPr>
          <w:rFonts w:ascii="Times New Roman" w:cs="Times New Roman" w:eastAsia="Times New Roman" w:hAnsi="Times New Roman"/>
          <w:sz w:val="20"/>
          <w:szCs w:val="20"/>
        </w:rPr>
        <w:t xml:space="preserve">[6] L. Breiman, “Random forests,” Machine Learning, vol. 45, no. 1, pp. 5–32, 2001.</w:t>
      </w:r>
    </w:p>
    <w:p>
      <w:pPr>
        <w:spacing w:after="80"/>
        <w:ind w:left="360" w:hanging="360"/>
      </w:pPr>
      <w:r>
        <w:rPr>
          <w:rFonts w:ascii="Times New Roman" w:cs="Times New Roman" w:eastAsia="Times New Roman" w:hAnsi="Times New Roman"/>
          <w:sz w:val="20"/>
          <w:szCs w:val="20"/>
        </w:rPr>
        <w:t xml:space="preserve">[7] F. Pedregosa et al., “Scikit-learn: Machine learning in Python,” Journal of Machine Learning Research, vol. 12, pp. 2825–2830, 2011.</w:t>
      </w:r>
    </w:p>
    <w:p>
      <w:pPr>
        <w:spacing w:after="80"/>
        <w:ind w:left="360" w:hanging="360"/>
      </w:pPr>
      <w:r>
        <w:rPr>
          <w:rFonts w:ascii="Times New Roman" w:cs="Times New Roman" w:eastAsia="Times New Roman" w:hAnsi="Times New Roman"/>
          <w:sz w:val="20"/>
          <w:szCs w:val="20"/>
        </w:rPr>
        <w:t xml:space="preserve">[8] S. van der Walt et al., “scikit-image: Image processing in Python,” PeerJ, vol. 2, p. e453, 2014.</w:t>
      </w:r>
    </w:p>
    <w:p>
      <w:pPr>
        <w:spacing w:after="80"/>
        <w:ind w:left="360" w:hanging="360"/>
      </w:pPr>
      <w:r>
        <w:rPr>
          <w:rFonts w:ascii="Times New Roman" w:cs="Times New Roman" w:eastAsia="Times New Roman" w:hAnsi="Times New Roman"/>
          <w:sz w:val="20"/>
          <w:szCs w:val="20"/>
        </w:rPr>
        <w:t xml:space="preserve">[9] R. C. Gonzalez and R. E. Woods, Digital Image Processing, 4th ed., Pearson, 2018.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55555"/>
        <w:sz w:val="18"/>
        <w:szCs w:val="18"/>
      </w:rPr>
      <w:t xml:space="preserve">Lab 05 Research Report – HOG Industrial Defect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76"/>
      <w:outlineLvl w:val="0"/>
    </w:pPr>
    <w:rPr>
      <w:rFonts w:ascii="Times New Roman" w:cs="Times New Roman" w:eastAsia="Times New Roman" w:hAnsi="Times New Roman"/>
      <w:b/>
      <w:bCs/>
      <w:sz w:val="24"/>
      <w:szCs w:val="24"/>
    </w:rPr>
  </w:style>
  <w:style w:type="paragraph" w:styleId="Heading2">
    <w:name w:val="Heading 2"/>
    <w:basedOn w:val="Normal"/>
    <w:next w:val="Normal"/>
    <w:pPr>
      <w:spacing w:after="100" w:before="20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2026-10-08T06:52:15.453Z</dcterms:created>
  <dcterms:modified xsi:type="dcterms:W3CDTF">2026-10-08T06:52:15.453Z</dcterms:modified>
</cp:coreProperties>
</file>

<file path=docProps/custom.xml><?xml version="1.0" encoding="utf-8"?>
<Properties xmlns="http://schemas.openxmlformats.org/officeDocument/2006/custom-properties" xmlns:vt="http://schemas.openxmlformats.org/officeDocument/2006/docPropsVTypes"/>
</file>