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7643E" w14:textId="77777777" w:rsidR="00671A35" w:rsidRDefault="00671A35" w:rsidP="00671A35">
      <w:pPr>
        <w:rPr>
          <w:lang w:bidi="fa-IR"/>
        </w:rPr>
      </w:pPr>
      <w:r>
        <w:t xml:space="preserve">The following information is </w:t>
      </w:r>
      <w:r>
        <w:rPr>
          <w:lang w:bidi="fa-IR"/>
        </w:rPr>
        <w:t>provided by the administration regarding the way we must handle the presentation and poster:</w:t>
      </w:r>
      <w:r>
        <w:rPr>
          <w:lang w:bidi="fa-IR"/>
        </w:rPr>
        <w:br/>
      </w:r>
      <w:r>
        <w:rPr>
          <w:lang w:bidi="fa-IR"/>
        </w:rPr>
        <w:t>PhD Candidate Presentations</w:t>
      </w:r>
    </w:p>
    <w:p w14:paraId="611D73DD" w14:textId="77777777" w:rsidR="00671A35" w:rsidRDefault="00671A35" w:rsidP="00671A35">
      <w:pPr>
        <w:rPr>
          <w:lang w:bidi="fa-IR"/>
        </w:rPr>
      </w:pPr>
      <w:r>
        <w:rPr>
          <w:lang w:bidi="fa-IR"/>
        </w:rPr>
        <w:t xml:space="preserve">Please prepare a presentation about your PhD research project. Should you wish to </w:t>
      </w:r>
    </w:p>
    <w:p w14:paraId="41F2E137" w14:textId="77777777" w:rsidR="00671A35" w:rsidRDefault="00671A35" w:rsidP="00671A35">
      <w:pPr>
        <w:rPr>
          <w:lang w:bidi="fa-IR"/>
        </w:rPr>
      </w:pPr>
      <w:r>
        <w:rPr>
          <w:lang w:bidi="fa-IR"/>
        </w:rPr>
        <w:t xml:space="preserve">use another format than slides, please let us know. The allotted time is eleven (11) </w:t>
      </w:r>
    </w:p>
    <w:p w14:paraId="1DB6E575" w14:textId="77777777" w:rsidR="00671A35" w:rsidRDefault="00671A35" w:rsidP="00671A35">
      <w:pPr>
        <w:rPr>
          <w:lang w:bidi="fa-IR"/>
        </w:rPr>
      </w:pPr>
      <w:r>
        <w:rPr>
          <w:lang w:bidi="fa-IR"/>
        </w:rPr>
        <w:t xml:space="preserve">minutes for your talk and three (3) minutes for questions from the audience. Use this </w:t>
      </w:r>
    </w:p>
    <w:p w14:paraId="0C8D7141" w14:textId="77777777" w:rsidR="00671A35" w:rsidRDefault="00671A35" w:rsidP="00671A35">
      <w:pPr>
        <w:rPr>
          <w:lang w:bidi="fa-IR"/>
        </w:rPr>
      </w:pPr>
      <w:r>
        <w:rPr>
          <w:lang w:bidi="fa-IR"/>
        </w:rPr>
        <w:t xml:space="preserve">presentation to explain not only what you are doing, but why it matters in a broader </w:t>
      </w:r>
    </w:p>
    <w:p w14:paraId="293E837C" w14:textId="77777777" w:rsidR="00671A35" w:rsidRDefault="00671A35" w:rsidP="00671A35">
      <w:pPr>
        <w:rPr>
          <w:lang w:bidi="fa-IR"/>
        </w:rPr>
      </w:pPr>
      <w:r>
        <w:rPr>
          <w:lang w:bidi="fa-IR"/>
        </w:rPr>
        <w:t xml:space="preserve">context: What problem are you addressing, why is it important beyond your specific </w:t>
      </w:r>
    </w:p>
    <w:p w14:paraId="5E4700B7" w14:textId="77777777" w:rsidR="00671A35" w:rsidRDefault="00671A35" w:rsidP="00671A35">
      <w:pPr>
        <w:rPr>
          <w:lang w:bidi="fa-IR"/>
        </w:rPr>
      </w:pPr>
      <w:r>
        <w:rPr>
          <w:lang w:bidi="fa-IR"/>
        </w:rPr>
        <w:t xml:space="preserve">case, and how does it relate to existing work in your area? Please develop an </w:t>
      </w:r>
    </w:p>
    <w:p w14:paraId="64F3500F" w14:textId="77777777" w:rsidR="00671A35" w:rsidRDefault="00671A35" w:rsidP="00671A35">
      <w:pPr>
        <w:rPr>
          <w:lang w:bidi="fa-IR"/>
        </w:rPr>
      </w:pPr>
      <w:r>
        <w:rPr>
          <w:lang w:bidi="fa-IR"/>
        </w:rPr>
        <w:t xml:space="preserve">accessible story that your peers can follow, even if they might not be directly familiar </w:t>
      </w:r>
    </w:p>
    <w:p w14:paraId="655338A6" w14:textId="77777777" w:rsidR="00671A35" w:rsidRDefault="00671A35" w:rsidP="00671A35">
      <w:pPr>
        <w:rPr>
          <w:lang w:bidi="fa-IR"/>
        </w:rPr>
      </w:pPr>
      <w:r>
        <w:rPr>
          <w:lang w:bidi="fa-IR"/>
        </w:rPr>
        <w:t xml:space="preserve">with your specific research angle and area. The detailed schedule indicating when </w:t>
      </w:r>
    </w:p>
    <w:p w14:paraId="44B1130B" w14:textId="77777777" w:rsidR="00671A35" w:rsidRDefault="00671A35" w:rsidP="00671A35">
      <w:pPr>
        <w:rPr>
          <w:lang w:bidi="fa-IR"/>
        </w:rPr>
      </w:pPr>
      <w:proofErr w:type="gramStart"/>
      <w:r>
        <w:rPr>
          <w:lang w:bidi="fa-IR"/>
        </w:rPr>
        <w:t>you</w:t>
      </w:r>
      <w:proofErr w:type="gramEnd"/>
      <w:r>
        <w:rPr>
          <w:lang w:bidi="fa-IR"/>
        </w:rPr>
        <w:t xml:space="preserve"> </w:t>
      </w:r>
      <w:proofErr w:type="gramStart"/>
      <w:r>
        <w:rPr>
          <w:lang w:bidi="fa-IR"/>
        </w:rPr>
        <w:t>will present</w:t>
      </w:r>
      <w:proofErr w:type="gramEnd"/>
      <w:r>
        <w:rPr>
          <w:lang w:bidi="fa-IR"/>
        </w:rPr>
        <w:t xml:space="preserve"> will be shared on the first day of the retreat, so please have your </w:t>
      </w:r>
    </w:p>
    <w:p w14:paraId="5834658F" w14:textId="77777777" w:rsidR="00671A35" w:rsidRDefault="00671A35" w:rsidP="00671A35">
      <w:pPr>
        <w:rPr>
          <w:lang w:bidi="fa-IR"/>
        </w:rPr>
      </w:pPr>
      <w:r>
        <w:rPr>
          <w:lang w:bidi="fa-IR"/>
        </w:rPr>
        <w:t>presentation fully prepared by then.</w:t>
      </w:r>
    </w:p>
    <w:p w14:paraId="6D29139C" w14:textId="77777777" w:rsidR="00671A35" w:rsidRDefault="00671A35" w:rsidP="00671A35">
      <w:pPr>
        <w:rPr>
          <w:lang w:bidi="fa-IR"/>
        </w:rPr>
      </w:pPr>
      <w:r>
        <w:rPr>
          <w:lang w:bidi="fa-IR"/>
        </w:rPr>
        <w:t>Poster Sessions</w:t>
      </w:r>
    </w:p>
    <w:p w14:paraId="5BE240C1" w14:textId="77777777" w:rsidR="00671A35" w:rsidRDefault="00671A35" w:rsidP="00671A35">
      <w:pPr>
        <w:rPr>
          <w:lang w:bidi="fa-IR"/>
        </w:rPr>
      </w:pPr>
      <w:r>
        <w:rPr>
          <w:lang w:bidi="fa-IR"/>
        </w:rPr>
        <w:t xml:space="preserve">Please prepare a poster that complements your presentation. It should not just be a </w:t>
      </w:r>
    </w:p>
    <w:p w14:paraId="11DB1A56" w14:textId="77777777" w:rsidR="00671A35" w:rsidRDefault="00671A35" w:rsidP="00671A35">
      <w:pPr>
        <w:rPr>
          <w:lang w:bidi="fa-IR"/>
        </w:rPr>
      </w:pPr>
      <w:r>
        <w:rPr>
          <w:lang w:bidi="fa-IR"/>
        </w:rPr>
        <w:t xml:space="preserve">copy of the presentation with the same figures. You can use it to highlight a specific </w:t>
      </w:r>
    </w:p>
    <w:p w14:paraId="1D8E1023" w14:textId="77777777" w:rsidR="00671A35" w:rsidRDefault="00671A35" w:rsidP="00671A35">
      <w:pPr>
        <w:rPr>
          <w:lang w:bidi="fa-IR"/>
        </w:rPr>
      </w:pPr>
      <w:r>
        <w:rPr>
          <w:lang w:bidi="fa-IR"/>
        </w:rPr>
        <w:t xml:space="preserve">point of your research, e.g., a special challenge or exciting solution you </w:t>
      </w:r>
    </w:p>
    <w:p w14:paraId="6E0DDFB6" w14:textId="77777777" w:rsidR="00671A35" w:rsidRDefault="00671A35" w:rsidP="00671A35">
      <w:pPr>
        <w:rPr>
          <w:lang w:bidi="fa-IR"/>
        </w:rPr>
      </w:pPr>
      <w:r>
        <w:rPr>
          <w:lang w:bidi="fa-IR"/>
        </w:rPr>
        <w:t xml:space="preserve">implemented or plan to implement. Think of the poster as a tool for deeper </w:t>
      </w:r>
    </w:p>
    <w:p w14:paraId="254C3085" w14:textId="77777777" w:rsidR="00671A35" w:rsidRDefault="00671A35" w:rsidP="00671A35">
      <w:pPr>
        <w:rPr>
          <w:lang w:bidi="fa-IR"/>
        </w:rPr>
      </w:pPr>
      <w:r>
        <w:rPr>
          <w:lang w:bidi="fa-IR"/>
        </w:rPr>
        <w:t xml:space="preserve">discussion: a place to zoom in on technical details, additional analyses, preliminary </w:t>
      </w:r>
    </w:p>
    <w:p w14:paraId="76EE2B44" w14:textId="77777777" w:rsidR="00671A35" w:rsidRDefault="00671A35" w:rsidP="00671A35">
      <w:pPr>
        <w:rPr>
          <w:lang w:bidi="fa-IR"/>
        </w:rPr>
      </w:pPr>
      <w:r>
        <w:rPr>
          <w:lang w:bidi="fa-IR"/>
        </w:rPr>
        <w:t xml:space="preserve">findings, or future directions. The detailed schedule for the poster sessions, i.e., </w:t>
      </w:r>
    </w:p>
    <w:p w14:paraId="29FEBE73" w14:textId="77777777" w:rsidR="00671A35" w:rsidRDefault="00671A35" w:rsidP="00671A35">
      <w:pPr>
        <w:rPr>
          <w:lang w:bidi="fa-IR"/>
        </w:rPr>
      </w:pPr>
      <w:r>
        <w:rPr>
          <w:lang w:bidi="fa-IR"/>
        </w:rPr>
        <w:t xml:space="preserve">which half (first or second) you would be part, will also be shared on the first day of </w:t>
      </w:r>
    </w:p>
    <w:p w14:paraId="2CDD073D" w14:textId="77777777" w:rsidR="00671A35" w:rsidRDefault="00671A35" w:rsidP="00671A35">
      <w:pPr>
        <w:rPr>
          <w:lang w:bidi="fa-IR"/>
        </w:rPr>
      </w:pPr>
      <w:r>
        <w:rPr>
          <w:lang w:bidi="fa-IR"/>
        </w:rPr>
        <w:t>the retreat, so please have your poster ready and printed by the start of the retreat.</w:t>
      </w:r>
    </w:p>
    <w:p w14:paraId="366B713F" w14:textId="77777777" w:rsidR="00671A35" w:rsidRDefault="00671A35" w:rsidP="00671A35">
      <w:pPr>
        <w:rPr>
          <w:lang w:bidi="fa-IR"/>
        </w:rPr>
      </w:pPr>
      <w:r>
        <w:rPr>
          <w:lang w:bidi="fa-IR"/>
        </w:rPr>
        <w:t xml:space="preserve">If you have a recent poster that fits, please feel free to re-use it. We have foreseen </w:t>
      </w:r>
    </w:p>
    <w:p w14:paraId="18C7C98E" w14:textId="52E45FAB" w:rsidR="007A0EC2" w:rsidRDefault="00671A35" w:rsidP="00671A35">
      <w:pPr>
        <w:rPr>
          <w:lang w:bidi="fa-IR"/>
        </w:rPr>
      </w:pPr>
      <w:r>
        <w:rPr>
          <w:lang w:bidi="fa-IR"/>
        </w:rPr>
        <w:t>space for DIN A0 posters and will provide material to attach the posters for display</w:t>
      </w:r>
    </w:p>
    <w:p w14:paraId="3ECF9853" w14:textId="77777777" w:rsidR="00671A35" w:rsidRDefault="00671A35" w:rsidP="00671A35">
      <w:pPr>
        <w:rPr>
          <w:lang w:bidi="fa-IR"/>
        </w:rPr>
      </w:pPr>
    </w:p>
    <w:p w14:paraId="2EE4F0AA" w14:textId="77777777" w:rsidR="00671A35" w:rsidRDefault="00671A35" w:rsidP="00671A35">
      <w:pPr>
        <w:rPr>
          <w:lang w:bidi="fa-IR"/>
        </w:rPr>
      </w:pPr>
    </w:p>
    <w:p w14:paraId="0DA049C9" w14:textId="77777777" w:rsidR="00671A35" w:rsidRDefault="00671A35" w:rsidP="00671A35">
      <w:pPr>
        <w:rPr>
          <w:lang w:bidi="fa-IR"/>
        </w:rPr>
      </w:pPr>
    </w:p>
    <w:p w14:paraId="5CE2D338" w14:textId="77777777" w:rsidR="001E010E" w:rsidRPr="001E010E" w:rsidRDefault="00671A35" w:rsidP="001E010E">
      <w:pPr>
        <w:rPr>
          <w:lang w:bidi="fa-IR"/>
        </w:rPr>
      </w:pPr>
      <w:proofErr w:type="gramStart"/>
      <w:r>
        <w:rPr>
          <w:lang w:bidi="fa-IR"/>
        </w:rPr>
        <w:lastRenderedPageBreak/>
        <w:t>the</w:t>
      </w:r>
      <w:proofErr w:type="gramEnd"/>
      <w:r>
        <w:rPr>
          <w:lang w:bidi="fa-IR"/>
        </w:rPr>
        <w:t xml:space="preserve"> following information is the main problem I am </w:t>
      </w:r>
      <w:proofErr w:type="gramStart"/>
      <w:r>
        <w:rPr>
          <w:lang w:bidi="fa-IR"/>
        </w:rPr>
        <w:t>facing</w:t>
      </w:r>
      <w:proofErr w:type="gramEnd"/>
      <w:r>
        <w:rPr>
          <w:lang w:bidi="fa-IR"/>
        </w:rPr>
        <w:t xml:space="preserve"> and I want to shape my poster around it:</w:t>
      </w:r>
      <w:r>
        <w:rPr>
          <w:lang w:bidi="fa-IR"/>
        </w:rPr>
        <w:br/>
      </w:r>
      <w:r w:rsidR="001E010E" w:rsidRPr="001E010E">
        <w:rPr>
          <w:lang w:bidi="fa-IR"/>
        </w:rPr>
        <w:t xml:space="preserve">We want to compare the six aptamers with each other, and that is hard. They were developed in different labs, with different techniques, targets and buffers, so their published affinities are not comparable. Each aptamer also </w:t>
      </w:r>
      <w:proofErr w:type="gramStart"/>
      <w:r w:rsidR="001E010E" w:rsidRPr="001E010E">
        <w:rPr>
          <w:lang w:bidi="fa-IR"/>
        </w:rPr>
        <w:t>has to</w:t>
      </w:r>
      <w:proofErr w:type="gramEnd"/>
      <w:r w:rsidR="001E010E" w:rsidRPr="001E010E">
        <w:rPr>
          <w:lang w:bidi="fa-IR"/>
        </w:rPr>
        <w:t xml:space="preserve"> be </w:t>
      </w:r>
      <w:proofErr w:type="spellStart"/>
      <w:r w:rsidR="001E010E" w:rsidRPr="001E010E">
        <w:rPr>
          <w:lang w:bidi="fa-IR"/>
        </w:rPr>
        <w:t>optimised</w:t>
      </w:r>
      <w:proofErr w:type="spellEnd"/>
      <w:r w:rsidR="001E010E" w:rsidRPr="001E010E">
        <w:rPr>
          <w:lang w:bidi="fa-IR"/>
        </w:rPr>
        <w:t xml:space="preserve"> in its own conditions, because an aptamer is not a rigid object with a fixed binding strength: it explores different shapes, and the solution changes how many molecules are in a binding-competent shape. That is where salt becomes central. Ions affect how the aptamer folds, how it contacts the target, and the entropy of binding, so a salt-dependent change can look like a difference between aptamers when it is really a difference in conditions. To compare fairly, we </w:t>
      </w:r>
      <w:proofErr w:type="gramStart"/>
      <w:r w:rsidR="001E010E" w:rsidRPr="001E010E">
        <w:rPr>
          <w:lang w:bidi="fa-IR"/>
        </w:rPr>
        <w:t>have to</w:t>
      </w:r>
      <w:proofErr w:type="gramEnd"/>
      <w:r w:rsidR="001E010E" w:rsidRPr="001E010E">
        <w:rPr>
          <w:lang w:bidi="fa-IR"/>
        </w:rPr>
        <w:t xml:space="preserve"> measure every aptamer by the same method while letting each show how it responds to its solution.</w:t>
      </w:r>
    </w:p>
    <w:p w14:paraId="04CDE928" w14:textId="77777777" w:rsidR="001E010E" w:rsidRPr="001E010E" w:rsidRDefault="001E010E" w:rsidP="001E010E">
      <w:pPr>
        <w:rPr>
          <w:lang w:bidi="fa-IR"/>
        </w:rPr>
      </w:pPr>
      <w:r w:rsidRPr="001E010E">
        <w:rPr>
          <w:b/>
          <w:bCs/>
          <w:lang w:bidi="fa-IR"/>
        </w:rPr>
        <w:t>1. Electrostatics of folding.</w:t>
      </w:r>
      <w:r w:rsidRPr="001E010E">
        <w:rPr>
          <w:lang w:bidi="fa-IR"/>
        </w:rPr>
        <w:t xml:space="preserve"> Every phosphate on the DNA backbone carries a negative charge. Folding pulls these charges closer together, and because like charges repel, folding carries an electrostatic penalty. Positive ions gather around the DNA and screen this repulsion, forming the </w:t>
      </w:r>
      <w:r w:rsidRPr="001E010E">
        <w:rPr>
          <w:i/>
          <w:iCs/>
          <w:lang w:bidi="fa-IR"/>
        </w:rPr>
        <w:t>ion atmosphere</w:t>
      </w:r>
      <w:r w:rsidRPr="001E010E">
        <w:rPr>
          <w:lang w:bidi="fa-IR"/>
        </w:rPr>
        <w:t xml:space="preserve">: a diffuse, mobile cloud, not fixed bound ions. A folded strand holds a denser atmosphere than an unfolded one, so folding and ion uptake are coupled. More salt can </w:t>
      </w:r>
      <w:proofErr w:type="spellStart"/>
      <w:r w:rsidRPr="001E010E">
        <w:rPr>
          <w:lang w:bidi="fa-IR"/>
        </w:rPr>
        <w:t>stabilise</w:t>
      </w:r>
      <w:proofErr w:type="spellEnd"/>
      <w:r w:rsidRPr="001E010E">
        <w:rPr>
          <w:lang w:bidi="fa-IR"/>
        </w:rPr>
        <w:t xml:space="preserve"> a compact fold and shift the balance between conformations, including the binding-competent one.</w:t>
      </w:r>
    </w:p>
    <w:p w14:paraId="6A7666E4" w14:textId="77777777" w:rsidR="001E010E" w:rsidRPr="001E010E" w:rsidRDefault="001E010E" w:rsidP="001E010E">
      <w:pPr>
        <w:rPr>
          <w:lang w:bidi="fa-IR"/>
        </w:rPr>
      </w:pPr>
      <w:r w:rsidRPr="001E010E">
        <w:rPr>
          <w:b/>
          <w:bCs/>
          <w:lang w:bidi="fa-IR"/>
        </w:rPr>
        <w:t>2. Electrostatics at the interface.</w:t>
      </w:r>
      <w:r w:rsidRPr="001E010E">
        <w:rPr>
          <w:lang w:bidi="fa-IR"/>
        </w:rPr>
        <w:t xml:space="preserve"> Binding to a target with a positively charged patch is helped by attraction between that patch and the negative backbone. Salt screens this attraction too. </w:t>
      </w:r>
      <w:proofErr w:type="gramStart"/>
      <w:r w:rsidRPr="001E010E">
        <w:rPr>
          <w:lang w:bidi="fa-IR"/>
        </w:rPr>
        <w:t>So</w:t>
      </w:r>
      <w:proofErr w:type="gramEnd"/>
      <w:r w:rsidRPr="001E010E">
        <w:rPr>
          <w:lang w:bidi="fa-IR"/>
        </w:rPr>
        <w:t xml:space="preserve"> the same ions that help the aptamer fold also weaken part of its contact with the target. Salt prepares the hand and weakens the handshake. Affinity against salt is therefore often not monotonic: there can be a window where folding is </w:t>
      </w:r>
      <w:proofErr w:type="gramStart"/>
      <w:r w:rsidRPr="001E010E">
        <w:rPr>
          <w:lang w:bidi="fa-IR"/>
        </w:rPr>
        <w:t>good</w:t>
      </w:r>
      <w:proofErr w:type="gramEnd"/>
      <w:r w:rsidRPr="001E010E">
        <w:rPr>
          <w:lang w:bidi="fa-IR"/>
        </w:rPr>
        <w:t xml:space="preserve"> and the interface is still strong.</w:t>
      </w:r>
    </w:p>
    <w:p w14:paraId="5B561DFB" w14:textId="77777777" w:rsidR="001E010E" w:rsidRPr="001E010E" w:rsidRDefault="001E010E" w:rsidP="001E010E">
      <w:pPr>
        <w:rPr>
          <w:lang w:bidi="fa-IR"/>
        </w:rPr>
      </w:pPr>
      <w:r w:rsidRPr="001E010E">
        <w:rPr>
          <w:b/>
          <w:bCs/>
          <w:lang w:bidi="fa-IR"/>
        </w:rPr>
        <w:t>3. Entropy and counterion release.</w:t>
      </w:r>
      <w:r w:rsidRPr="001E010E">
        <w:rPr>
          <w:lang w:bidi="fa-IR"/>
        </w:rPr>
        <w:t xml:space="preserve"> Before binding, positive ions are enriched near the DNA, and negative ions near positive patches on the protein. When the two associate, the local ionic environment changes and some of these ions are released into bulk solution. The ions were already moving, but release gives them more freedom, which increases entropy and can make binding more </w:t>
      </w:r>
      <w:proofErr w:type="spellStart"/>
      <w:r w:rsidRPr="001E010E">
        <w:rPr>
          <w:lang w:bidi="fa-IR"/>
        </w:rPr>
        <w:t>favourable</w:t>
      </w:r>
      <w:proofErr w:type="spellEnd"/>
      <w:r w:rsidRPr="001E010E">
        <w:rPr>
          <w:lang w:bidi="fa-IR"/>
        </w:rPr>
        <w:t>. As bulk salt rises, there is less to gain from release, so the advantage shrinks, and this is one reason binding weakens at high salt.</w:t>
      </w:r>
    </w:p>
    <w:p w14:paraId="11C90845" w14:textId="77777777" w:rsidR="001E010E" w:rsidRPr="001E010E" w:rsidRDefault="001E010E" w:rsidP="001E010E">
      <w:pPr>
        <w:rPr>
          <w:lang w:bidi="fa-IR"/>
        </w:rPr>
      </w:pPr>
      <w:r w:rsidRPr="001E010E">
        <w:rPr>
          <w:b/>
          <w:bCs/>
          <w:lang w:bidi="fa-IR"/>
        </w:rPr>
        <w:t>What salt dependence does and does not tell us.</w:t>
      </w:r>
      <w:r w:rsidRPr="001E010E">
        <w:rPr>
          <w:lang w:bidi="fa-IR"/>
        </w:rPr>
        <w:t xml:space="preserve"> A steep fall in affinity with rising salt suggests a charge-driven interaction. But it does not tell us how many ions were released, because structural change, hydration and other contacts also contribute. We treat the salt response as a clue, not a full explanation.</w:t>
      </w:r>
    </w:p>
    <w:p w14:paraId="684EE9A0" w14:textId="77777777" w:rsidR="001E010E" w:rsidRPr="001E010E" w:rsidRDefault="001E010E" w:rsidP="001E010E">
      <w:pPr>
        <w:rPr>
          <w:lang w:bidi="fa-IR"/>
        </w:rPr>
      </w:pPr>
      <w:r w:rsidRPr="001E010E">
        <w:rPr>
          <w:b/>
          <w:bCs/>
          <w:lang w:bidi="fa-IR"/>
        </w:rPr>
        <w:lastRenderedPageBreak/>
        <w:t>4. Ion identity, not only concentration.</w:t>
      </w:r>
      <w:r w:rsidRPr="001E010E">
        <w:rPr>
          <w:lang w:bidi="fa-IR"/>
        </w:rPr>
        <w:t xml:space="preserve"> Potassium can </w:t>
      </w:r>
      <w:proofErr w:type="spellStart"/>
      <w:r w:rsidRPr="001E010E">
        <w:rPr>
          <w:lang w:bidi="fa-IR"/>
        </w:rPr>
        <w:t>stabilise</w:t>
      </w:r>
      <w:proofErr w:type="spellEnd"/>
      <w:r w:rsidRPr="001E010E">
        <w:rPr>
          <w:lang w:bidi="fa-IR"/>
        </w:rPr>
        <w:t xml:space="preserve"> a specific structural site in a G-quadruplex, beyond general screening. Magnesium strongly affects nucleic-acid structure and competes with monovalent ions. Anions matter too: swapping chloride for glutamate changes protein–DNA affinity in some systems. Two buffers are not equivalent just because both contain “salt,” so ion identity, concentration and pH are separate variables.</w:t>
      </w:r>
    </w:p>
    <w:p w14:paraId="36657F8F" w14:textId="77777777" w:rsidR="001E010E" w:rsidRPr="001E010E" w:rsidRDefault="001E010E" w:rsidP="001E010E">
      <w:pPr>
        <w:rPr>
          <w:lang w:bidi="fa-IR"/>
        </w:rPr>
      </w:pPr>
      <w:r w:rsidRPr="001E010E">
        <w:rPr>
          <w:b/>
          <w:bCs/>
          <w:lang w:bidi="fa-IR"/>
        </w:rPr>
        <w:t xml:space="preserve">5. Why </w:t>
      </w:r>
      <w:proofErr w:type="gramStart"/>
      <w:r w:rsidRPr="001E010E">
        <w:rPr>
          <w:b/>
          <w:bCs/>
          <w:lang w:bidi="fa-IR"/>
        </w:rPr>
        <w:t>this matters</w:t>
      </w:r>
      <w:proofErr w:type="gramEnd"/>
      <w:r w:rsidRPr="001E010E">
        <w:rPr>
          <w:b/>
          <w:bCs/>
          <w:lang w:bidi="fa-IR"/>
        </w:rPr>
        <w:t xml:space="preserve"> for specificity.</w:t>
      </w:r>
      <w:r w:rsidRPr="001E010E">
        <w:rPr>
          <w:lang w:bidi="fa-IR"/>
        </w:rPr>
        <w:t xml:space="preserve"> At low salt, charge-driven background binding grows, and random DNA can bind positively charged proteins strongly. Raising salt can suppress </w:t>
      </w:r>
      <w:proofErr w:type="gramStart"/>
      <w:r w:rsidRPr="001E010E">
        <w:rPr>
          <w:lang w:bidi="fa-IR"/>
        </w:rPr>
        <w:t>this, but</w:t>
      </w:r>
      <w:proofErr w:type="gramEnd"/>
      <w:r w:rsidRPr="001E010E">
        <w:rPr>
          <w:lang w:bidi="fa-IR"/>
        </w:rPr>
        <w:t xml:space="preserve"> may also weaken real recognition. </w:t>
      </w:r>
      <w:proofErr w:type="gramStart"/>
      <w:r w:rsidRPr="001E010E">
        <w:rPr>
          <w:lang w:bidi="fa-IR"/>
        </w:rPr>
        <w:t>So</w:t>
      </w:r>
      <w:proofErr w:type="gramEnd"/>
      <w:r w:rsidRPr="001E010E">
        <w:rPr>
          <w:lang w:bidi="fa-IR"/>
        </w:rPr>
        <w:t xml:space="preserve"> a salt-sensitive interaction is not automatically non-specific, and a strong signal is not proof of recognition. We need controls under matched conditions: scrambled sequences, motif mutants, unrelated viral particles, and norovirus-negative stool.</w:t>
      </w:r>
    </w:p>
    <w:p w14:paraId="6EDB6205" w14:textId="77777777" w:rsidR="001E010E" w:rsidRPr="001E010E" w:rsidRDefault="001E010E" w:rsidP="001E010E">
      <w:pPr>
        <w:rPr>
          <w:lang w:bidi="fa-IR"/>
        </w:rPr>
      </w:pPr>
      <w:r w:rsidRPr="001E010E">
        <w:rPr>
          <w:b/>
          <w:bCs/>
          <w:lang w:bidi="fa-IR"/>
        </w:rPr>
        <w:t xml:space="preserve">6. Why </w:t>
      </w:r>
      <w:proofErr w:type="gramStart"/>
      <w:r w:rsidRPr="001E010E">
        <w:rPr>
          <w:b/>
          <w:bCs/>
          <w:lang w:bidi="fa-IR"/>
        </w:rPr>
        <w:t>we</w:t>
      </w:r>
      <w:proofErr w:type="gramEnd"/>
      <w:r w:rsidRPr="001E010E">
        <w:rPr>
          <w:b/>
          <w:bCs/>
          <w:lang w:bidi="fa-IR"/>
        </w:rPr>
        <w:t xml:space="preserve"> plan to use fluorescence </w:t>
      </w:r>
      <w:proofErr w:type="spellStart"/>
      <w:r w:rsidRPr="001E010E">
        <w:rPr>
          <w:b/>
          <w:bCs/>
          <w:lang w:bidi="fa-IR"/>
        </w:rPr>
        <w:t>polarisation</w:t>
      </w:r>
      <w:proofErr w:type="spellEnd"/>
      <w:r w:rsidRPr="001E010E">
        <w:rPr>
          <w:b/>
          <w:bCs/>
          <w:lang w:bidi="fa-IR"/>
        </w:rPr>
        <w:t>.</w:t>
      </w:r>
      <w:r w:rsidRPr="001E010E">
        <w:rPr>
          <w:lang w:bidi="fa-IR"/>
        </w:rPr>
        <w:t xml:space="preserve"> To study all of this, we need a method where the solution is the only thing that changes. Fluorescence </w:t>
      </w:r>
      <w:proofErr w:type="spellStart"/>
      <w:r w:rsidRPr="001E010E">
        <w:rPr>
          <w:lang w:bidi="fa-IR"/>
        </w:rPr>
        <w:t>polarisation</w:t>
      </w:r>
      <w:proofErr w:type="spellEnd"/>
      <w:r w:rsidRPr="001E010E">
        <w:rPr>
          <w:lang w:bidi="fa-IR"/>
        </w:rPr>
        <w:t xml:space="preserve"> gives us that. A fluorescent tag on the aptamer is excited with </w:t>
      </w:r>
      <w:proofErr w:type="spellStart"/>
      <w:r w:rsidRPr="001E010E">
        <w:rPr>
          <w:lang w:bidi="fa-IR"/>
        </w:rPr>
        <w:t>polarised</w:t>
      </w:r>
      <w:proofErr w:type="spellEnd"/>
      <w:r w:rsidRPr="001E010E">
        <w:rPr>
          <w:lang w:bidi="fa-IR"/>
        </w:rPr>
        <w:t xml:space="preserve"> light, and the </w:t>
      </w:r>
      <w:proofErr w:type="spellStart"/>
      <w:r w:rsidRPr="001E010E">
        <w:rPr>
          <w:lang w:bidi="fa-IR"/>
        </w:rPr>
        <w:t>polarisation</w:t>
      </w:r>
      <w:proofErr w:type="spellEnd"/>
      <w:r w:rsidRPr="001E010E">
        <w:rPr>
          <w:lang w:bidi="fa-IR"/>
        </w:rPr>
        <w:t xml:space="preserve"> reflects how fast the molecule tumbles. A free aptamer is small and tumbles fast, so </w:t>
      </w:r>
      <w:proofErr w:type="spellStart"/>
      <w:r w:rsidRPr="001E010E">
        <w:rPr>
          <w:lang w:bidi="fa-IR"/>
        </w:rPr>
        <w:t>polarisation</w:t>
      </w:r>
      <w:proofErr w:type="spellEnd"/>
      <w:r w:rsidRPr="001E010E">
        <w:rPr>
          <w:lang w:bidi="fa-IR"/>
        </w:rPr>
        <w:t xml:space="preserve"> is low. Bound to the large norovirus particle it tumbles slowly, so </w:t>
      </w:r>
      <w:proofErr w:type="spellStart"/>
      <w:r w:rsidRPr="001E010E">
        <w:rPr>
          <w:lang w:bidi="fa-IR"/>
        </w:rPr>
        <w:t>polarisation</w:t>
      </w:r>
      <w:proofErr w:type="spellEnd"/>
      <w:r w:rsidRPr="001E010E">
        <w:rPr>
          <w:lang w:bidi="fa-IR"/>
        </w:rPr>
        <w:t xml:space="preserve"> rises. That rise is the binding signal.</w:t>
      </w:r>
    </w:p>
    <w:p w14:paraId="714C482F" w14:textId="77777777" w:rsidR="001E010E" w:rsidRPr="001E010E" w:rsidRDefault="001E010E" w:rsidP="001E010E">
      <w:pPr>
        <w:rPr>
          <w:lang w:bidi="fa-IR"/>
        </w:rPr>
      </w:pPr>
      <w:proofErr w:type="gramStart"/>
      <w:r w:rsidRPr="001E010E">
        <w:rPr>
          <w:lang w:bidi="fa-IR"/>
        </w:rPr>
        <w:t>It suits this question</w:t>
      </w:r>
      <w:proofErr w:type="gramEnd"/>
      <w:r w:rsidRPr="001E010E">
        <w:rPr>
          <w:lang w:bidi="fa-IR"/>
        </w:rPr>
        <w:t xml:space="preserve"> because:</w:t>
      </w:r>
    </w:p>
    <w:p w14:paraId="167A2258" w14:textId="77777777" w:rsidR="001E010E" w:rsidRPr="001E010E" w:rsidRDefault="001E010E" w:rsidP="001E010E">
      <w:pPr>
        <w:numPr>
          <w:ilvl w:val="0"/>
          <w:numId w:val="1"/>
        </w:numPr>
        <w:rPr>
          <w:lang w:bidi="fa-IR"/>
        </w:rPr>
      </w:pPr>
      <w:r w:rsidRPr="001E010E">
        <w:rPr>
          <w:lang w:bidi="fa-IR"/>
        </w:rPr>
        <w:t xml:space="preserve">Everything happens in solution, with nothing </w:t>
      </w:r>
      <w:proofErr w:type="spellStart"/>
      <w:r w:rsidRPr="001E010E">
        <w:rPr>
          <w:lang w:bidi="fa-IR"/>
        </w:rPr>
        <w:t>immobilised</w:t>
      </w:r>
      <w:proofErr w:type="spellEnd"/>
      <w:r w:rsidRPr="001E010E">
        <w:rPr>
          <w:lang w:bidi="fa-IR"/>
        </w:rPr>
        <w:t xml:space="preserve"> and no surface to stick to.</w:t>
      </w:r>
    </w:p>
    <w:p w14:paraId="668459C4" w14:textId="77777777" w:rsidR="001E010E" w:rsidRPr="001E010E" w:rsidRDefault="001E010E" w:rsidP="001E010E">
      <w:pPr>
        <w:numPr>
          <w:ilvl w:val="0"/>
          <w:numId w:val="1"/>
        </w:numPr>
        <w:rPr>
          <w:lang w:bidi="fa-IR"/>
        </w:rPr>
      </w:pPr>
      <w:r w:rsidRPr="001E010E">
        <w:rPr>
          <w:lang w:bidi="fa-IR"/>
        </w:rPr>
        <w:t>There is no wash step, so the aptamer stays in one defined buffer from start to finish and the measurement is an equilibrium.</w:t>
      </w:r>
    </w:p>
    <w:p w14:paraId="7E749F32" w14:textId="77777777" w:rsidR="001E010E" w:rsidRPr="001E010E" w:rsidRDefault="001E010E" w:rsidP="001E010E">
      <w:pPr>
        <w:numPr>
          <w:ilvl w:val="0"/>
          <w:numId w:val="1"/>
        </w:numPr>
        <w:rPr>
          <w:lang w:bidi="fa-IR"/>
        </w:rPr>
      </w:pPr>
      <w:r w:rsidRPr="001E010E">
        <w:rPr>
          <w:lang w:bidi="fa-IR"/>
        </w:rPr>
        <w:t>The same plate can scan ion identity, concentration and pH for every aptamer under one method.</w:t>
      </w:r>
    </w:p>
    <w:p w14:paraId="5B0C500D" w14:textId="77777777" w:rsidR="001E010E" w:rsidRPr="001E010E" w:rsidRDefault="001E010E" w:rsidP="001E010E">
      <w:pPr>
        <w:numPr>
          <w:ilvl w:val="0"/>
          <w:numId w:val="1"/>
        </w:numPr>
        <w:rPr>
          <w:lang w:bidi="fa-IR"/>
        </w:rPr>
      </w:pPr>
      <w:r w:rsidRPr="001E010E">
        <w:rPr>
          <w:lang w:bidi="fa-IR"/>
        </w:rPr>
        <w:t>Paired with circular dichroism, it helps separate a change in fold from a change at the interface.</w:t>
      </w:r>
    </w:p>
    <w:p w14:paraId="0267EB8D" w14:textId="77777777" w:rsidR="001E010E" w:rsidRPr="001E010E" w:rsidRDefault="001E010E" w:rsidP="001E010E">
      <w:pPr>
        <w:rPr>
          <w:lang w:bidi="fa-IR"/>
        </w:rPr>
      </w:pPr>
      <w:r w:rsidRPr="001E010E">
        <w:rPr>
          <w:b/>
          <w:bCs/>
          <w:lang w:bidi="fa-IR"/>
        </w:rPr>
        <w:t>Our plan in one line:</w:t>
      </w:r>
      <w:r w:rsidRPr="001E010E">
        <w:rPr>
          <w:lang w:bidi="fa-IR"/>
        </w:rPr>
        <w:t xml:space="preserve"> test all six </w:t>
      </w:r>
      <w:proofErr w:type="gramStart"/>
      <w:r w:rsidRPr="001E010E">
        <w:rPr>
          <w:lang w:bidi="fa-IR"/>
        </w:rPr>
        <w:t>head-to-head</w:t>
      </w:r>
      <w:proofErr w:type="gramEnd"/>
      <w:r w:rsidRPr="001E010E">
        <w:rPr>
          <w:lang w:bidi="fa-IR"/>
        </w:rPr>
        <w:t xml:space="preserve"> by fluorescence </w:t>
      </w:r>
      <w:proofErr w:type="spellStart"/>
      <w:r w:rsidRPr="001E010E">
        <w:rPr>
          <w:lang w:bidi="fa-IR"/>
        </w:rPr>
        <w:t>polarisation</w:t>
      </w:r>
      <w:proofErr w:type="spellEnd"/>
      <w:r w:rsidRPr="001E010E">
        <w:rPr>
          <w:lang w:bidi="fa-IR"/>
        </w:rPr>
        <w:t>, vary ions and pH deliberately, and compare both how well each aptamer binds and how much its binding changes between conditions.</w:t>
      </w:r>
    </w:p>
    <w:p w14:paraId="67C4381E" w14:textId="77777777" w:rsidR="001E010E" w:rsidRPr="001E010E" w:rsidRDefault="001E010E" w:rsidP="001E010E">
      <w:pPr>
        <w:rPr>
          <w:lang w:bidi="fa-IR"/>
        </w:rPr>
      </w:pPr>
      <w:r w:rsidRPr="001E010E">
        <w:rPr>
          <w:b/>
          <w:bCs/>
          <w:lang w:bidi="fa-IR"/>
        </w:rPr>
        <w:t>Takeaway:</w:t>
      </w:r>
      <w:r w:rsidRPr="001E010E">
        <w:rPr>
          <w:lang w:bidi="fa-IR"/>
        </w:rPr>
        <w:t xml:space="preserve"> </w:t>
      </w:r>
      <w:r w:rsidRPr="001E010E">
        <w:rPr>
          <w:i/>
          <w:iCs/>
          <w:lang w:bidi="fa-IR"/>
        </w:rPr>
        <w:t xml:space="preserve">Salt helps the fold, weakens the handshake, and changes the entropy of binding, so the binding we measure belongs to the sequence and its solution together. That is why a common method that lets us vary the solution, fluorescence </w:t>
      </w:r>
      <w:proofErr w:type="spellStart"/>
      <w:r w:rsidRPr="001E010E">
        <w:rPr>
          <w:i/>
          <w:iCs/>
          <w:lang w:bidi="fa-IR"/>
        </w:rPr>
        <w:t>polarisation</w:t>
      </w:r>
      <w:proofErr w:type="spellEnd"/>
      <w:r w:rsidRPr="001E010E">
        <w:rPr>
          <w:i/>
          <w:iCs/>
          <w:lang w:bidi="fa-IR"/>
        </w:rPr>
        <w:t>, is the right tool.</w:t>
      </w:r>
    </w:p>
    <w:p w14:paraId="02033449" w14:textId="19B48E33" w:rsidR="001E010E" w:rsidRPr="001E010E" w:rsidRDefault="001E010E" w:rsidP="001E010E">
      <w:pPr>
        <w:rPr>
          <w:lang w:bidi="fa-IR"/>
        </w:rPr>
      </w:pPr>
      <w:r>
        <w:rPr>
          <w:lang w:bidi="fa-IR"/>
        </w:rPr>
        <w:lastRenderedPageBreak/>
        <w:br/>
      </w:r>
      <w:r>
        <w:rPr>
          <w:lang w:bidi="fa-IR"/>
        </w:rPr>
        <w:br/>
      </w:r>
      <w:r w:rsidR="0004209F" w:rsidRPr="0004209F">
        <w:rPr>
          <w:sz w:val="44"/>
          <w:szCs w:val="44"/>
          <w:lang w:bidi="fa-IR"/>
        </w:rPr>
        <w:t>The</w:t>
      </w:r>
      <w:r w:rsidRPr="0004209F">
        <w:rPr>
          <w:sz w:val="44"/>
          <w:szCs w:val="44"/>
          <w:lang w:bidi="fa-IR"/>
        </w:rPr>
        <w:t xml:space="preserve"> following information is what I want to put in my presentation:</w:t>
      </w:r>
      <w:r w:rsidR="0004209F">
        <w:rPr>
          <w:lang w:bidi="fa-IR"/>
        </w:rPr>
        <w:br/>
      </w:r>
      <w:r>
        <w:rPr>
          <w:lang w:bidi="fa-IR"/>
        </w:rPr>
        <w:br/>
      </w:r>
      <w:r w:rsidRPr="001E010E">
        <w:rPr>
          <w:b/>
          <w:bCs/>
          <w:lang w:bidi="fa-IR"/>
        </w:rPr>
        <w:t>The problem.</w:t>
      </w:r>
      <w:r w:rsidRPr="001E010E">
        <w:rPr>
          <w:lang w:bidi="fa-IR"/>
        </w:rPr>
        <w:t xml:space="preserve"> </w:t>
      </w:r>
      <w:proofErr w:type="spellStart"/>
      <w:r w:rsidRPr="001E010E">
        <w:rPr>
          <w:lang w:bidi="fa-IR"/>
        </w:rPr>
        <w:t>Faecal</w:t>
      </w:r>
      <w:proofErr w:type="spellEnd"/>
      <w:r w:rsidRPr="001E010E">
        <w:rPr>
          <w:lang w:bidi="fa-IR"/>
        </w:rPr>
        <w:t xml:space="preserve"> microbiota transplantation (FMT) is a treatment that transfers a healthy donor’s gut microbiota to a patient. Recipients are often elderly, on antibiotics, or immunocompromised, so an infection passed on by the donation can be serious. </w:t>
      </w:r>
      <w:proofErr w:type="gramStart"/>
      <w:r w:rsidRPr="001E010E">
        <w:rPr>
          <w:lang w:bidi="fa-IR"/>
        </w:rPr>
        <w:t>The donation</w:t>
      </w:r>
      <w:proofErr w:type="gramEnd"/>
      <w:r w:rsidRPr="001E010E">
        <w:rPr>
          <w:lang w:bidi="fa-IR"/>
        </w:rPr>
        <w:t xml:space="preserve"> cannot be </w:t>
      </w:r>
      <w:proofErr w:type="spellStart"/>
      <w:r w:rsidRPr="001E010E">
        <w:rPr>
          <w:lang w:bidi="fa-IR"/>
        </w:rPr>
        <w:t>sterilised</w:t>
      </w:r>
      <w:proofErr w:type="spellEnd"/>
      <w:r w:rsidRPr="001E010E">
        <w:rPr>
          <w:lang w:bidi="fa-IR"/>
        </w:rPr>
        <w:t>, because the living microbial community is the active ingredient. The donor screen is therefore the main safety barrier.</w:t>
      </w:r>
    </w:p>
    <w:p w14:paraId="4FF99568" w14:textId="77777777" w:rsidR="001E010E" w:rsidRPr="001E010E" w:rsidRDefault="001E010E" w:rsidP="001E010E">
      <w:pPr>
        <w:rPr>
          <w:lang w:bidi="fa-IR"/>
        </w:rPr>
      </w:pPr>
      <w:r w:rsidRPr="001E010E">
        <w:rPr>
          <w:b/>
          <w:bCs/>
          <w:lang w:bidi="fa-IR"/>
        </w:rPr>
        <w:t>How donors are screened.</w:t>
      </w:r>
      <w:r w:rsidRPr="001E010E">
        <w:rPr>
          <w:lang w:bidi="fa-IR"/>
        </w:rPr>
        <w:t xml:space="preserve"> Before someone becomes a donor, they complete a questionnaire about health, medication, symptoms, travel and possible exposure to infection. Blood and stool samples are then tested for relevant pathogens.</w:t>
      </w:r>
    </w:p>
    <w:p w14:paraId="34E59C2A" w14:textId="77777777" w:rsidR="001E010E" w:rsidRPr="001E010E" w:rsidRDefault="001E010E" w:rsidP="001E010E">
      <w:pPr>
        <w:rPr>
          <w:lang w:bidi="fa-IR"/>
        </w:rPr>
      </w:pPr>
      <w:r w:rsidRPr="001E010E">
        <w:rPr>
          <w:b/>
          <w:bCs/>
          <w:lang w:bidi="fa-IR"/>
        </w:rPr>
        <w:t>The gap.</w:t>
      </w:r>
      <w:r w:rsidRPr="001E010E">
        <w:rPr>
          <w:lang w:bidi="fa-IR"/>
        </w:rPr>
        <w:t xml:space="preserve"> Passing those tests does not guarantee that every later donation is free from infection. In the screening-and-quarantine workflow I am discussing, testing brackets a donation period: donors are screened at the beginning and reassessed at the end. The exact schedule varies between stool banks. Between those two points, a donor could acquire an enteric virus, shed it in a donation, and recover before the next assessment. They might even shed without symptoms. </w:t>
      </w:r>
      <w:proofErr w:type="gramStart"/>
      <w:r w:rsidRPr="001E010E">
        <w:rPr>
          <w:lang w:bidi="fa-IR"/>
        </w:rPr>
        <w:t>So</w:t>
      </w:r>
      <w:proofErr w:type="gramEnd"/>
      <w:r w:rsidRPr="001E010E">
        <w:rPr>
          <w:lang w:bidi="fa-IR"/>
        </w:rPr>
        <w:t xml:space="preserve"> the donor has been screened, but the donation made today has not been tested.</w:t>
      </w:r>
    </w:p>
    <w:p w14:paraId="67A4B885" w14:textId="77777777" w:rsidR="001E010E" w:rsidRPr="001E010E" w:rsidRDefault="001E010E" w:rsidP="001E010E">
      <w:pPr>
        <w:rPr>
          <w:lang w:bidi="fa-IR"/>
        </w:rPr>
      </w:pPr>
      <w:r w:rsidRPr="001E010E">
        <w:rPr>
          <w:b/>
          <w:bCs/>
          <w:lang w:bidi="fa-IR"/>
        </w:rPr>
        <w:t>What we will study first (Work Package 1).</w:t>
      </w:r>
      <w:r w:rsidRPr="001E010E">
        <w:rPr>
          <w:lang w:bidi="fa-IR"/>
        </w:rPr>
        <w:t xml:space="preserve"> We do not yet know how </w:t>
      </w:r>
      <w:proofErr w:type="gramStart"/>
      <w:r w:rsidRPr="001E010E">
        <w:rPr>
          <w:lang w:bidi="fa-IR"/>
        </w:rPr>
        <w:t>much</w:t>
      </w:r>
      <w:proofErr w:type="gramEnd"/>
      <w:r w:rsidRPr="001E010E">
        <w:rPr>
          <w:lang w:bidi="fa-IR"/>
        </w:rPr>
        <w:t xml:space="preserve"> changes </w:t>
      </w:r>
      <w:proofErr w:type="gramStart"/>
      <w:r w:rsidRPr="001E010E">
        <w:rPr>
          <w:lang w:bidi="fa-IR"/>
        </w:rPr>
        <w:t>inside</w:t>
      </w:r>
      <w:proofErr w:type="gramEnd"/>
      <w:r w:rsidRPr="001E010E">
        <w:rPr>
          <w:lang w:bidi="fa-IR"/>
        </w:rPr>
        <w:t xml:space="preserve"> that interval. As Work Package 1 of my PhD, we plan to study stool samples collected from the same person across a screening interval, to see how the diversity of the viruses present may change over time. This will show whether the viral picture at the start of the interval still describes the donations made later, and so how large the gap really is.</w:t>
      </w:r>
    </w:p>
    <w:p w14:paraId="3547A82C" w14:textId="77777777" w:rsidR="001E010E" w:rsidRPr="001E010E" w:rsidRDefault="001E010E" w:rsidP="001E010E">
      <w:pPr>
        <w:rPr>
          <w:lang w:bidi="fa-IR"/>
        </w:rPr>
      </w:pPr>
      <w:r w:rsidRPr="001E010E">
        <w:rPr>
          <w:b/>
          <w:bCs/>
          <w:lang w:bidi="fa-IR"/>
        </w:rPr>
        <w:t xml:space="preserve">Why </w:t>
      </w:r>
      <w:proofErr w:type="gramStart"/>
      <w:r w:rsidRPr="001E010E">
        <w:rPr>
          <w:b/>
          <w:bCs/>
          <w:lang w:bidi="fa-IR"/>
        </w:rPr>
        <w:t>current confirmatory tests do</w:t>
      </w:r>
      <w:proofErr w:type="gramEnd"/>
      <w:r w:rsidRPr="001E010E">
        <w:rPr>
          <w:b/>
          <w:bCs/>
          <w:lang w:bidi="fa-IR"/>
        </w:rPr>
        <w:t xml:space="preserve"> not </w:t>
      </w:r>
      <w:proofErr w:type="gramStart"/>
      <w:r w:rsidRPr="001E010E">
        <w:rPr>
          <w:b/>
          <w:bCs/>
          <w:lang w:bidi="fa-IR"/>
        </w:rPr>
        <w:t>close it.</w:t>
      </w:r>
      <w:proofErr w:type="gramEnd"/>
      <w:r w:rsidRPr="001E010E">
        <w:rPr>
          <w:lang w:bidi="fa-IR"/>
        </w:rPr>
        <w:t xml:space="preserve"> The usual laboratory method, RT-qPCR, is sensitive and specific, but it needs sample preparation, equipment, trained staff and time. It is not practical to run on every single donation, which is why screening happens at intervals.</w:t>
      </w:r>
    </w:p>
    <w:p w14:paraId="190B825E" w14:textId="77777777" w:rsidR="001E010E" w:rsidRPr="001E010E" w:rsidRDefault="001E010E" w:rsidP="001E010E">
      <w:pPr>
        <w:rPr>
          <w:lang w:bidi="fa-IR"/>
        </w:rPr>
      </w:pPr>
      <w:r w:rsidRPr="001E010E">
        <w:rPr>
          <w:b/>
          <w:bCs/>
          <w:lang w:bidi="fa-IR"/>
        </w:rPr>
        <w:t>What a rapid test would add.</w:t>
      </w:r>
      <w:r w:rsidRPr="001E010E">
        <w:rPr>
          <w:lang w:bidi="fa-IR"/>
        </w:rPr>
        <w:t xml:space="preserve"> A fast, simple test applied donation by donation could flag suspicious donations for further testing before they are used. It would not replace laboratory confirmation and would not declare a donation safe by itself. Its job is triage: narrowing the window in which an infected donation can go unnoticed.</w:t>
      </w:r>
    </w:p>
    <w:p w14:paraId="69951694" w14:textId="77777777" w:rsidR="001E010E" w:rsidRPr="001E010E" w:rsidRDefault="001E010E" w:rsidP="001E010E">
      <w:pPr>
        <w:rPr>
          <w:lang w:bidi="fa-IR"/>
        </w:rPr>
      </w:pPr>
      <w:r w:rsidRPr="001E010E">
        <w:rPr>
          <w:b/>
          <w:bCs/>
          <w:lang w:bidi="fa-IR"/>
        </w:rPr>
        <w:lastRenderedPageBreak/>
        <w:t>Why norovirus.</w:t>
      </w:r>
      <w:r w:rsidRPr="001E010E">
        <w:rPr>
          <w:lang w:bidi="fa-IR"/>
        </w:rPr>
        <w:t xml:space="preserve"> Norovirus is a major cause of acute gastroenteritis and a good example of this problem. It can be shed in large quantities, needs a very low infectious dose, and can be shed without symptoms or after recovery. In immunocompromised recipients, infection may become prolonged. Existing rapid antigen tests perform poorly for it compared with other enteric viruses, and several aptamers already exist that could serve as recognition elements.</w:t>
      </w:r>
    </w:p>
    <w:p w14:paraId="17902215" w14:textId="77777777" w:rsidR="001E010E" w:rsidRPr="001E010E" w:rsidRDefault="001E010E" w:rsidP="001E010E">
      <w:pPr>
        <w:rPr>
          <w:lang w:bidi="fa-IR"/>
        </w:rPr>
      </w:pPr>
      <w:r w:rsidRPr="001E010E">
        <w:rPr>
          <w:b/>
          <w:bCs/>
          <w:lang w:bidi="fa-IR"/>
        </w:rPr>
        <w:t>One-line takeaway:</w:t>
      </w:r>
      <w:r w:rsidRPr="001E010E">
        <w:rPr>
          <w:lang w:bidi="fa-IR"/>
        </w:rPr>
        <w:t xml:space="preserve"> </w:t>
      </w:r>
      <w:r w:rsidRPr="001E010E">
        <w:rPr>
          <w:i/>
          <w:iCs/>
          <w:lang w:bidi="fa-IR"/>
        </w:rPr>
        <w:t>The donor has been screened, but what about the donation made today? We will first measure how the viral picture changes across the interval, then build a rapid test to learn something about each donation.</w:t>
      </w:r>
    </w:p>
    <w:p w14:paraId="3493EF22" w14:textId="77777777" w:rsidR="0004209F" w:rsidRPr="0004209F" w:rsidRDefault="0004209F" w:rsidP="0004209F">
      <w:pPr>
        <w:rPr>
          <w:b/>
          <w:bCs/>
          <w:lang w:bidi="fa-IR"/>
        </w:rPr>
      </w:pPr>
      <w:r>
        <w:rPr>
          <w:lang w:bidi="fa-IR"/>
        </w:rPr>
        <w:br/>
      </w:r>
      <w:r w:rsidRPr="0004209F">
        <w:rPr>
          <w:b/>
          <w:bCs/>
          <w:lang w:bidi="fa-IR"/>
        </w:rPr>
        <w:t>From Molecular Recognition to a Rapid Test</w:t>
      </w:r>
    </w:p>
    <w:p w14:paraId="2A49BE26" w14:textId="77777777" w:rsidR="0004209F" w:rsidRPr="0004209F" w:rsidRDefault="0004209F" w:rsidP="0004209F">
      <w:pPr>
        <w:rPr>
          <w:b/>
          <w:bCs/>
          <w:lang w:bidi="fa-IR"/>
        </w:rPr>
      </w:pPr>
      <w:r w:rsidRPr="0004209F">
        <w:rPr>
          <w:b/>
          <w:bCs/>
          <w:lang w:bidi="fa-IR"/>
        </w:rPr>
        <w:t>Setting the scene</w:t>
      </w:r>
    </w:p>
    <w:p w14:paraId="6A1086A1" w14:textId="77777777" w:rsidR="0004209F" w:rsidRPr="0004209F" w:rsidRDefault="0004209F" w:rsidP="0004209F">
      <w:pPr>
        <w:rPr>
          <w:lang w:bidi="fa-IR"/>
        </w:rPr>
      </w:pPr>
      <w:r w:rsidRPr="0004209F">
        <w:rPr>
          <w:lang w:bidi="fa-IR"/>
        </w:rPr>
        <w:t xml:space="preserve">“The project begins with a practical challenge: how can we rapidly detect enteric viruses in donor stool to support safer </w:t>
      </w:r>
      <w:proofErr w:type="spellStart"/>
      <w:r w:rsidRPr="0004209F">
        <w:rPr>
          <w:lang w:bidi="fa-IR"/>
        </w:rPr>
        <w:t>faecal</w:t>
      </w:r>
      <w:proofErr w:type="spellEnd"/>
      <w:r w:rsidRPr="0004209F">
        <w:rPr>
          <w:lang w:bidi="fa-IR"/>
        </w:rPr>
        <w:t xml:space="preserve"> microbiota transplantation? After WP1 investigates the viral risk in healthy donors, WP2 and WP3 take us from understanding how aptamers </w:t>
      </w:r>
      <w:proofErr w:type="spellStart"/>
      <w:r w:rsidRPr="0004209F">
        <w:rPr>
          <w:lang w:bidi="fa-IR"/>
        </w:rPr>
        <w:t>recognise</w:t>
      </w:r>
      <w:proofErr w:type="spellEnd"/>
      <w:r w:rsidRPr="0004209F">
        <w:rPr>
          <w:lang w:bidi="fa-IR"/>
        </w:rPr>
        <w:t xml:space="preserve"> viruses to developing a test that could support donor screening.” [2]</w:t>
      </w:r>
    </w:p>
    <w:p w14:paraId="1709ABA1" w14:textId="77777777" w:rsidR="0004209F" w:rsidRPr="0004209F" w:rsidRDefault="0004209F" w:rsidP="0004209F">
      <w:pPr>
        <w:rPr>
          <w:b/>
          <w:bCs/>
          <w:lang w:bidi="fa-IR"/>
        </w:rPr>
      </w:pPr>
      <w:r w:rsidRPr="0004209F">
        <w:rPr>
          <w:b/>
          <w:bCs/>
          <w:lang w:bidi="fa-IR"/>
        </w:rPr>
        <w:t>WP2 — Understanding the recognition</w:t>
      </w:r>
    </w:p>
    <w:p w14:paraId="6909EA7F" w14:textId="77777777" w:rsidR="0004209F" w:rsidRPr="0004209F" w:rsidRDefault="0004209F" w:rsidP="0004209F">
      <w:pPr>
        <w:rPr>
          <w:lang w:bidi="fa-IR"/>
        </w:rPr>
      </w:pPr>
      <w:r w:rsidRPr="0004209F">
        <w:rPr>
          <w:lang w:bidi="fa-IR"/>
        </w:rPr>
        <w:t xml:space="preserve">“In WP2, we first ask whether our aptamers can </w:t>
      </w:r>
      <w:proofErr w:type="spellStart"/>
      <w:r w:rsidRPr="0004209F">
        <w:rPr>
          <w:lang w:bidi="fa-IR"/>
        </w:rPr>
        <w:t>recognise</w:t>
      </w:r>
      <w:proofErr w:type="spellEnd"/>
      <w:r w:rsidRPr="0004209F">
        <w:rPr>
          <w:lang w:bidi="fa-IR"/>
        </w:rPr>
        <w:t xml:space="preserve"> their viral targets reliably. We begin in buffer, where conditions are controlled, and compare candidates to understand their binding strength, specificity and, for norovirus, their ability to </w:t>
      </w:r>
      <w:proofErr w:type="spellStart"/>
      <w:r w:rsidRPr="0004209F">
        <w:rPr>
          <w:lang w:bidi="fa-IR"/>
        </w:rPr>
        <w:t>recognise</w:t>
      </w:r>
      <w:proofErr w:type="spellEnd"/>
      <w:r w:rsidRPr="0004209F">
        <w:rPr>
          <w:lang w:bidi="fa-IR"/>
        </w:rPr>
        <w:t xml:space="preserve"> different genotypes. Norovirus is our priority, while aptamers for astrovirus, rotavirus and adenovirus are also investigated.” [2]</w:t>
      </w:r>
    </w:p>
    <w:p w14:paraId="3C75EE04" w14:textId="77777777" w:rsidR="0004209F" w:rsidRPr="0004209F" w:rsidRDefault="0004209F" w:rsidP="0004209F">
      <w:pPr>
        <w:rPr>
          <w:lang w:bidi="fa-IR"/>
        </w:rPr>
      </w:pPr>
      <w:r w:rsidRPr="0004209F">
        <w:rPr>
          <w:lang w:bidi="fa-IR"/>
        </w:rPr>
        <w:t xml:space="preserve">“But </w:t>
      </w:r>
      <w:proofErr w:type="spellStart"/>
      <w:r w:rsidRPr="0004209F">
        <w:rPr>
          <w:lang w:bidi="fa-IR"/>
        </w:rPr>
        <w:t>recognising</w:t>
      </w:r>
      <w:proofErr w:type="spellEnd"/>
      <w:r w:rsidRPr="0004209F">
        <w:rPr>
          <w:lang w:bidi="fa-IR"/>
        </w:rPr>
        <w:t xml:space="preserve"> a target in buffer is only the beginning. We also compare different target models—virus-like particles, recombinant capsid protein and murine norovirus—to understand how the form of the target influences recognition.” [2]</w:t>
      </w:r>
    </w:p>
    <w:p w14:paraId="1338EE2A" w14:textId="77777777" w:rsidR="0004209F" w:rsidRPr="0004209F" w:rsidRDefault="0004209F" w:rsidP="0004209F">
      <w:pPr>
        <w:rPr>
          <w:lang w:bidi="fa-IR"/>
        </w:rPr>
      </w:pPr>
      <w:r w:rsidRPr="0004209F">
        <w:rPr>
          <w:lang w:bidi="fa-IR"/>
        </w:rPr>
        <w:t>“Then we move into stool, where the challenge becomes more complex. If the signal decreases, is the aptamer being degraded, or are stool components interfering with its binding? Rather than simply adjusting conditions until the signal improves, we investigate the mechanisms behind that loss. This should help us identify suitable strategies to preserve aptamer function.” [2]</w:t>
      </w:r>
    </w:p>
    <w:p w14:paraId="0A158B84" w14:textId="77777777" w:rsidR="0004209F" w:rsidRPr="0004209F" w:rsidRDefault="0004209F" w:rsidP="0004209F">
      <w:pPr>
        <w:rPr>
          <w:b/>
          <w:bCs/>
          <w:lang w:bidi="fa-IR"/>
        </w:rPr>
      </w:pPr>
      <w:r w:rsidRPr="0004209F">
        <w:rPr>
          <w:b/>
          <w:bCs/>
          <w:lang w:bidi="fa-IR"/>
        </w:rPr>
        <w:t>WP3 — Turning recognition into a test</w:t>
      </w:r>
    </w:p>
    <w:p w14:paraId="7795FAA7" w14:textId="77777777" w:rsidR="0004209F" w:rsidRPr="0004209F" w:rsidRDefault="0004209F" w:rsidP="0004209F">
      <w:pPr>
        <w:rPr>
          <w:lang w:bidi="fa-IR"/>
        </w:rPr>
      </w:pPr>
      <w:r w:rsidRPr="0004209F">
        <w:rPr>
          <w:lang w:bidi="fa-IR"/>
        </w:rPr>
        <w:lastRenderedPageBreak/>
        <w:t xml:space="preserve">“WP3 takes that knowledge and turns it into a practical detection platform: a lateral flow assay. The aim is to translate aptamer–virus binding into a visible </w:t>
      </w:r>
      <w:proofErr w:type="spellStart"/>
      <w:r w:rsidRPr="0004209F">
        <w:rPr>
          <w:lang w:bidi="fa-IR"/>
        </w:rPr>
        <w:t>coloured</w:t>
      </w:r>
      <w:proofErr w:type="spellEnd"/>
      <w:r w:rsidRPr="0004209F">
        <w:rPr>
          <w:lang w:bidi="fa-IR"/>
        </w:rPr>
        <w:t xml:space="preserve"> signal on a test strip, starting with norovirus.” [2]</w:t>
      </w:r>
    </w:p>
    <w:p w14:paraId="4FBDBF3F" w14:textId="77777777" w:rsidR="0004209F" w:rsidRPr="0004209F" w:rsidRDefault="0004209F" w:rsidP="0004209F">
      <w:pPr>
        <w:rPr>
          <w:lang w:bidi="fa-IR"/>
        </w:rPr>
      </w:pPr>
      <w:r w:rsidRPr="0004209F">
        <w:rPr>
          <w:lang w:bidi="fa-IR"/>
        </w:rPr>
        <w:t xml:space="preserve">“We investigate how to </w:t>
      </w:r>
      <w:proofErr w:type="spellStart"/>
      <w:r w:rsidRPr="0004209F">
        <w:rPr>
          <w:lang w:bidi="fa-IR"/>
        </w:rPr>
        <w:t>immobilise</w:t>
      </w:r>
      <w:proofErr w:type="spellEnd"/>
      <w:r w:rsidRPr="0004209F">
        <w:rPr>
          <w:lang w:bidi="fa-IR"/>
        </w:rPr>
        <w:t xml:space="preserve"> the aptamers on the membrane, preserve their binding after drying, and use gold nanoparticles to generate the readout. We then </w:t>
      </w:r>
      <w:proofErr w:type="spellStart"/>
      <w:r w:rsidRPr="0004209F">
        <w:rPr>
          <w:lang w:bidi="fa-IR"/>
        </w:rPr>
        <w:t>optimise</w:t>
      </w:r>
      <w:proofErr w:type="spellEnd"/>
      <w:r w:rsidRPr="0004209F">
        <w:rPr>
          <w:lang w:bidi="fa-IR"/>
        </w:rPr>
        <w:t xml:space="preserve"> the assay for stool and assess whether its detection limit is compatible with the viral loads observed in WP1, benchmarking its performance against RT-qPCR.” [2]</w:t>
      </w:r>
    </w:p>
    <w:p w14:paraId="3D5EA0FD" w14:textId="77777777" w:rsidR="0004209F" w:rsidRPr="0004209F" w:rsidRDefault="0004209F" w:rsidP="0004209F">
      <w:pPr>
        <w:rPr>
          <w:lang w:bidi="fa-IR"/>
        </w:rPr>
      </w:pPr>
      <w:r w:rsidRPr="0004209F">
        <w:rPr>
          <w:lang w:bidi="fa-IR"/>
        </w:rPr>
        <w:t>“If the results from WP2 support it, we extend the platform by adding a test line for a second virus. A validated norovirus assay is the minimum technological objective; multiplex detection is the next goal, with testing on naturally positive samples as an ambitious extension.” [2]</w:t>
      </w:r>
    </w:p>
    <w:p w14:paraId="55CC06F8" w14:textId="7252E03A" w:rsidR="00671A35" w:rsidRDefault="00671A35" w:rsidP="00671A35">
      <w:pPr>
        <w:rPr>
          <w:lang w:bidi="fa-IR"/>
        </w:rPr>
      </w:pPr>
    </w:p>
    <w:sectPr w:rsidR="00671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F27EB"/>
    <w:multiLevelType w:val="multilevel"/>
    <w:tmpl w:val="50D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91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A35"/>
    <w:rsid w:val="0004209F"/>
    <w:rsid w:val="0008089D"/>
    <w:rsid w:val="001E010E"/>
    <w:rsid w:val="003B49C6"/>
    <w:rsid w:val="00671A35"/>
    <w:rsid w:val="007A0E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AD1F"/>
  <w15:chartTrackingRefBased/>
  <w15:docId w15:val="{3873DE21-04D0-42E6-9B64-4F2F6909E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1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1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A35"/>
    <w:rPr>
      <w:rFonts w:eastAsiaTheme="majorEastAsia" w:cstheme="majorBidi"/>
      <w:color w:val="272727" w:themeColor="text1" w:themeTint="D8"/>
    </w:rPr>
  </w:style>
  <w:style w:type="paragraph" w:styleId="Title">
    <w:name w:val="Title"/>
    <w:basedOn w:val="Normal"/>
    <w:next w:val="Normal"/>
    <w:link w:val="TitleChar"/>
    <w:uiPriority w:val="10"/>
    <w:qFormat/>
    <w:rsid w:val="00671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A35"/>
    <w:pPr>
      <w:spacing w:before="160"/>
      <w:jc w:val="center"/>
    </w:pPr>
    <w:rPr>
      <w:i/>
      <w:iCs/>
      <w:color w:val="404040" w:themeColor="text1" w:themeTint="BF"/>
    </w:rPr>
  </w:style>
  <w:style w:type="character" w:customStyle="1" w:styleId="QuoteChar">
    <w:name w:val="Quote Char"/>
    <w:basedOn w:val="DefaultParagraphFont"/>
    <w:link w:val="Quote"/>
    <w:uiPriority w:val="29"/>
    <w:rsid w:val="00671A35"/>
    <w:rPr>
      <w:i/>
      <w:iCs/>
      <w:color w:val="404040" w:themeColor="text1" w:themeTint="BF"/>
    </w:rPr>
  </w:style>
  <w:style w:type="paragraph" w:styleId="ListParagraph">
    <w:name w:val="List Paragraph"/>
    <w:basedOn w:val="Normal"/>
    <w:uiPriority w:val="34"/>
    <w:qFormat/>
    <w:rsid w:val="00671A35"/>
    <w:pPr>
      <w:ind w:left="720"/>
      <w:contextualSpacing/>
    </w:pPr>
  </w:style>
  <w:style w:type="character" w:styleId="IntenseEmphasis">
    <w:name w:val="Intense Emphasis"/>
    <w:basedOn w:val="DefaultParagraphFont"/>
    <w:uiPriority w:val="21"/>
    <w:qFormat/>
    <w:rsid w:val="00671A35"/>
    <w:rPr>
      <w:i/>
      <w:iCs/>
      <w:color w:val="0F4761" w:themeColor="accent1" w:themeShade="BF"/>
    </w:rPr>
  </w:style>
  <w:style w:type="paragraph" w:styleId="IntenseQuote">
    <w:name w:val="Intense Quote"/>
    <w:basedOn w:val="Normal"/>
    <w:next w:val="Normal"/>
    <w:link w:val="IntenseQuoteChar"/>
    <w:uiPriority w:val="30"/>
    <w:qFormat/>
    <w:rsid w:val="00671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A35"/>
    <w:rPr>
      <w:i/>
      <w:iCs/>
      <w:color w:val="0F4761" w:themeColor="accent1" w:themeShade="BF"/>
    </w:rPr>
  </w:style>
  <w:style w:type="character" w:styleId="IntenseReference">
    <w:name w:val="Intense Reference"/>
    <w:basedOn w:val="DefaultParagraphFont"/>
    <w:uiPriority w:val="32"/>
    <w:qFormat/>
    <w:rsid w:val="00671A35"/>
    <w:rPr>
      <w:b/>
      <w:bCs/>
      <w:smallCaps/>
      <w:color w:val="0F4761" w:themeColor="accent1" w:themeShade="BF"/>
      <w:spacing w:val="5"/>
    </w:rPr>
  </w:style>
  <w:style w:type="paragraph" w:styleId="NormalWeb">
    <w:name w:val="Normal (Web)"/>
    <w:basedOn w:val="Normal"/>
    <w:uiPriority w:val="99"/>
    <w:semiHidden/>
    <w:unhideWhenUsed/>
    <w:rsid w:val="001E01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LIST</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Nazanin KHAZALI</dc:creator>
  <cp:keywords/>
  <dc:description/>
  <cp:lastModifiedBy>Nazanin KHAZALI</cp:lastModifiedBy>
  <cp:revision>1</cp:revision>
  <dcterms:created xsi:type="dcterms:W3CDTF">2026-10-18T14:31:00Z</dcterms:created>
  <dcterms:modified xsi:type="dcterms:W3CDTF">2026-10-18T15:08:00Z</dcterms:modified>
</cp:coreProperties>
</file>