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/>
        <w:jc w:val="center"/>
      </w:pPr>
      <w:r>
        <w:rPr>
          <w:b/>
          <w:sz w:val="28"/>
        </w:rPr>
        <w:t>References</w:t>
      </w:r>
    </w:p>
    <w:p>
      <w:pPr>
        <w:spacing w:after="160"/>
        <w:jc w:val="left"/>
      </w:pPr>
      <w:r>
        <w:rPr>
          <w:b w:val="0"/>
          <w:sz w:val="28"/>
        </w:rPr>
        <w:t>1. Ahmedov, A. A. (2020). Heart diseases and their prevention. Fan.</w:t>
      </w:r>
    </w:p>
    <w:p>
      <w:pPr>
        <w:spacing w:after="160"/>
        <w:jc w:val="left"/>
      </w:pPr>
      <w:r>
        <w:rPr>
          <w:b w:val="0"/>
          <w:sz w:val="28"/>
        </w:rPr>
        <w:t>2. Johnson, L. M. (2018). Comparative analysis of thematic elements in English and Uzbek poetry. Journal of Literary Studies, 12(4), 45-60.</w:t>
      </w:r>
    </w:p>
    <w:p>
      <w:pPr>
        <w:spacing w:after="160"/>
        <w:jc w:val="left"/>
      </w:pPr>
      <w:r>
        <w:rPr>
          <w:b w:val="0"/>
          <w:sz w:val="28"/>
        </w:rPr>
        <w:t>3. Khan, R. S. (2019). Stylistic devices and poetic techniques in Central Asian and Western literature. International Journal of Literary Research, 7(2), 102-115.</w:t>
      </w:r>
    </w:p>
    <w:p>
      <w:pPr>
        <w:spacing w:after="160"/>
        <w:jc w:val="left"/>
      </w:pPr>
      <w:r>
        <w:rPr>
          <w:b w:val="0"/>
          <w:sz w:val="28"/>
        </w:rPr>
        <w:t>4. Shukurov, D. (2017). The evolution of Uzbek poetic forms and their cultural influences. Uzbek Literary Review, 5(1), 78-92.</w:t>
      </w:r>
    </w:p>
    <w:p>
      <w:pPr>
        <w:spacing w:after="160"/>
        <w:jc w:val="left"/>
      </w:pPr>
      <w:r>
        <w:rPr>
          <w:b w:val="0"/>
          <w:sz w:val="28"/>
        </w:rPr>
        <w:t>5. World Literature Organization. (2022). Intertextuality and symbolism in world poetry. https://worldliterature.org/intertextuality-symbolism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