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A3AF" w14:textId="77777777" w:rsidR="002E171E" w:rsidRDefault="002E171E" w:rsidP="00B956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B71C68" w14:textId="77777777" w:rsidR="002E171E" w:rsidRPr="00D7389E" w:rsidRDefault="002E171E" w:rsidP="002E171E">
      <w:pPr>
        <w:pStyle w:val="a4"/>
        <w:spacing w:line="360" w:lineRule="auto"/>
        <w:rPr>
          <w:b w:val="0"/>
          <w:noProof/>
          <w:sz w:val="28"/>
          <w:szCs w:val="28"/>
        </w:rPr>
      </w:pPr>
      <w:r>
        <w:rPr>
          <w:b w:val="0"/>
          <w:noProof/>
          <w:sz w:val="28"/>
          <w:szCs w:val="28"/>
        </w:rPr>
        <w:t>Міністерство освіти і науки України</w:t>
      </w:r>
    </w:p>
    <w:p w14:paraId="52C9A596" w14:textId="77777777" w:rsidR="002E171E" w:rsidRPr="00D7389E" w:rsidRDefault="002E171E" w:rsidP="002E171E">
      <w:pPr>
        <w:pStyle w:val="a6"/>
        <w:spacing w:line="360" w:lineRule="auto"/>
        <w:rPr>
          <w:b w:val="0"/>
          <w:i w:val="0"/>
          <w:noProof/>
          <w:szCs w:val="28"/>
        </w:rPr>
      </w:pPr>
      <w:r>
        <w:rPr>
          <w:b w:val="0"/>
          <w:i w:val="0"/>
          <w:noProof/>
          <w:szCs w:val="28"/>
        </w:rPr>
        <w:t>Тернопільський національний технічний університет імені Івана Пулюя</w:t>
      </w:r>
    </w:p>
    <w:p w14:paraId="1CE2433C" w14:textId="77777777" w:rsidR="002E171E" w:rsidRPr="00D7389E" w:rsidRDefault="002E171E" w:rsidP="002E171E">
      <w:pPr>
        <w:pStyle w:val="a6"/>
        <w:spacing w:line="360" w:lineRule="auto"/>
        <w:rPr>
          <w:b w:val="0"/>
          <w:i w:val="0"/>
          <w:noProof/>
          <w:szCs w:val="28"/>
        </w:rPr>
      </w:pPr>
    </w:p>
    <w:p w14:paraId="2F3A232C" w14:textId="77777777" w:rsidR="002E171E" w:rsidRPr="00D7389E" w:rsidRDefault="002E171E" w:rsidP="002E171E">
      <w:pPr>
        <w:pStyle w:val="a6"/>
        <w:spacing w:line="360" w:lineRule="auto"/>
        <w:rPr>
          <w:b w:val="0"/>
          <w:i w:val="0"/>
          <w:noProof/>
          <w:szCs w:val="28"/>
        </w:rPr>
      </w:pPr>
    </w:p>
    <w:p w14:paraId="646428AC" w14:textId="77777777" w:rsidR="002E171E" w:rsidRPr="00D7389E" w:rsidRDefault="002E171E" w:rsidP="002E171E">
      <w:pPr>
        <w:pStyle w:val="a6"/>
        <w:spacing w:line="360" w:lineRule="auto"/>
        <w:rPr>
          <w:b w:val="0"/>
          <w:i w:val="0"/>
          <w:noProof/>
          <w:szCs w:val="28"/>
        </w:rPr>
      </w:pPr>
    </w:p>
    <w:p w14:paraId="71793895" w14:textId="77777777" w:rsidR="002E171E" w:rsidRPr="00DE4597" w:rsidRDefault="002E171E" w:rsidP="002E171E">
      <w:pPr>
        <w:spacing w:after="0" w:line="360" w:lineRule="auto"/>
        <w:jc w:val="right"/>
        <w:rPr>
          <w:rFonts w:ascii="Times New Roman" w:hAnsi="Times New Roman" w:cs="Times New Roman"/>
          <w:i/>
          <w:noProof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pacing w:val="3"/>
          <w:sz w:val="28"/>
          <w:szCs w:val="28"/>
        </w:rPr>
        <w:t>Кaфедрa комп'ютерних систем тa мереж</w:t>
      </w:r>
    </w:p>
    <w:p w14:paraId="527C8DC2" w14:textId="77777777" w:rsidR="002E171E" w:rsidRPr="00D7389E" w:rsidRDefault="002E171E" w:rsidP="002E171E">
      <w:pPr>
        <w:pStyle w:val="a6"/>
        <w:spacing w:line="360" w:lineRule="auto"/>
        <w:rPr>
          <w:b w:val="0"/>
          <w:i w:val="0"/>
          <w:noProof/>
          <w:szCs w:val="28"/>
        </w:rPr>
      </w:pPr>
    </w:p>
    <w:p w14:paraId="0F573F65" w14:textId="77777777" w:rsidR="002E171E" w:rsidRPr="00D7389E" w:rsidRDefault="002E171E" w:rsidP="002E171E">
      <w:pPr>
        <w:pStyle w:val="a6"/>
        <w:spacing w:line="360" w:lineRule="auto"/>
        <w:rPr>
          <w:b w:val="0"/>
          <w:i w:val="0"/>
          <w:noProof/>
          <w:szCs w:val="28"/>
        </w:rPr>
      </w:pPr>
    </w:p>
    <w:p w14:paraId="2127B918" w14:textId="77777777" w:rsidR="002E171E" w:rsidRPr="00D7389E" w:rsidRDefault="002E171E" w:rsidP="002E171E">
      <w:pPr>
        <w:pStyle w:val="a6"/>
        <w:spacing w:line="360" w:lineRule="auto"/>
        <w:rPr>
          <w:b w:val="0"/>
          <w:i w:val="0"/>
          <w:noProof/>
          <w:szCs w:val="28"/>
        </w:rPr>
      </w:pPr>
    </w:p>
    <w:p w14:paraId="0BF4986D" w14:textId="77777777" w:rsidR="002E171E" w:rsidRPr="00DE4597" w:rsidRDefault="002E171E" w:rsidP="002E171E">
      <w:pPr>
        <w:pStyle w:val="a6"/>
        <w:spacing w:line="360" w:lineRule="auto"/>
        <w:rPr>
          <w:i w:val="0"/>
          <w:noProof/>
          <w:szCs w:val="28"/>
        </w:rPr>
      </w:pPr>
      <w:r>
        <w:rPr>
          <w:i w:val="0"/>
          <w:noProof/>
          <w:szCs w:val="28"/>
        </w:rPr>
        <w:t>ЗВІТ</w:t>
      </w:r>
    </w:p>
    <w:p w14:paraId="418844BF" w14:textId="51D19D84" w:rsidR="002E171E" w:rsidRPr="00D7389E" w:rsidRDefault="002E171E" w:rsidP="002E171E">
      <w:pPr>
        <w:pStyle w:val="a6"/>
        <w:spacing w:line="360" w:lineRule="auto"/>
        <w:rPr>
          <w:b w:val="0"/>
          <w:i w:val="0"/>
          <w:noProof/>
          <w:szCs w:val="28"/>
        </w:rPr>
      </w:pPr>
      <w:r>
        <w:rPr>
          <w:b w:val="0"/>
          <w:i w:val="0"/>
          <w:noProof/>
          <w:szCs w:val="28"/>
        </w:rPr>
        <w:t>про виконання лабораторної роботи №2</w:t>
      </w:r>
    </w:p>
    <w:p w14:paraId="23C2213D" w14:textId="77777777" w:rsidR="002E171E" w:rsidRPr="00D7389E" w:rsidRDefault="002E171E" w:rsidP="002E171E">
      <w:pPr>
        <w:pStyle w:val="a6"/>
        <w:spacing w:line="360" w:lineRule="auto"/>
        <w:rPr>
          <w:b w:val="0"/>
          <w:i w:val="0"/>
          <w:noProof/>
          <w:szCs w:val="28"/>
        </w:rPr>
      </w:pPr>
      <w:r>
        <w:rPr>
          <w:b w:val="0"/>
          <w:i w:val="0"/>
          <w:noProof/>
          <w:szCs w:val="28"/>
        </w:rPr>
        <w:t>з дисципліни: «Інженерія програмного забезпечення»</w:t>
      </w:r>
    </w:p>
    <w:p w14:paraId="6981F06F" w14:textId="4AA96922" w:rsidR="002E171E" w:rsidRPr="00D7389E" w:rsidRDefault="002E171E" w:rsidP="002E171E">
      <w:pPr>
        <w:pStyle w:val="a6"/>
        <w:spacing w:line="360" w:lineRule="auto"/>
        <w:rPr>
          <w:b w:val="0"/>
          <w:i w:val="0"/>
          <w:noProof/>
          <w:szCs w:val="28"/>
        </w:rPr>
      </w:pPr>
      <w:r>
        <w:rPr>
          <w:b w:val="0"/>
          <w:i w:val="0"/>
          <w:noProof/>
          <w:szCs w:val="28"/>
        </w:rPr>
        <w:t>на тему: «Проектування об’єктно-орієнтованої архітектури пз»</w:t>
      </w:r>
    </w:p>
    <w:p w14:paraId="38F1B2E8" w14:textId="77777777" w:rsidR="002E171E" w:rsidRDefault="002E171E" w:rsidP="002E17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694D4B" w14:textId="77777777" w:rsidR="002E171E" w:rsidRDefault="002E171E" w:rsidP="002E17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C6F604" w14:textId="77777777" w:rsidR="002E171E" w:rsidRPr="00D7389E" w:rsidRDefault="002E171E" w:rsidP="002E17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89AAB" w14:textId="77777777" w:rsidR="002E171E" w:rsidRPr="00D7389E" w:rsidRDefault="002E171E" w:rsidP="002E17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B27A33" w14:textId="77777777" w:rsidR="002E171E" w:rsidRPr="00D7389E" w:rsidRDefault="002E171E" w:rsidP="002E171E">
      <w:pPr>
        <w:spacing w:after="0" w:line="360" w:lineRule="auto"/>
        <w:ind w:firstLine="5529"/>
        <w:rPr>
          <w:rFonts w:ascii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t>Виконaли:</w:t>
      </w:r>
    </w:p>
    <w:p w14:paraId="3206CC79" w14:textId="4B5AA496" w:rsidR="002E171E" w:rsidRDefault="002E171E" w:rsidP="002E171E">
      <w:pPr>
        <w:spacing w:after="0" w:line="360" w:lineRule="auto"/>
        <w:ind w:firstLine="5529"/>
        <w:rPr>
          <w:rFonts w:ascii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t>студенти групи СIс-31</w:t>
      </w:r>
    </w:p>
    <w:p w14:paraId="49DEFE8C" w14:textId="0D4644EC" w:rsidR="002E171E" w:rsidRPr="00D7389E" w:rsidRDefault="002E171E" w:rsidP="002E171E">
      <w:pPr>
        <w:spacing w:after="0" w:line="360" w:lineRule="auto"/>
        <w:ind w:firstLine="5529"/>
        <w:rPr>
          <w:rFonts w:ascii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t>Нікітченко К.О., Партика Н.В.</w:t>
      </w:r>
    </w:p>
    <w:p w14:paraId="1D1272E5" w14:textId="68B762E4" w:rsidR="002E171E" w:rsidRPr="00D7389E" w:rsidRDefault="002E171E" w:rsidP="002E171E">
      <w:pPr>
        <w:spacing w:after="0" w:line="360" w:lineRule="auto"/>
        <w:ind w:firstLine="5529"/>
        <w:rPr>
          <w:rFonts w:ascii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t>Сасага А.Ю., Януш А.В.</w:t>
      </w:r>
    </w:p>
    <w:p w14:paraId="67CE7E40" w14:textId="77777777" w:rsidR="002E171E" w:rsidRPr="00D7389E" w:rsidRDefault="002E171E" w:rsidP="002E171E">
      <w:pPr>
        <w:spacing w:after="0" w:line="360" w:lineRule="auto"/>
        <w:ind w:firstLine="5529"/>
        <w:rPr>
          <w:rFonts w:ascii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t>Прийняв:</w:t>
      </w:r>
    </w:p>
    <w:p w14:paraId="77CE4CE4" w14:textId="7D657428" w:rsidR="002E171E" w:rsidRPr="00D7389E" w:rsidRDefault="002E171E" w:rsidP="002E171E">
      <w:pPr>
        <w:spacing w:after="0" w:line="360" w:lineRule="auto"/>
        <w:ind w:firstLine="552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t>Жаровський Р</w:t>
      </w:r>
      <w:r>
        <w:rPr>
          <w:rFonts w:ascii="Times New Roman" w:hAnsi="Times New Roman" w:cs="Times New Roman"/>
          <w:color w:val="000000"/>
          <w:sz w:val="28"/>
          <w:szCs w:val="28"/>
        </w:rPr>
        <w:t>.О</w:t>
      </w:r>
    </w:p>
    <w:p w14:paraId="4068B965" w14:textId="77777777" w:rsidR="002E171E" w:rsidRDefault="002E171E" w:rsidP="002E17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9D2732" w14:textId="77777777" w:rsidR="002E171E" w:rsidRDefault="002E171E" w:rsidP="002E17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F551EE" w14:textId="77777777" w:rsidR="002E171E" w:rsidRDefault="002E171E" w:rsidP="002E17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54C3BE" w14:textId="77777777" w:rsidR="002E171E" w:rsidRDefault="002E171E" w:rsidP="002E17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E63746" w14:textId="5E59A2F0" w:rsidR="002E171E" w:rsidRDefault="002E171E" w:rsidP="002E17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CCB06C" w14:textId="77777777" w:rsidR="002E171E" w:rsidRPr="00D7389E" w:rsidRDefault="002E171E" w:rsidP="002E17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A351C6" w14:textId="534ABBD4" w:rsidR="00B95682" w:rsidRDefault="002E171E" w:rsidP="007136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 2026</w:t>
      </w:r>
    </w:p>
    <w:p w14:paraId="3B7C56AE" w14:textId="77777777" w:rsidR="00DF2D94" w:rsidRPr="00DF2D94" w:rsidRDefault="00DF2D94" w:rsidP="007F7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Тема: Проектування об'єктно-орієнтованої архітектури програмного забезпечення для Інформаційної системи обліку бібліотеки</w:t>
      </w:r>
    </w:p>
    <w:p w14:paraId="2C162369" w14:textId="77777777" w:rsidR="00DF2D94" w:rsidRPr="00DF2D94" w:rsidRDefault="00DF2D94" w:rsidP="007F7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 роботи: Ознайомитись з класифікацією архітектур програмного забезпечення, підібрати найбільш ефективну архітектуру при проектуванні ПЗ, здійснити розбиття на компоненти на найвищому рівні.</w:t>
      </w:r>
    </w:p>
    <w:p w14:paraId="68593095" w14:textId="77777777" w:rsidR="00DF2D94" w:rsidRPr="00DF2D94" w:rsidRDefault="00DF2D94" w:rsidP="007F7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Вибір архітектури та методів її презентації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результатами аналізу вимог до "Інформаційної системи обліку бібліотеки" (розробленої у Лабораторній роботі №1, FR-001 – FR-014) та класифікації Гарлана і Шоу, обрано Рівневу (Багатошарову) архітектуру (Layered Architecture) з елементами Клієнт-серверної системи та Репозиторної архітектури.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Обґрунтування вибору: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Висока внутрішня зв’язність (Cohesion) та мале зчеплення (Coupling): Дозволяє відокремити інтерфейс користувача від бізнес-логіки та роботи з базою даних, що забезпечує локалізацію змін та легкість підтримки (Maintainability-001).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Розширюваність та простота: Зручна для реалізації об'єктно-орієнтованою мовою із використанням паттернів проектування, таких як Facade та DAO (Data Access Object).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Розмежування доступу за ролями: чітко виділений рівень бізнес-логіки дозволяє централізовано реалізувати авторизацію та контроль прав адміністратора, бібліотекаря і читача (Security-001, FR-013).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Архітектурні рівні (Layers):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Presentation Layer (Рівень представлення / GUI): Відповідає за відображення графічного інтерфейсу та взаємодію з користувачем (адміністратором, бібліотекарем, читачем); набір доступних екранів визначається роллю користувача.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Business Logic Layer (Рівень бізнес-логіки): Реалізує ключові правила та алгоритми: перевірка доступності книжки, обчислення термінів повернення, автентифікація та розмежування ролей, формування звітів. Валідація даних не виділена в окремий модуль, а виконується у відповідних сервісах (BookService, ReaderService, LoanService).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Data Access Layer (DAL / DAO): Забезпечує абстракцію та виконання SQL-запитів до бази даних MariaDB.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Database Layer (Рівень даних / Репозиторій): Єдина реляційна база даних MariaDB, що зберігає таблиці "Книжки", "Читачі" (разом з обліковими даними для входу), "Видачі".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Проектування компонентів системи на найвищому рівні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Відповідно до правила декомпозиції (7 ± 2 модулів) та ментальної моделі бібліотечної системи, декомпозиція вищого рівня містить 6 основних модулів. Функції звітності та валідації не мають сильної функціональної спорідненості (звіти агрегують дані, а валідація перевіряє коректність вхідних даних конкретної сутності), тому окремий модуль «Звітність і валідація» не створюється: формування звітів виділено в самостійний модуль, а валідація розподілена між сервісами відповідних сутностей: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BookService → валідація книжки;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ReaderService → валідація читача;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LoanService → валідація операції видачі;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ReportService → формування звітів.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GUI / User Interface Module (Модуль користувацького інтерфейсу):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Взаємодія з користувачем через екранні форми (вхід, книжки, читачі, видача та повернення, пошук, звіти). Складається з LoginView, BookView, ReaderView, LoanView, ReportView.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Book Management Module (Модуль управління книжковим фондом):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Реалізує CRUD-операції над книжками (FR-001 – FR-004), пошук за назвою, автором або жанром (FR-005), контроль статусу ("Доступна" / "Видана") та валідацію даних книжки. Складається з BookService та BookDAO.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Reader Management Module (Модуль управління читачами):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Реєструє читачів разом з обліковим записом для входу (FR-006), редагує та видаляє дані читачів (FR-007), виконує валідацію даних читача та перевірку унікальності за e-mail або номером телефону. Складається з ReaderService та ReaderDAO.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Loan &amp; Return Processing Module (Модуль реєстрації видач та повернень):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Обробляє бізнес-процеси оформлення видачі (FR-008), реєстрації повернення (FR-009) та перегляду історії операцій (FR-010), контролює строки та виконує валідацію операції видачі. Складається з LoanService та LoanDAO.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Reporting Module (Модуль звітності):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Генерує підсумкові звіти по книжковому фонду, читачах та виданих книжках (FR-011). Складається з ReportService; дані отримує через BookDAO, ReaderDAO та LoanDAO.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Authorization Module (Модуль авторизації):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Забезпечує вхід за логіном і паролем (FR-013), розмежування прав доступу за ролями адміністратора, бібліотекаря та читача (SR-008, Security-001) і автоматичну деактивацію облікових записів, неактивних 30 днів (FR-014). Складається з AuthService та LoginView; дані облікових записів (Login, Password, LastLoginDate) зберігаються в таблиці «Читачі» та доступні через ReaderDAO.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Структура модулів програмної системи (тези)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Presentation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├── LoginView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├── BookView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├── ReaderView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├── LoanView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└── ReportView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Business Logic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├── AuthService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├── BookService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├── ReaderService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├── LoanService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└── ReportService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Data Access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├── BookDAO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├── ReaderDAO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└── LoanDAO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Database</w:t>
      </w:r>
    </w:p>
    <w:p>
      <w:pPr>
        <w:spacing w:after="0" w:line="276" w:lineRule="auto"/>
        <w:ind w:left="709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└── MariaDB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Presentation Layer (Рівень представлення / GUI)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Модулі інтерфейсу: LoginView, BookView, ReaderView, LoanView, ReportView.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Функції: Надання графічного інтерфейсу користувача (GUI): форма входу, перегляд каталогу та пошук, форма реєстрації читачів, оформлення видачі/повернення книг, перегляд історії та запуск звітності. Відображає лише ті розділи, які дозволені ролі користувача.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Вхідні / Вихідні дані: Отримує введення від користувача (кліки, текстові поля), передає запити й DTO до шару бізнес-логіки; виводить сформовані списки, статусні повідомлення та діалоги помилок (FR-012).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Взаємодія: Взаємодіє лише з рівнем бізнес-логіки (Business Logic Layer) через виклики відповідних сервісів.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Business Logic Layer (Рівень бізнес-логіки / Service Layer)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Модулі бізнес-логіки: AuthService, BookService, ReaderService, LoanService, ReportService.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Функції: AuthService — автентифікація, перевірка ролі, деактивація облікових записів після 30 днів без входу; BookService — CRUD книжок, пошук (від 3 символів, без урахування регістру), контроль статусів, валідація книжки, заборона видалення книжки з активними видачами; ReaderService — реєстрація читача з обліковим записом, перевірка унікальності, валідація читача, заборона видалення читача з активними видачами; LoanService — перевірка доступності книжки, розрахунок дати повернення, валідація операції видачі, реєстрація повернення, історія операцій; ReportService — агрегація показників для звітів.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Вхідні / Вихідні дані: Отримує об'єкти та команди від Presentation Layer; повертає оброблені моделі даних або повідомлення про помилки валідації. Некоректні дані не передаються до Data Access Layer.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Взаємодія: Слугує фасадом (Facade) для GUI-рівня та викликає відповідні об’єкти доступу до даних (Data Access Layer).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Data Access Layer (Рівень доступу до даних / DAL / DAO)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Модулі доступу: BookDAO, ReaderDAO, LoanDAO.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Функції: Абстрагування від деталей збереження даних, формування та виконання SQL-запитів, виконання CRUD-операцій, мапінг даних з таблиць реляційної бази в об'єкти програми. Видалення записів книжок і читачів виконується позначкою «неактивний» (фізичне знищення — не раніше ніж через 30 днів).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Вхідні / Вихідні дані: Отримує команди від Business Logic Layer; трансформує результати запитів із бази у внутрішні об’єкти програми (Model/Entity).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Взаємодія: Отримує виклики від бізнес-логіки та звертається безпосередньо до єдиної бази даних MariaDB через SQL/JDBC.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Database Layer (Рівень даних / Репозиторій)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Модуль даних: Єдина база даних MariaDB.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Функції: Фізичне збереження та забезпечення цілісності даних у таблицях Books (Книжки), Readers (Читачі, включно з Login, Password, LastLoginDate), Loans (Видачі/Повернення). Історія видач зберігається не менше 3 років, резервне копіювання виконується щодоби.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Вхідні / Вихідні дані: Отримує виконані SQL-запити (SELECT, INSERT, UPDATE, DELETE); повертає набори рядків та статус виконання транзакцій.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Взаємодія: Взаємодіє виключно з рівнем доступу до даних (Data Access Layer).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Результати архітектурного проектування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 Матриця відповідальності компонентів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Розподіл функціональних вимог Лабораторної роботи №1 (FR-001 – FR-014) за компонентами архітектури: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880"/>
        <w:gridCol w:w="1900"/>
        <w:gridCol w:w="1700"/>
        <w:gridCol w:w="3259"/>
        <w:gridCol w:w="1900"/>
      </w:tblGrid>
      <w:tr>
        <w:trPr>
          <w:cantSplit/>
          <w:tblHeader/>
        </w:trPr>
        <w:tc>
          <w:tcPr>
            <w:tcW w:w="880" w:type="dxa"/>
            <w:shd w:val="clear" w:color="auto" w:fill="D9D9D9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b/>
              </w:rPr>
              <w:t xml:space="preserve">FR</w:t>
            </w:r>
          </w:p>
        </w:tc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b/>
              </w:rPr>
              <w:t xml:space="preserve">Вимога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b/>
              </w:rPr>
              <w:t xml:space="preserve">Presentation</w:t>
            </w:r>
          </w:p>
        </w:tc>
        <w:tc>
          <w:tcPr>
            <w:tcW w:w="3259" w:type="dxa"/>
            <w:shd w:val="clear" w:color="auto" w:fill="D9D9D9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b/>
              </w:rPr>
              <w:t xml:space="preserve">Business Logic</w:t>
            </w:r>
          </w:p>
        </w:tc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b/>
              </w:rPr>
              <w:t xml:space="preserve">Data Access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FR-001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Додавання книжки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BookService (валідація книжки)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FR-002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Редагування книжки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BookService (валідація книжки)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FR-003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Видалення книжки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BookService (перевірка відсутності активних видач)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BookDAO, LoanDAO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FR-004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Перегляд списку книжок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BookService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FR-005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Пошук книжки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BookService (від 3 символів, без урахування регістру)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FR-006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Реєстрація читача з обліковим записом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ReaderView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ReaderService (валідація читача, унікальність e-mail/телефону, створення облікового запису)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ReaderDAO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FR-007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Редагування / видалення читача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ReaderView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ReaderService (валідація читача, перевірка активних видач)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ReaderDAO, LoanDAO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FR-008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Видача книжки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LoanView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LoanService (доступність книжки, строк повернення, валідація операції видачі)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LoanDAO, BookDAO, ReaderDAO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FR-009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Повернення книжки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LoanView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LoanService (статус «Доступна»)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LoanDAO, BookDAO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FR-010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Перегляд історії операцій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LoanView, ReaderView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LoanService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LoanDAO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FR-011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Формування звітів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ReportView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ReportService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BookDAO, ReaderDAO, LoanDAO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FR-012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Обробка помилок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Усі View (повідомлення про помилки)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BookService, ReaderService, LoanService (валідація до збереження)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FR-013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Авторизація користувача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LoginView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AuthService (автентифікація, роль)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ReaderDAO</w:t>
            </w:r>
          </w:p>
        </w:tc>
      </w:tr>
      <w:tr>
        <w:trPr>
          <w:cantSplit/>
        </w:trPr>
        <w:tc>
          <w:tcPr>
            <w:tcW w:w="88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FR-014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Автоматична деактивація облікових записів (30 днів)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LoginView (повідомлення про відмову у вході)</w:t>
            </w:r>
          </w:p>
        </w:tc>
        <w:tc>
          <w:tcPr>
            <w:tcW w:w="325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AuthService (перевірка LastLoginDate, статус «Деактивовано»)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ReaderDAO</w:t>
            </w:r>
          </w:p>
        </w:tc>
      </w:tr>
    </w:tbl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Розмежування прав (SR-008, Security-001): AuthService визначає роль користувача, View показують лише дозволені розділи, а сервіси перевіряють право на виконання операції.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 Відповідність модулів Лабораторної роботи №1 компонентам архітектури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300"/>
        <w:gridCol w:w="6339"/>
      </w:tblGrid>
      <w:tr>
        <w:trPr>
          <w:cantSplit/>
          <w:tblHeader/>
        </w:trPr>
        <w:tc>
          <w:tcPr>
            <w:tcW w:w="3300" w:type="dxa"/>
            <w:shd w:val="clear" w:color="auto" w:fill="D9D9D9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b/>
              </w:rPr>
              <w:t xml:space="preserve">Модуль у Лаб. №1 (розд. 11)</w:t>
            </w:r>
          </w:p>
        </w:tc>
        <w:tc>
          <w:tcPr>
            <w:tcW w:w="6339" w:type="dxa"/>
            <w:shd w:val="clear" w:color="auto" w:fill="D9D9D9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b/>
              </w:rPr>
              <w:t xml:space="preserve">Компоненти архітектури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Модуль книжок, каталогу, пошуку</w:t>
            </w:r>
          </w:p>
        </w:tc>
        <w:tc>
          <w:tcPr>
            <w:tcW w:w="633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BookView, BookService, BookDAO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Модуль читачів</w:t>
            </w:r>
          </w:p>
        </w:tc>
        <w:tc>
          <w:tcPr>
            <w:tcW w:w="633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ReaderView, ReaderService, ReaderDAO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Модуль видачі, повернення</w:t>
            </w:r>
          </w:p>
        </w:tc>
        <w:tc>
          <w:tcPr>
            <w:tcW w:w="633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LoanView, LoanService, LoanDAO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Модуль звітності</w:t>
            </w:r>
          </w:p>
        </w:tc>
        <w:tc>
          <w:tcPr>
            <w:tcW w:w="633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ReportView, ReportService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Модуль валідації</w:t>
            </w:r>
          </w:p>
        </w:tc>
        <w:tc>
          <w:tcPr>
            <w:tcW w:w="633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Розподілений: BookService, ReaderService, LoanService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Модуль авторизації</w:t>
            </w:r>
          </w:p>
        </w:tc>
        <w:tc>
          <w:tcPr>
            <w:tcW w:w="633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LoginView, AuthService (доступ до облікових даних через ReaderDAO)</w:t>
            </w:r>
          </w:p>
        </w:tc>
      </w:tr>
    </w:tbl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 Оцінка зв'язності та зчеплення (Cohesion &amp; Coupling)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High Cohesion (Висока внутрішня зв'язність): Кожен модуль виконує чітко окреслену функцію. Наприклад, BookDAO відповідає виключно за persistence-операції над сутністю Book. Валідація винесена з окремого модуля до сервісів відповідних сутностей, а звітність — в окремий модуль, тому ReportService не містить логіки перевірки даних, а BookService, ReaderService і LoanService відповідають за коректність власних сутностей.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Low Coupling (Низьке міжмодульне зчеплення): Модуль графічного інтерфейсу не знає про внутрішню структуру таблиць бази даних. Всі операції виконуються через інтерфейси сервісів, що мінімізує вплив змін в БД на UI.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під час виконання лабораторної роботи було розроблено класифікацію архітектур ПЗ за Шоу та Гарланом. Для "Інформаційної системи обліку бібліотеки" було обрано та спроектовано рівневу (багатошарову) об'єктно-орієнтовану архітектуру (Layered Architecture). Проведено декомпозицію системи на 6 ключових модулів вищого рівня із високою внутрішньою зв'язністю та низьким зчепленням; валідацію розподілено між сервісами BookService, ReaderService і LoanService, а звітність виділено в окремий модуль. Визначено взаємодію компонентів через паттерни Facade та DAO з підключенням до єдиної СУБД MariaDB, а розподіл вимог FR-001 – FR-014 між компонентами узгоджено зі специфікацією вимог з Лабораторної роботи №1.</w:t>
      </w:r>
    </w:p>
    <w:sectPr w:rsidR="00DF26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786"/>
    <w:rsid w:val="000003C0"/>
    <w:rsid w:val="000175CB"/>
    <w:rsid w:val="000468D7"/>
    <w:rsid w:val="0010403A"/>
    <w:rsid w:val="0012358D"/>
    <w:rsid w:val="00153A7B"/>
    <w:rsid w:val="0015537D"/>
    <w:rsid w:val="001A2F5D"/>
    <w:rsid w:val="001A5BB4"/>
    <w:rsid w:val="001D4A28"/>
    <w:rsid w:val="002366B2"/>
    <w:rsid w:val="002E171E"/>
    <w:rsid w:val="00343D10"/>
    <w:rsid w:val="003953D9"/>
    <w:rsid w:val="0046760D"/>
    <w:rsid w:val="00493E3D"/>
    <w:rsid w:val="00502E6F"/>
    <w:rsid w:val="0052552E"/>
    <w:rsid w:val="00680873"/>
    <w:rsid w:val="006A7DD2"/>
    <w:rsid w:val="00712E09"/>
    <w:rsid w:val="00713690"/>
    <w:rsid w:val="007928AC"/>
    <w:rsid w:val="007F779D"/>
    <w:rsid w:val="0082214A"/>
    <w:rsid w:val="008C5786"/>
    <w:rsid w:val="008E6641"/>
    <w:rsid w:val="009B508B"/>
    <w:rsid w:val="009C2EDB"/>
    <w:rsid w:val="009E27EE"/>
    <w:rsid w:val="009F47EB"/>
    <w:rsid w:val="00AD2B17"/>
    <w:rsid w:val="00B7730C"/>
    <w:rsid w:val="00B95682"/>
    <w:rsid w:val="00BA5243"/>
    <w:rsid w:val="00C204AA"/>
    <w:rsid w:val="00D430D7"/>
    <w:rsid w:val="00DB192D"/>
    <w:rsid w:val="00DF265C"/>
    <w:rsid w:val="00DF2D94"/>
    <w:rsid w:val="00E263FA"/>
    <w:rsid w:val="00E66057"/>
    <w:rsid w:val="00E752F3"/>
    <w:rsid w:val="00E761EF"/>
    <w:rsid w:val="00F1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4F48"/>
  <w15:chartTrackingRefBased/>
  <w15:docId w15:val="{7D4798E4-CFF6-4CD0-8437-063D63A4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6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2E171E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eastAsia="uk-UA"/>
    </w:rPr>
  </w:style>
  <w:style w:type="character" w:customStyle="1" w:styleId="a5">
    <w:name w:val="Назва Знак"/>
    <w:basedOn w:val="a0"/>
    <w:link w:val="a4"/>
    <w:rsid w:val="002E171E"/>
    <w:rPr>
      <w:rFonts w:ascii="Times New Roman" w:eastAsia="Times New Roman" w:hAnsi="Times New Roman" w:cs="Times New Roman"/>
      <w:b/>
      <w:sz w:val="36"/>
      <w:szCs w:val="20"/>
      <w:lang w:eastAsia="uk-UA"/>
    </w:rPr>
  </w:style>
  <w:style w:type="paragraph" w:styleId="a6">
    <w:name w:val="Subtitle"/>
    <w:basedOn w:val="a"/>
    <w:link w:val="a7"/>
    <w:qFormat/>
    <w:rsid w:val="002E171E"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character" w:customStyle="1" w:styleId="a7">
    <w:name w:val="Підзаголовок Знак"/>
    <w:basedOn w:val="a0"/>
    <w:link w:val="a6"/>
    <w:rsid w:val="002E171E"/>
    <w:rPr>
      <w:rFonts w:ascii="Times New Roman" w:eastAsia="Times New Roman" w:hAnsi="Times New Roman" w:cs="Times New Roman"/>
      <w:b/>
      <w:i/>
      <w:sz w:val="28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4589</Words>
  <Characters>2617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1111</dc:creator>
  <cp:keywords/>
  <dc:description/>
  <cp:lastModifiedBy>hohojkag@gmail.com</cp:lastModifiedBy>
  <cp:revision>23</cp:revision>
  <dcterms:created xsi:type="dcterms:W3CDTF">2026-09-25T14:34:00Z</dcterms:created>
  <dcterms:modified xsi:type="dcterms:W3CDTF">2026-09-30T07:21:00Z</dcterms:modified>
</cp:coreProperties>
</file>