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line="276" w:lineRule="auto"/>
        <w:jc w:val="center"/>
      </w:pPr>
      <w:r>
        <w:rPr>
          <w:rFonts w:ascii="Times New Roman" w:cs="Times New Roman" w:eastAsia="Times New Roman" w:hAnsi="Times New Roman"/>
          <w:b/>
          <w:bCs/>
          <w:i w:val="false"/>
          <w:iCs w:val="false"/>
          <w:color w:val="000000"/>
          <w:sz w:val="28"/>
          <w:szCs w:val="28"/>
        </w:rPr>
        <w:t xml:space="preserve">Analysis of Feature Importance in Football Match Result Prediction Using Explainable Machine Learning</w:t>
      </w:r>
    </w:p>
    <w:p>
      <w:pPr>
        <w:spacing w:after="80" w:before="0"/>
      </w:pPr>
    </w:p>
    <w:p>
      <w:pPr>
        <w:spacing w:after="40" w:before="0" w:line="240" w:lineRule="auto"/>
        <w:jc w:val="center"/>
      </w:pPr>
      <w:r>
        <w:rPr>
          <w:rFonts w:ascii="Times New Roman" w:cs="Times New Roman" w:eastAsia="Times New Roman" w:hAnsi="Times New Roman"/>
          <w:b/>
          <w:bCs/>
          <w:i w:val="false"/>
          <w:iCs w:val="false"/>
          <w:color w:val="000000"/>
          <w:sz w:val="20"/>
          <w:szCs w:val="20"/>
        </w:rPr>
        <w:t xml:space="preserve">[Author Name]</w:t>
      </w:r>
    </w:p>
    <w:p>
      <w:pPr>
        <w:spacing w:after="40" w:before="0" w:line="240" w:lineRule="auto"/>
        <w:jc w:val="center"/>
      </w:pPr>
      <w:r>
        <w:rPr>
          <w:rFonts w:ascii="Times New Roman" w:cs="Times New Roman" w:eastAsia="Times New Roman" w:hAnsi="Times New Roman"/>
          <w:b w:val="false"/>
          <w:bCs w:val="false"/>
          <w:i w:val="false"/>
          <w:iCs w:val="false"/>
          <w:color w:val="000000"/>
          <w:sz w:val="16"/>
          <w:szCs w:val="16"/>
        </w:rPr>
        <w:t xml:space="preserve">[Study Program], [Faculty],</w:t>
      </w:r>
    </w:p>
    <w:p>
      <w:pPr>
        <w:spacing w:after="120" w:before="0" w:line="240" w:lineRule="auto"/>
        <w:jc w:val="center"/>
      </w:pPr>
      <w:r>
        <w:rPr>
          <w:rFonts w:ascii="Times New Roman" w:cs="Times New Roman" w:eastAsia="Times New Roman" w:hAnsi="Times New Roman"/>
          <w:b w:val="false"/>
          <w:bCs w:val="false"/>
          <w:i w:val="false"/>
          <w:iCs w:val="false"/>
          <w:color w:val="000000"/>
          <w:sz w:val="16"/>
          <w:szCs w:val="16"/>
        </w:rPr>
        <w:t xml:space="preserve">[University], Indonesia</w:t>
      </w:r>
    </w:p>
    <w:p>
      <w:pPr>
        <w:spacing w:after="80" w:before="0"/>
      </w:pPr>
    </w:p>
    <w:p>
      <w:pPr>
        <w:spacing w:after="60" w:before="0" w:line="240" w:lineRule="auto"/>
        <w:jc w:val="both"/>
      </w:pPr>
      <w:r>
        <w:rPr>
          <w:rFonts w:ascii="Times New Roman" w:cs="Times New Roman" w:eastAsia="Times New Roman" w:hAnsi="Times New Roman"/>
          <w:b/>
          <w:bCs/>
          <w:i w:val="false"/>
          <w:iCs w:val="false"/>
          <w:color w:val="000000"/>
          <w:sz w:val="18"/>
          <w:szCs w:val="18"/>
        </w:rPr>
        <w:t xml:space="preserve">Abstract. </w:t>
      </w:r>
      <w:r>
        <w:rPr>
          <w:rFonts w:ascii="Times New Roman" w:cs="Times New Roman" w:eastAsia="Times New Roman" w:hAnsi="Times New Roman"/>
          <w:b w:val="false"/>
          <w:bCs w:val="false"/>
          <w:i w:val="false"/>
          <w:iCs w:val="false"/>
          <w:color w:val="000000"/>
          <w:sz w:val="18"/>
          <w:szCs w:val="18"/>
        </w:rPr>
        <w:t xml:space="preserve">Football match result prediction is one of the most challenging classification problems in sports analytics due to the inherent uncertainty of the game. </w:t>
      </w:r>
      <w:r>
        <w:rPr>
          <w:rFonts w:ascii="Times New Roman" w:cs="Times New Roman" w:eastAsia="Times New Roman" w:hAnsi="Times New Roman"/>
          <w:b/>
          <w:bCs/>
          <w:i w:val="false"/>
          <w:iCs w:val="false"/>
          <w:color w:val="000000"/>
          <w:sz w:val="18"/>
          <w:szCs w:val="18"/>
        </w:rPr>
        <w:t xml:space="preserve">Purpose: </w:t>
      </w:r>
      <w:r>
        <w:rPr>
          <w:rFonts w:ascii="Times New Roman" w:cs="Times New Roman" w:eastAsia="Times New Roman" w:hAnsi="Times New Roman"/>
          <w:b w:val="false"/>
          <w:bCs w:val="false"/>
          <w:i w:val="false"/>
          <w:iCs w:val="false"/>
          <w:color w:val="000000"/>
          <w:sz w:val="18"/>
          <w:szCs w:val="18"/>
        </w:rPr>
        <w:t xml:space="preserve">This research investigates the contribution of 18 team tactical attributes from the European Soccer Database toward predicting home win, draw, or away win outcomes, while providing model interpretability through SHAP analysis. </w:t>
      </w:r>
      <w:r>
        <w:rPr>
          <w:rFonts w:ascii="Times New Roman" w:cs="Times New Roman" w:eastAsia="Times New Roman" w:hAnsi="Times New Roman"/>
          <w:b/>
          <w:bCs/>
          <w:i w:val="false"/>
          <w:iCs w:val="false"/>
          <w:color w:val="000000"/>
          <w:sz w:val="18"/>
          <w:szCs w:val="18"/>
        </w:rPr>
        <w:t xml:space="preserve">Methods: </w:t>
      </w:r>
      <w:r>
        <w:rPr>
          <w:rFonts w:ascii="Times New Roman" w:cs="Times New Roman" w:eastAsia="Times New Roman" w:hAnsi="Times New Roman"/>
          <w:b w:val="false"/>
          <w:bCs w:val="false"/>
          <w:i w:val="false"/>
          <w:iCs w:val="false"/>
          <w:color w:val="000000"/>
          <w:sz w:val="18"/>
          <w:szCs w:val="18"/>
        </w:rPr>
        <w:t xml:space="preserve">A Random Forest classifier [1] with balanced class weighting was applied to 19,355 matches across 11 European leagues (2008–2016). SHAP (SHapley Additive exPlanations) [2] with TreeExplainer was employed to explain feature contributions globally and locally. </w:t>
      </w:r>
      <w:r>
        <w:rPr>
          <w:rFonts w:ascii="Times New Roman" w:cs="Times New Roman" w:eastAsia="Times New Roman" w:hAnsi="Times New Roman"/>
          <w:b/>
          <w:bCs/>
          <w:i w:val="false"/>
          <w:iCs w:val="false"/>
          <w:color w:val="000000"/>
          <w:sz w:val="18"/>
          <w:szCs w:val="18"/>
        </w:rPr>
        <w:t xml:space="preserve">Result: </w:t>
      </w:r>
      <w:r>
        <w:rPr>
          <w:rFonts w:ascii="Times New Roman" w:cs="Times New Roman" w:eastAsia="Times New Roman" w:hAnsi="Times New Roman"/>
          <w:b w:val="false"/>
          <w:bCs w:val="false"/>
          <w:i w:val="false"/>
          <w:iCs w:val="false"/>
          <w:color w:val="000000"/>
          <w:sz w:val="18"/>
          <w:szCs w:val="18"/>
        </w:rPr>
        <w:t xml:space="preserve">The model achieved an accuracy of 43.09% and a weighted F1-score of 0.43. SHAP analysis identified home_defencePressure (0.0667), away_defencePressure (0.0651), and home_buildUpPlayPassing (0.0651) as the three most important features, highlighting the dominant role of defensive tactical attributes. </w:t>
      </w:r>
      <w:r>
        <w:rPr>
          <w:rFonts w:ascii="Times New Roman" w:cs="Times New Roman" w:eastAsia="Times New Roman" w:hAnsi="Times New Roman"/>
          <w:b/>
          <w:bCs/>
          <w:i w:val="false"/>
          <w:iCs w:val="false"/>
          <w:color w:val="000000"/>
          <w:sz w:val="18"/>
          <w:szCs w:val="18"/>
        </w:rPr>
        <w:t xml:space="preserve">Novelty: </w:t>
      </w:r>
      <w:r>
        <w:rPr>
          <w:rFonts w:ascii="Times New Roman" w:cs="Times New Roman" w:eastAsia="Times New Roman" w:hAnsi="Times New Roman"/>
          <w:b w:val="false"/>
          <w:bCs w:val="false"/>
          <w:i w:val="false"/>
          <w:iCs w:val="false"/>
          <w:color w:val="000000"/>
          <w:sz w:val="18"/>
          <w:szCs w:val="18"/>
        </w:rPr>
        <w:t xml:space="preserve">Unlike previous studies that rely solely on built-in feature importance, this research applies SHAP to provide direction-aware, sample-level explanations of each feature’s contribution, offering richer interpretability than the baseline framework of Yeung et al. [3].</w:t>
      </w:r>
    </w:p>
    <w:p>
      <w:pPr>
        <w:spacing w:after="120" w:before="0" w:line="240" w:lineRule="auto"/>
        <w:jc w:val="both"/>
      </w:pPr>
      <w:r>
        <w:rPr>
          <w:rFonts w:ascii="Times New Roman" w:cs="Times New Roman" w:eastAsia="Times New Roman" w:hAnsi="Times New Roman"/>
          <w:b/>
          <w:bCs/>
          <w:i w:val="false"/>
          <w:iCs w:val="false"/>
          <w:color w:val="000000"/>
          <w:sz w:val="18"/>
          <w:szCs w:val="18"/>
        </w:rPr>
        <w:t xml:space="preserve">Keywords</w:t>
      </w:r>
      <w:r>
        <w:rPr>
          <w:rFonts w:ascii="Times New Roman" w:cs="Times New Roman" w:eastAsia="Times New Roman" w:hAnsi="Times New Roman"/>
          <w:b w:val="false"/>
          <w:bCs w:val="false"/>
          <w:i w:val="false"/>
          <w:iCs w:val="false"/>
          <w:color w:val="000000"/>
          <w:sz w:val="18"/>
          <w:szCs w:val="18"/>
        </w:rPr>
        <w:t xml:space="preserve">: Feature Importance, Explainable Machine Learning, Football Prediction, Random Forest, SHAP</w:t>
      </w:r>
    </w:p>
    <w:p>
      <w:pPr>
        <w:spacing w:after="80" w:before="0"/>
      </w:pPr>
    </w:p>
    <w:p>
      <w:pPr>
        <w:spacing w:after="80" w:before="160" w:line="240" w:lineRule="auto"/>
        <w:jc w:val="left"/>
      </w:pPr>
      <w:r>
        <w:rPr>
          <w:rFonts w:ascii="Times New Roman" w:cs="Times New Roman" w:eastAsia="Times New Roman" w:hAnsi="Times New Roman"/>
          <w:b/>
          <w:bCs/>
          <w:i w:val="false"/>
          <w:iCs w:val="false"/>
          <w:color w:val="000000"/>
          <w:sz w:val="20"/>
          <w:szCs w:val="20"/>
        </w:rPr>
        <w:t xml:space="preserve">INTRODUCTION</w:t>
      </w:r>
    </w:p>
    <w:p>
      <w:pPr>
        <w:spacing w:after="80" w:before="0" w:line="240" w:lineRule="auto"/>
        <w:ind w:firstLine="720"/>
        <w:jc w:val="both"/>
      </w:pPr>
      <w:r>
        <w:rPr>
          <w:rFonts w:ascii="Times New Roman" w:cs="Times New Roman" w:eastAsia="Times New Roman" w:hAnsi="Times New Roman"/>
          <w:b w:val="false"/>
          <w:bCs w:val="false"/>
          <w:i w:val="false"/>
          <w:iCs w:val="false"/>
          <w:color w:val="000000"/>
          <w:sz w:val="20"/>
          <w:szCs w:val="20"/>
        </w:rPr>
        <w:t xml:space="preserve">Football is one of the most widely watched sports in the world, and the ability to accurately predict match outcomes carries significant value for club management, sports analysts, and the broader sports science community. However, football match result prediction remains a highly challenging classification task due to the complex, dynamic, and often unpredictable nature of the sport [3].</w:t>
      </w:r>
    </w:p>
    <w:p>
      <w:pPr>
        <w:spacing w:after="80" w:before="0" w:line="240" w:lineRule="auto"/>
        <w:ind w:firstLine="720"/>
        <w:jc w:val="both"/>
      </w:pPr>
      <w:r>
        <w:rPr>
          <w:rFonts w:ascii="Times New Roman" w:cs="Times New Roman" w:eastAsia="Times New Roman" w:hAnsi="Times New Roman"/>
          <w:b w:val="false"/>
          <w:bCs w:val="false"/>
          <w:i w:val="false"/>
          <w:iCs w:val="false"/>
          <w:color w:val="000000"/>
          <w:sz w:val="20"/>
          <w:szCs w:val="20"/>
        </w:rPr>
        <w:t xml:space="preserve">Machine learning approaches have been increasingly applied to sports prediction tasks. Ensemble methods such as Random Forest [1] and gradient boosting models can capture non-linear relationships between team attributes and match outcomes more effectively than traditional statistical approaches [4]. Bunker and Thabtah [10] established a general machine learning framework for sport result prediction, demonstrating that ensemble models consistently outperform single classifiers across multiple sports domains.</w:t>
      </w:r>
    </w:p>
    <w:p>
      <w:pPr>
        <w:spacing w:after="80" w:before="0" w:line="240" w:lineRule="auto"/>
        <w:ind w:firstLine="720"/>
        <w:jc w:val="both"/>
      </w:pPr>
      <w:r>
        <w:rPr>
          <w:rFonts w:ascii="Times New Roman" w:cs="Times New Roman" w:eastAsia="Times New Roman" w:hAnsi="Times New Roman"/>
          <w:b w:val="false"/>
          <w:bCs w:val="false"/>
          <w:i w:val="false"/>
          <w:iCs w:val="false"/>
          <w:color w:val="000000"/>
          <w:sz w:val="20"/>
          <w:szCs w:val="20"/>
        </w:rPr>
        <w:t xml:space="preserve">However, the lack of interpretability in these models has limited their adoption in professional football contexts, where coaches and analysts require transparent reasoning behind predictions [13]. Explainable Artificial Intelligence (XAI) has emerged as a critical research area to address this limitation. Among XAI techniques, SHAP (SHapley Additive exPlanations) [2] has gained wide adoption due to its theoretical grounding in cooperative game theory and its ability to provide both global and local feature explanations. Moustakidis et al. [8] demonstrated that SHAP-based pipelines can identify 14 key performance indicators in football, with shots, chances, passing, and ball possession emerging as dominant contributors.</w:t>
      </w:r>
    </w:p>
    <w:p>
      <w:pPr>
        <w:spacing w:after="80" w:before="0" w:line="240" w:lineRule="auto"/>
        <w:ind w:firstLine="720"/>
        <w:jc w:val="both"/>
      </w:pPr>
      <w:r>
        <w:rPr>
          <w:rFonts w:ascii="Times New Roman" w:cs="Times New Roman" w:eastAsia="Times New Roman" w:hAnsi="Times New Roman"/>
          <w:b w:val="false"/>
          <w:bCs w:val="false"/>
          <w:i w:val="false"/>
          <w:iCs w:val="false"/>
          <w:color w:val="000000"/>
          <w:sz w:val="20"/>
          <w:szCs w:val="20"/>
        </w:rPr>
        <w:t xml:space="preserve">Yeung et al. [3] proposed an interpretable framework for predicting football match results using FIFA player ratings and team formation data from the European Soccer Database, achieving an F1-score of 0.47 on English Premier League data. AlMulla et al. [11] employed a Gated Recurrent Unit model for soccer match prediction, while Satyapanich and Somkheawwan [12] applied deep learning to football league prediction, both demonstrating the potential of sequential models. However, these studies did not focus on team tactical attributes as standalone predictors analyzed through SHAP.</w:t>
      </w:r>
    </w:p>
    <w:p>
      <w:pPr>
        <w:spacing w:after="80" w:before="0" w:line="240" w:lineRule="auto"/>
        <w:ind w:firstLine="720"/>
        <w:jc w:val="both"/>
      </w:pPr>
      <w:r>
        <w:rPr>
          <w:rFonts w:ascii="Times New Roman" w:cs="Times New Roman" w:eastAsia="Times New Roman" w:hAnsi="Times New Roman"/>
          <w:b w:val="false"/>
          <w:bCs w:val="false"/>
          <w:i w:val="false"/>
          <w:iCs w:val="false"/>
          <w:color w:val="000000"/>
          <w:sz w:val="20"/>
          <w:szCs w:val="20"/>
        </w:rPr>
        <w:t xml:space="preserve">There have been limited studies that systematically analyze the directional contribution of team tactical attributes (such as defensive pressure, build-up play passing, and chance creation) using SHAP-based explainability. Therefore, this research intends to analyze the contribution of 18 team tactical attributes from the European Soccer Database using a Random Forest classifier combined with SHAP explanations. The objectives of this research are: (1) to build a predictive model for football match outcomes using team tactical attributes, (2) to identify and rank the most influential features using both built-in Random Forest importance and SHAP values, and (3) to compare the findings with the interpretable framework proposed by Yeung et al. [3].</w:t>
      </w:r>
    </w:p>
    <w:p>
      <w:pPr>
        <w:spacing w:after="80" w:before="0"/>
      </w:pPr>
    </w:p>
    <w:p>
      <w:pPr>
        <w:spacing w:after="80" w:before="160" w:line="240" w:lineRule="auto"/>
        <w:jc w:val="left"/>
      </w:pPr>
      <w:r>
        <w:rPr>
          <w:rFonts w:ascii="Times New Roman" w:cs="Times New Roman" w:eastAsia="Times New Roman" w:hAnsi="Times New Roman"/>
          <w:b/>
          <w:bCs/>
          <w:i w:val="false"/>
          <w:iCs w:val="false"/>
          <w:color w:val="000000"/>
          <w:sz w:val="20"/>
          <w:szCs w:val="20"/>
        </w:rPr>
        <w:t xml:space="preserve">METHODS</w:t>
      </w:r>
    </w:p>
    <w:p>
      <w:pPr>
        <w:spacing w:after="40" w:before="80" w:line="240" w:lineRule="auto"/>
        <w:jc w:val="both"/>
      </w:pPr>
      <w:r>
        <w:rPr>
          <w:rFonts w:ascii="Times New Roman" w:cs="Times New Roman" w:eastAsia="Times New Roman" w:hAnsi="Times New Roman"/>
          <w:b/>
          <w:bCs/>
          <w:i w:val="false"/>
          <w:iCs w:val="false"/>
          <w:color w:val="000000"/>
          <w:sz w:val="20"/>
          <w:szCs w:val="20"/>
        </w:rPr>
        <w:t xml:space="preserve">2.1 Dataset</w:t>
      </w:r>
    </w:p>
    <w:p>
      <w:pPr>
        <w:spacing w:after="80" w:before="0" w:line="240" w:lineRule="auto"/>
        <w:ind w:firstLine="720"/>
        <w:jc w:val="both"/>
      </w:pPr>
      <w:r>
        <w:rPr>
          <w:rFonts w:ascii="Times New Roman" w:cs="Times New Roman" w:eastAsia="Times New Roman" w:hAnsi="Times New Roman"/>
          <w:b w:val="false"/>
          <w:bCs w:val="false"/>
          <w:i w:val="false"/>
          <w:iCs w:val="false"/>
          <w:color w:val="000000"/>
          <w:sz w:val="20"/>
          <w:szCs w:val="20"/>
        </w:rPr>
        <w:t xml:space="preserve">This study uses the European Soccer Database [6] publicly available on Kaggle. The database contains over 25,000 matches from 11 European leagues spanning the 2008/2009 to 2015/2016 seasons, along with team attributes updated weekly from the EA Sports FIFA video game series. This dataset was also used by Carpita et al. [4] and Yeung et al. [3] [5], making it a well-established benchmark for football prediction research. After applying a subquery-based JOIN to retrieve only the most recent team attributes prior to each match date, a total of 19,355 valid match records were obtained.</w:t>
      </w:r>
    </w:p>
    <w:p>
      <w:pPr>
        <w:spacing w:after="40" w:before="80" w:line="240" w:lineRule="auto"/>
        <w:jc w:val="both"/>
      </w:pPr>
      <w:r>
        <w:rPr>
          <w:rFonts w:ascii="Times New Roman" w:cs="Times New Roman" w:eastAsia="Times New Roman" w:hAnsi="Times New Roman"/>
          <w:b/>
          <w:bCs/>
          <w:i w:val="false"/>
          <w:iCs w:val="false"/>
          <w:color w:val="000000"/>
          <w:sz w:val="20"/>
          <w:szCs w:val="20"/>
        </w:rPr>
        <w:t xml:space="preserve">2.2 Feature Selection</w:t>
      </w:r>
    </w:p>
    <w:p>
      <w:pPr>
        <w:spacing w:after="80" w:before="0" w:line="240" w:lineRule="auto"/>
        <w:ind w:firstLine="720"/>
        <w:jc w:val="both"/>
      </w:pPr>
      <w:r>
        <w:rPr>
          <w:rFonts w:ascii="Times New Roman" w:cs="Times New Roman" w:eastAsia="Times New Roman" w:hAnsi="Times New Roman"/>
          <w:b w:val="false"/>
          <w:bCs w:val="false"/>
          <w:i w:val="false"/>
          <w:iCs w:val="false"/>
          <w:color w:val="000000"/>
          <w:sz w:val="20"/>
          <w:szCs w:val="20"/>
        </w:rPr>
        <w:t xml:space="preserve">Eighteen (18) team tactical attributes were selected as features, consisting of nine attributes for the home team and nine for the away team: buildUpPlaySpeed, buildUpPlayDribbling, buildUpPlayPassing, chanceCreationPassing, chanceCreationCrossing, chanceCreationShooting, defencePressure, defenceAggression, and defenceTeamWidth. These attributes represent tactical styles encoded in the FIFA series and are available prior to each match, ensuring no data leakage. The target variable was defined as: 0 (Away Win), 1 (Draw), or 2 (Home Win).</w:t>
      </w:r>
    </w:p>
    <w:p>
      <w:pPr>
        <w:spacing w:after="40" w:before="80" w:line="240" w:lineRule="auto"/>
        <w:jc w:val="both"/>
      </w:pPr>
      <w:r>
        <w:rPr>
          <w:rFonts w:ascii="Times New Roman" w:cs="Times New Roman" w:eastAsia="Times New Roman" w:hAnsi="Times New Roman"/>
          <w:b/>
          <w:bCs/>
          <w:i w:val="false"/>
          <w:iCs w:val="false"/>
          <w:color w:val="000000"/>
          <w:sz w:val="20"/>
          <w:szCs w:val="20"/>
        </w:rPr>
        <w:t xml:space="preserve">2.3 Preprocessing</w:t>
      </w:r>
    </w:p>
    <w:p>
      <w:pPr>
        <w:spacing w:after="80" w:before="0" w:line="240" w:lineRule="auto"/>
        <w:ind w:firstLine="720"/>
        <w:jc w:val="both"/>
      </w:pPr>
      <w:r>
        <w:rPr>
          <w:rFonts w:ascii="Times New Roman" w:cs="Times New Roman" w:eastAsia="Times New Roman" w:hAnsi="Times New Roman"/>
          <w:b w:val="false"/>
          <w:bCs w:val="false"/>
          <w:i w:val="false"/>
          <w:iCs w:val="false"/>
          <w:color w:val="000000"/>
          <w:sz w:val="20"/>
          <w:szCs w:val="20"/>
        </w:rPr>
        <w:t xml:space="preserve">Missing values in the feature columns were imputed using the column-wise median. The dataset was split into 80% training (15,484 samples) and 20% testing (3,871 samples) using stratified sampling to preserve class distribution across all three outcome classes. The Scikit-learn library [9] was used for all preprocessing and model training steps. The class distribution showed a home advantage bias: Home Win (45.6%), Away Win (28.4%), and Draw (25.0%).</w:t>
      </w:r>
    </w:p>
    <w:p>
      <w:pPr>
        <w:spacing w:after="40" w:before="80" w:line="240" w:lineRule="auto"/>
        <w:jc w:val="both"/>
      </w:pPr>
      <w:r>
        <w:rPr>
          <w:rFonts w:ascii="Times New Roman" w:cs="Times New Roman" w:eastAsia="Times New Roman" w:hAnsi="Times New Roman"/>
          <w:b/>
          <w:bCs/>
          <w:i w:val="false"/>
          <w:iCs w:val="false"/>
          <w:color w:val="000000"/>
          <w:sz w:val="20"/>
          <w:szCs w:val="20"/>
        </w:rPr>
        <w:t xml:space="preserve">2.4 Model</w:t>
      </w:r>
    </w:p>
    <w:p>
      <w:pPr>
        <w:spacing w:after="80" w:before="0" w:line="240" w:lineRule="auto"/>
        <w:ind w:firstLine="720"/>
        <w:jc w:val="both"/>
      </w:pPr>
      <w:r>
        <w:rPr>
          <w:rFonts w:ascii="Times New Roman" w:cs="Times New Roman" w:eastAsia="Times New Roman" w:hAnsi="Times New Roman"/>
          <w:b w:val="false"/>
          <w:bCs w:val="false"/>
          <w:i w:val="false"/>
          <w:iCs w:val="false"/>
          <w:color w:val="000000"/>
          <w:sz w:val="20"/>
          <w:szCs w:val="20"/>
        </w:rPr>
        <w:t xml:space="preserve">A Random Forest classifier [1] was trained with the following hyperparameters: n_estimators = 200, max_depth = 10, random_state = 42, and class_weight = 'balanced'. The balanced class weight was applied to address class imbalance, ensuring the model learns from all three outcome classes equally. Model performance was evaluated using accuracy, precision, recall, and F1-score per class.</w:t>
      </w:r>
    </w:p>
    <w:p>
      <w:pPr>
        <w:spacing w:after="40" w:before="80" w:line="240" w:lineRule="auto"/>
        <w:jc w:val="both"/>
      </w:pPr>
      <w:r>
        <w:rPr>
          <w:rFonts w:ascii="Times New Roman" w:cs="Times New Roman" w:eastAsia="Times New Roman" w:hAnsi="Times New Roman"/>
          <w:b/>
          <w:bCs/>
          <w:i w:val="false"/>
          <w:iCs w:val="false"/>
          <w:color w:val="000000"/>
          <w:sz w:val="20"/>
          <w:szCs w:val="20"/>
        </w:rPr>
        <w:t xml:space="preserve">2.5 SHAP Analysis</w:t>
      </w:r>
    </w:p>
    <w:p>
      <w:pPr>
        <w:spacing w:after="80" w:before="0" w:line="240" w:lineRule="auto"/>
        <w:ind w:firstLine="720"/>
        <w:jc w:val="both"/>
      </w:pPr>
      <w:r>
        <w:rPr>
          <w:rFonts w:ascii="Times New Roman" w:cs="Times New Roman" w:eastAsia="Times New Roman" w:hAnsi="Times New Roman"/>
          <w:b w:val="false"/>
          <w:bCs w:val="false"/>
          <w:i w:val="false"/>
          <w:iCs w:val="false"/>
          <w:color w:val="000000"/>
          <w:sz w:val="20"/>
          <w:szCs w:val="20"/>
        </w:rPr>
        <w:t xml:space="preserve">SHAP TreeExplainer [2] was applied to the trained Random Forest model on a subset of 500 test samples. Cavus and Biecek [13] identify SHAP as the most widely adopted XAI framework in sports science, owing to its model-agnostic properties and rigorous game-theoretic foundation. Three types of SHAP visualizations were generated: (1) Bar Plot for global feature importance; (2) Beeswarm Plot for distributional analysis of feature contributions for the Home Win class; and (3) Waterfall Plot for individual sample-level explanations. Wang et al. [14] demonstrated the effectiveness of this SHAP-based approach in football injury prediction, further validating its applicability in sports analytics contexts.</w:t>
      </w:r>
    </w:p>
    <w:p>
      <w:pPr>
        <w:spacing w:after="80" w:before="0"/>
      </w:pPr>
    </w:p>
    <w:p>
      <w:pPr>
        <w:spacing w:after="80" w:before="160" w:line="240" w:lineRule="auto"/>
        <w:jc w:val="left"/>
      </w:pPr>
      <w:r>
        <w:rPr>
          <w:rFonts w:ascii="Times New Roman" w:cs="Times New Roman" w:eastAsia="Times New Roman" w:hAnsi="Times New Roman"/>
          <w:b/>
          <w:bCs/>
          <w:i w:val="false"/>
          <w:iCs w:val="false"/>
          <w:color w:val="000000"/>
          <w:sz w:val="20"/>
          <w:szCs w:val="20"/>
        </w:rPr>
        <w:t xml:space="preserve">RESULT AND DISCUSSION</w:t>
      </w:r>
    </w:p>
    <w:p>
      <w:pPr>
        <w:spacing w:after="40" w:before="80" w:line="240" w:lineRule="auto"/>
        <w:jc w:val="both"/>
      </w:pPr>
      <w:r>
        <w:rPr>
          <w:rFonts w:ascii="Times New Roman" w:cs="Times New Roman" w:eastAsia="Times New Roman" w:hAnsi="Times New Roman"/>
          <w:b/>
          <w:bCs/>
          <w:i w:val="false"/>
          <w:iCs w:val="false"/>
          <w:color w:val="000000"/>
          <w:sz w:val="20"/>
          <w:szCs w:val="20"/>
        </w:rPr>
        <w:t xml:space="preserve">3.1 Model Evaluation</w:t>
      </w:r>
    </w:p>
    <w:p>
      <w:pPr>
        <w:spacing w:after="80" w:before="0" w:line="240" w:lineRule="auto"/>
        <w:ind w:firstLine="720"/>
        <w:jc w:val="both"/>
      </w:pPr>
      <w:r>
        <w:rPr>
          <w:rFonts w:ascii="Times New Roman" w:cs="Times New Roman" w:eastAsia="Times New Roman" w:hAnsi="Times New Roman"/>
          <w:b w:val="false"/>
          <w:bCs w:val="false"/>
          <w:i w:val="false"/>
          <w:iCs w:val="false"/>
          <w:color w:val="000000"/>
          <w:sz w:val="20"/>
          <w:szCs w:val="20"/>
        </w:rPr>
        <w:t xml:space="preserve">The Random Forest classifier achieved an overall accuracy of 43.09% on the test set. Table 1 presents the complete classification report per class.</w:t>
      </w:r>
    </w:p>
    <w:p>
      <w:pPr>
        <w:spacing w:after="40" w:before="120" w:line="240" w:lineRule="auto"/>
        <w:jc w:val="center"/>
      </w:pPr>
      <w:r>
        <w:rPr>
          <w:rFonts w:ascii="Times New Roman" w:cs="Times New Roman" w:eastAsia="Times New Roman" w:hAnsi="Times New Roman"/>
          <w:b/>
          <w:bCs/>
          <w:i w:val="false"/>
          <w:iCs w:val="false"/>
          <w:color w:val="000000"/>
          <w:sz w:val="18"/>
          <w:szCs w:val="18"/>
        </w:rPr>
        <w:t xml:space="preserve">Table 1. Classification Report of Random Forest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1692"/>
        <w:gridCol w:w="1692"/>
        <w:gridCol w:w="1693"/>
        <w:gridCol w:w="1693"/>
      </w:tblGrid>
      <w:tr>
        <w:tc>
          <w:tcPr>
            <w:tcW w:type="dxa" w:w="2256"/>
            <w:tcBorders>
              <w:top w:val="single" w:color="000000" w:sz="8"/>
              <w:left w:val="none" w:color="FFFFFF" w:sz="0"/>
              <w:bottom w:val="single" w:color="000000" w:sz="8"/>
              <w:right w:val="none" w:color="FFFFFF" w:sz="0"/>
            </w:tcBorders>
            <w:shd w:fill="D9E1F2" w:val="clear"/>
            <w:tcMar>
              <w:top w:type="dxa" w:w="60"/>
              <w:left w:type="dxa" w:w="100"/>
              <w:bottom w:type="dxa" w:w="60"/>
              <w:right w:type="dxa" w:w="100"/>
            </w:tcMar>
          </w:tcPr>
          <w:p>
            <w:pPr>
              <w:spacing w:after="40" w:before="40" w:line="240" w:lineRule="auto"/>
              <w:jc w:val="center"/>
            </w:pPr>
            <w:r>
              <w:rPr>
                <w:rFonts w:ascii="Times New Roman" w:cs="Times New Roman" w:eastAsia="Times New Roman" w:hAnsi="Times New Roman"/>
                <w:b/>
                <w:bCs/>
                <w:i w:val="false"/>
                <w:iCs w:val="false"/>
                <w:color w:val="000000"/>
                <w:sz w:val="18"/>
                <w:szCs w:val="18"/>
              </w:rPr>
              <w:t xml:space="preserve">Class</w:t>
            </w:r>
          </w:p>
        </w:tc>
        <w:tc>
          <w:tcPr>
            <w:tcW w:type="dxa" w:w="1692"/>
            <w:tcBorders>
              <w:top w:val="single" w:color="000000" w:sz="8"/>
              <w:left w:val="none" w:color="FFFFFF" w:sz="0"/>
              <w:bottom w:val="single" w:color="000000" w:sz="8"/>
              <w:right w:val="none" w:color="FFFFFF" w:sz="0"/>
            </w:tcBorders>
            <w:shd w:fill="D9E1F2" w:val="clear"/>
            <w:tcMar>
              <w:top w:type="dxa" w:w="60"/>
              <w:left w:type="dxa" w:w="100"/>
              <w:bottom w:type="dxa" w:w="60"/>
              <w:right w:type="dxa" w:w="100"/>
            </w:tcMar>
          </w:tcPr>
          <w:p>
            <w:pPr>
              <w:spacing w:after="40" w:before="40" w:line="240" w:lineRule="auto"/>
              <w:jc w:val="center"/>
            </w:pPr>
            <w:r>
              <w:rPr>
                <w:rFonts w:ascii="Times New Roman" w:cs="Times New Roman" w:eastAsia="Times New Roman" w:hAnsi="Times New Roman"/>
                <w:b/>
                <w:bCs/>
                <w:i w:val="false"/>
                <w:iCs w:val="false"/>
                <w:color w:val="000000"/>
                <w:sz w:val="18"/>
                <w:szCs w:val="18"/>
              </w:rPr>
              <w:t xml:space="preserve">Precision</w:t>
            </w:r>
          </w:p>
        </w:tc>
        <w:tc>
          <w:tcPr>
            <w:tcW w:type="dxa" w:w="1692"/>
            <w:tcBorders>
              <w:top w:val="single" w:color="000000" w:sz="8"/>
              <w:left w:val="none" w:color="FFFFFF" w:sz="0"/>
              <w:bottom w:val="single" w:color="000000" w:sz="8"/>
              <w:right w:val="none" w:color="FFFFFF" w:sz="0"/>
            </w:tcBorders>
            <w:shd w:fill="D9E1F2" w:val="clear"/>
            <w:tcMar>
              <w:top w:type="dxa" w:w="60"/>
              <w:left w:type="dxa" w:w="100"/>
              <w:bottom w:type="dxa" w:w="60"/>
              <w:right w:type="dxa" w:w="100"/>
            </w:tcMar>
          </w:tcPr>
          <w:p>
            <w:pPr>
              <w:spacing w:after="40" w:before="40" w:line="240" w:lineRule="auto"/>
              <w:jc w:val="center"/>
            </w:pPr>
            <w:r>
              <w:rPr>
                <w:rFonts w:ascii="Times New Roman" w:cs="Times New Roman" w:eastAsia="Times New Roman" w:hAnsi="Times New Roman"/>
                <w:b/>
                <w:bCs/>
                <w:i w:val="false"/>
                <w:iCs w:val="false"/>
                <w:color w:val="000000"/>
                <w:sz w:val="18"/>
                <w:szCs w:val="18"/>
              </w:rPr>
              <w:t xml:space="preserve">Recall</w:t>
            </w:r>
          </w:p>
        </w:tc>
        <w:tc>
          <w:tcPr>
            <w:tcW w:type="dxa" w:w="1693"/>
            <w:tcBorders>
              <w:top w:val="single" w:color="000000" w:sz="8"/>
              <w:left w:val="none" w:color="FFFFFF" w:sz="0"/>
              <w:bottom w:val="single" w:color="000000" w:sz="8"/>
              <w:right w:val="none" w:color="FFFFFF" w:sz="0"/>
            </w:tcBorders>
            <w:shd w:fill="D9E1F2" w:val="clear"/>
            <w:tcMar>
              <w:top w:type="dxa" w:w="60"/>
              <w:left w:type="dxa" w:w="100"/>
              <w:bottom w:type="dxa" w:w="60"/>
              <w:right w:type="dxa" w:w="100"/>
            </w:tcMar>
          </w:tcPr>
          <w:p>
            <w:pPr>
              <w:spacing w:after="40" w:before="40" w:line="240" w:lineRule="auto"/>
              <w:jc w:val="center"/>
            </w:pPr>
            <w:r>
              <w:rPr>
                <w:rFonts w:ascii="Times New Roman" w:cs="Times New Roman" w:eastAsia="Times New Roman" w:hAnsi="Times New Roman"/>
                <w:b/>
                <w:bCs/>
                <w:i w:val="false"/>
                <w:iCs w:val="false"/>
                <w:color w:val="000000"/>
                <w:sz w:val="18"/>
                <w:szCs w:val="18"/>
              </w:rPr>
              <w:t xml:space="preserve">F1-Score</w:t>
            </w:r>
          </w:p>
        </w:tc>
        <w:tc>
          <w:tcPr>
            <w:tcW w:type="dxa" w:w="1693"/>
            <w:tcBorders>
              <w:top w:val="single" w:color="000000" w:sz="8"/>
              <w:left w:val="none" w:color="FFFFFF" w:sz="0"/>
              <w:bottom w:val="single" w:color="000000" w:sz="8"/>
              <w:right w:val="none" w:color="FFFFFF" w:sz="0"/>
            </w:tcBorders>
            <w:shd w:fill="D9E1F2" w:val="clear"/>
            <w:tcMar>
              <w:top w:type="dxa" w:w="60"/>
              <w:left w:type="dxa" w:w="100"/>
              <w:bottom w:type="dxa" w:w="60"/>
              <w:right w:type="dxa" w:w="100"/>
            </w:tcMar>
          </w:tcPr>
          <w:p>
            <w:pPr>
              <w:spacing w:after="40" w:before="40" w:line="240" w:lineRule="auto"/>
              <w:jc w:val="center"/>
            </w:pPr>
            <w:r>
              <w:rPr>
                <w:rFonts w:ascii="Times New Roman" w:cs="Times New Roman" w:eastAsia="Times New Roman" w:hAnsi="Times New Roman"/>
                <w:b/>
                <w:bCs/>
                <w:i w:val="false"/>
                <w:iCs w:val="false"/>
                <w:color w:val="000000"/>
                <w:sz w:val="18"/>
                <w:szCs w:val="18"/>
              </w:rPr>
              <w:t xml:space="preserve">Support</w:t>
            </w:r>
          </w:p>
        </w:tc>
      </w:tr>
      <w:tr>
        <w:tc>
          <w:tcPr>
            <w:tcW w:type="dxa" w:w="2256"/>
            <w:tcBorders>
              <w:top w:val="none" w:color="FFFFFF" w:sz="0"/>
              <w:left w:val="none" w:color="FFFFFF" w:sz="0"/>
              <w:bottom w:val="none" w:color="FFFFFF" w:sz="0"/>
              <w:right w:val="none" w:color="FFFFFF" w:sz="0"/>
            </w:tcBorders>
            <w:shd w:fill="F2F2F2" w:val="clear"/>
            <w:tcMar>
              <w:top w:type="dxa" w:w="60"/>
              <w:left w:type="dxa" w:w="100"/>
              <w:bottom w:type="dxa" w:w="60"/>
              <w:right w:type="dxa" w:w="100"/>
            </w:tcMar>
          </w:tcPr>
          <w:p>
            <w:pPr>
              <w:spacing w:after="40" w:before="40" w:line="240" w:lineRule="auto"/>
              <w:jc w:val="center"/>
            </w:pPr>
            <w:r>
              <w:rPr>
                <w:rFonts w:ascii="Times New Roman" w:cs="Times New Roman" w:eastAsia="Times New Roman" w:hAnsi="Times New Roman"/>
                <w:b w:val="false"/>
                <w:bCs w:val="false"/>
                <w:i w:val="false"/>
                <w:iCs w:val="false"/>
                <w:color w:val="000000"/>
                <w:sz w:val="18"/>
                <w:szCs w:val="18"/>
              </w:rPr>
              <w:t xml:space="preserve">Away Win</w:t>
            </w:r>
          </w:p>
        </w:tc>
        <w:tc>
          <w:tcPr>
            <w:tcW w:type="dxa" w:w="1692"/>
            <w:tcBorders>
              <w:top w:val="none" w:color="FFFFFF" w:sz="0"/>
              <w:left w:val="none" w:color="FFFFFF" w:sz="0"/>
              <w:bottom w:val="none" w:color="FFFFFF" w:sz="0"/>
              <w:right w:val="none" w:color="FFFFFF" w:sz="0"/>
            </w:tcBorders>
            <w:shd w:fill="F2F2F2" w:val="clear"/>
            <w:tcMar>
              <w:top w:type="dxa" w:w="60"/>
              <w:left w:type="dxa" w:w="100"/>
              <w:bottom w:type="dxa" w:w="60"/>
              <w:right w:type="dxa" w:w="100"/>
            </w:tcMar>
          </w:tcPr>
          <w:p>
            <w:pPr>
              <w:spacing w:after="40" w:before="40" w:line="240" w:lineRule="auto"/>
              <w:jc w:val="center"/>
            </w:pPr>
            <w:r>
              <w:rPr>
                <w:rFonts w:ascii="Times New Roman" w:cs="Times New Roman" w:eastAsia="Times New Roman" w:hAnsi="Times New Roman"/>
                <w:b w:val="false"/>
                <w:bCs w:val="false"/>
                <w:i w:val="false"/>
                <w:iCs w:val="false"/>
                <w:color w:val="000000"/>
                <w:sz w:val="18"/>
                <w:szCs w:val="18"/>
              </w:rPr>
              <w:t xml:space="preserve">0.40</w:t>
            </w:r>
          </w:p>
        </w:tc>
        <w:tc>
          <w:tcPr>
            <w:tcW w:type="dxa" w:w="1692"/>
            <w:tcBorders>
              <w:top w:val="none" w:color="FFFFFF" w:sz="0"/>
              <w:left w:val="none" w:color="FFFFFF" w:sz="0"/>
              <w:bottom w:val="none" w:color="FFFFFF" w:sz="0"/>
              <w:right w:val="none" w:color="FFFFFF" w:sz="0"/>
            </w:tcBorders>
            <w:shd w:fill="F2F2F2" w:val="clear"/>
            <w:tcMar>
              <w:top w:type="dxa" w:w="60"/>
              <w:left w:type="dxa" w:w="100"/>
              <w:bottom w:type="dxa" w:w="60"/>
              <w:right w:type="dxa" w:w="100"/>
            </w:tcMar>
          </w:tcPr>
          <w:p>
            <w:pPr>
              <w:spacing w:after="40" w:before="40" w:line="240" w:lineRule="auto"/>
              <w:jc w:val="center"/>
            </w:pPr>
            <w:r>
              <w:rPr>
                <w:rFonts w:ascii="Times New Roman" w:cs="Times New Roman" w:eastAsia="Times New Roman" w:hAnsi="Times New Roman"/>
                <w:b w:val="false"/>
                <w:bCs w:val="false"/>
                <w:i w:val="false"/>
                <w:iCs w:val="false"/>
                <w:color w:val="000000"/>
                <w:sz w:val="18"/>
                <w:szCs w:val="18"/>
              </w:rPr>
              <w:t xml:space="preserve">0.46</w:t>
            </w:r>
          </w:p>
        </w:tc>
        <w:tc>
          <w:tcPr>
            <w:tcW w:type="dxa" w:w="1693"/>
            <w:tcBorders>
              <w:top w:val="none" w:color="FFFFFF" w:sz="0"/>
              <w:left w:val="none" w:color="FFFFFF" w:sz="0"/>
              <w:bottom w:val="none" w:color="FFFFFF" w:sz="0"/>
              <w:right w:val="none" w:color="FFFFFF" w:sz="0"/>
            </w:tcBorders>
            <w:shd w:fill="F2F2F2" w:val="clear"/>
            <w:tcMar>
              <w:top w:type="dxa" w:w="60"/>
              <w:left w:type="dxa" w:w="100"/>
              <w:bottom w:type="dxa" w:w="60"/>
              <w:right w:type="dxa" w:w="100"/>
            </w:tcMar>
          </w:tcPr>
          <w:p>
            <w:pPr>
              <w:spacing w:after="40" w:before="40" w:line="240" w:lineRule="auto"/>
              <w:jc w:val="center"/>
            </w:pPr>
            <w:r>
              <w:rPr>
                <w:rFonts w:ascii="Times New Roman" w:cs="Times New Roman" w:eastAsia="Times New Roman" w:hAnsi="Times New Roman"/>
                <w:b w:val="false"/>
                <w:bCs w:val="false"/>
                <w:i w:val="false"/>
                <w:iCs w:val="false"/>
                <w:color w:val="000000"/>
                <w:sz w:val="18"/>
                <w:szCs w:val="18"/>
              </w:rPr>
              <w:t xml:space="preserve">0.43</w:t>
            </w:r>
          </w:p>
        </w:tc>
        <w:tc>
          <w:tcPr>
            <w:tcW w:type="dxa" w:w="1693"/>
            <w:tcBorders>
              <w:top w:val="none" w:color="FFFFFF" w:sz="0"/>
              <w:left w:val="none" w:color="FFFFFF" w:sz="0"/>
              <w:bottom w:val="none" w:color="FFFFFF" w:sz="0"/>
              <w:right w:val="none" w:color="FFFFFF" w:sz="0"/>
            </w:tcBorders>
            <w:shd w:fill="F2F2F2" w:val="clear"/>
            <w:tcMar>
              <w:top w:type="dxa" w:w="60"/>
              <w:left w:type="dxa" w:w="100"/>
              <w:bottom w:type="dxa" w:w="60"/>
              <w:right w:type="dxa" w:w="100"/>
            </w:tcMar>
          </w:tcPr>
          <w:p>
            <w:pPr>
              <w:spacing w:after="40" w:before="40" w:line="240" w:lineRule="auto"/>
              <w:jc w:val="center"/>
            </w:pPr>
            <w:r>
              <w:rPr>
                <w:rFonts w:ascii="Times New Roman" w:cs="Times New Roman" w:eastAsia="Times New Roman" w:hAnsi="Times New Roman"/>
                <w:b w:val="false"/>
                <w:bCs w:val="false"/>
                <w:i w:val="false"/>
                <w:iCs w:val="false"/>
                <w:color w:val="000000"/>
                <w:sz w:val="18"/>
                <w:szCs w:val="18"/>
              </w:rPr>
              <w:t xml:space="preserve">1,123</w:t>
            </w:r>
          </w:p>
        </w:tc>
      </w:tr>
      <w:tr>
        <w:tc>
          <w:tcPr>
            <w:tcW w:type="dxa" w:w="2256"/>
            <w:tcBorders>
              <w:top w:val="none" w:color="FFFFFF" w:sz="0"/>
              <w:left w:val="none" w:color="FFFFFF" w:sz="0"/>
              <w:bottom w:val="none" w:color="FFFFFF" w:sz="0"/>
              <w:right w:val="none" w:color="FFFFFF" w:sz="0"/>
            </w:tcBorders>
            <w:shd w:fill="FFFFFF" w:val="clear"/>
            <w:tcMar>
              <w:top w:type="dxa" w:w="60"/>
              <w:left w:type="dxa" w:w="100"/>
              <w:bottom w:type="dxa" w:w="60"/>
              <w:right w:type="dxa" w:w="100"/>
            </w:tcMar>
          </w:tcPr>
          <w:p>
            <w:pPr>
              <w:spacing w:after="40" w:before="40" w:line="240" w:lineRule="auto"/>
              <w:jc w:val="center"/>
            </w:pPr>
            <w:r>
              <w:rPr>
                <w:rFonts w:ascii="Times New Roman" w:cs="Times New Roman" w:eastAsia="Times New Roman" w:hAnsi="Times New Roman"/>
                <w:b w:val="false"/>
                <w:bCs w:val="false"/>
                <w:i w:val="false"/>
                <w:iCs w:val="false"/>
                <w:color w:val="000000"/>
                <w:sz w:val="18"/>
                <w:szCs w:val="18"/>
              </w:rPr>
              <w:t xml:space="preserve">Draw</w:t>
            </w:r>
          </w:p>
        </w:tc>
        <w:tc>
          <w:tcPr>
            <w:tcW w:type="dxa" w:w="1692"/>
            <w:tcBorders>
              <w:top w:val="none" w:color="FFFFFF" w:sz="0"/>
              <w:left w:val="none" w:color="FFFFFF" w:sz="0"/>
              <w:bottom w:val="none" w:color="FFFFFF" w:sz="0"/>
              <w:right w:val="none" w:color="FFFFFF" w:sz="0"/>
            </w:tcBorders>
            <w:shd w:fill="FFFFFF" w:val="clear"/>
            <w:tcMar>
              <w:top w:type="dxa" w:w="60"/>
              <w:left w:type="dxa" w:w="100"/>
              <w:bottom w:type="dxa" w:w="60"/>
              <w:right w:type="dxa" w:w="100"/>
            </w:tcMar>
          </w:tcPr>
          <w:p>
            <w:pPr>
              <w:spacing w:after="40" w:before="40" w:line="240" w:lineRule="auto"/>
              <w:jc w:val="center"/>
            </w:pPr>
            <w:r>
              <w:rPr>
                <w:rFonts w:ascii="Times New Roman" w:cs="Times New Roman" w:eastAsia="Times New Roman" w:hAnsi="Times New Roman"/>
                <w:b w:val="false"/>
                <w:bCs w:val="false"/>
                <w:i w:val="false"/>
                <w:iCs w:val="false"/>
                <w:color w:val="000000"/>
                <w:sz w:val="18"/>
                <w:szCs w:val="18"/>
              </w:rPr>
              <w:t xml:space="preserve">0.27</w:t>
            </w:r>
          </w:p>
        </w:tc>
        <w:tc>
          <w:tcPr>
            <w:tcW w:type="dxa" w:w="1692"/>
            <w:tcBorders>
              <w:top w:val="none" w:color="FFFFFF" w:sz="0"/>
              <w:left w:val="none" w:color="FFFFFF" w:sz="0"/>
              <w:bottom w:val="none" w:color="FFFFFF" w:sz="0"/>
              <w:right w:val="none" w:color="FFFFFF" w:sz="0"/>
            </w:tcBorders>
            <w:shd w:fill="FFFFFF" w:val="clear"/>
            <w:tcMar>
              <w:top w:type="dxa" w:w="60"/>
              <w:left w:type="dxa" w:w="100"/>
              <w:bottom w:type="dxa" w:w="60"/>
              <w:right w:type="dxa" w:w="100"/>
            </w:tcMar>
          </w:tcPr>
          <w:p>
            <w:pPr>
              <w:spacing w:after="40" w:before="40" w:line="240" w:lineRule="auto"/>
              <w:jc w:val="center"/>
            </w:pPr>
            <w:r>
              <w:rPr>
                <w:rFonts w:ascii="Times New Roman" w:cs="Times New Roman" w:eastAsia="Times New Roman" w:hAnsi="Times New Roman"/>
                <w:b w:val="false"/>
                <w:bCs w:val="false"/>
                <w:i w:val="false"/>
                <w:iCs w:val="false"/>
                <w:color w:val="000000"/>
                <w:sz w:val="18"/>
                <w:szCs w:val="18"/>
              </w:rPr>
              <w:t xml:space="preserve">0.27</w:t>
            </w:r>
          </w:p>
        </w:tc>
        <w:tc>
          <w:tcPr>
            <w:tcW w:type="dxa" w:w="1693"/>
            <w:tcBorders>
              <w:top w:val="none" w:color="FFFFFF" w:sz="0"/>
              <w:left w:val="none" w:color="FFFFFF" w:sz="0"/>
              <w:bottom w:val="none" w:color="FFFFFF" w:sz="0"/>
              <w:right w:val="none" w:color="FFFFFF" w:sz="0"/>
            </w:tcBorders>
            <w:shd w:fill="FFFFFF" w:val="clear"/>
            <w:tcMar>
              <w:top w:type="dxa" w:w="60"/>
              <w:left w:type="dxa" w:w="100"/>
              <w:bottom w:type="dxa" w:w="60"/>
              <w:right w:type="dxa" w:w="100"/>
            </w:tcMar>
          </w:tcPr>
          <w:p>
            <w:pPr>
              <w:spacing w:after="40" w:before="40" w:line="240" w:lineRule="auto"/>
              <w:jc w:val="center"/>
            </w:pPr>
            <w:r>
              <w:rPr>
                <w:rFonts w:ascii="Times New Roman" w:cs="Times New Roman" w:eastAsia="Times New Roman" w:hAnsi="Times New Roman"/>
                <w:b w:val="false"/>
                <w:bCs w:val="false"/>
                <w:i w:val="false"/>
                <w:iCs w:val="false"/>
                <w:color w:val="000000"/>
                <w:sz w:val="18"/>
                <w:szCs w:val="18"/>
              </w:rPr>
              <w:t xml:space="preserve">0.27</w:t>
            </w:r>
          </w:p>
        </w:tc>
        <w:tc>
          <w:tcPr>
            <w:tcW w:type="dxa" w:w="1693"/>
            <w:tcBorders>
              <w:top w:val="none" w:color="FFFFFF" w:sz="0"/>
              <w:left w:val="none" w:color="FFFFFF" w:sz="0"/>
              <w:bottom w:val="none" w:color="FFFFFF" w:sz="0"/>
              <w:right w:val="none" w:color="FFFFFF" w:sz="0"/>
            </w:tcBorders>
            <w:shd w:fill="FFFFFF" w:val="clear"/>
            <w:tcMar>
              <w:top w:type="dxa" w:w="60"/>
              <w:left w:type="dxa" w:w="100"/>
              <w:bottom w:type="dxa" w:w="60"/>
              <w:right w:type="dxa" w:w="100"/>
            </w:tcMar>
          </w:tcPr>
          <w:p>
            <w:pPr>
              <w:spacing w:after="40" w:before="40" w:line="240" w:lineRule="auto"/>
              <w:jc w:val="center"/>
            </w:pPr>
            <w:r>
              <w:rPr>
                <w:rFonts w:ascii="Times New Roman" w:cs="Times New Roman" w:eastAsia="Times New Roman" w:hAnsi="Times New Roman"/>
                <w:b w:val="false"/>
                <w:bCs w:val="false"/>
                <w:i w:val="false"/>
                <w:iCs w:val="false"/>
                <w:color w:val="000000"/>
                <w:sz w:val="18"/>
                <w:szCs w:val="18"/>
              </w:rPr>
              <w:t xml:space="preserve">981</w:t>
            </w:r>
          </w:p>
        </w:tc>
      </w:tr>
      <w:tr>
        <w:tc>
          <w:tcPr>
            <w:tcW w:type="dxa" w:w="2256"/>
            <w:tcBorders>
              <w:top w:val="none" w:color="FFFFFF" w:sz="0"/>
              <w:left w:val="none" w:color="FFFFFF" w:sz="0"/>
              <w:bottom w:val="none" w:color="FFFFFF" w:sz="0"/>
              <w:right w:val="none" w:color="FFFFFF" w:sz="0"/>
            </w:tcBorders>
            <w:shd w:fill="F2F2F2" w:val="clear"/>
            <w:tcMar>
              <w:top w:type="dxa" w:w="60"/>
              <w:left w:type="dxa" w:w="100"/>
              <w:bottom w:type="dxa" w:w="60"/>
              <w:right w:type="dxa" w:w="100"/>
            </w:tcMar>
          </w:tcPr>
          <w:p>
            <w:pPr>
              <w:spacing w:after="40" w:before="40" w:line="240" w:lineRule="auto"/>
              <w:jc w:val="center"/>
            </w:pPr>
            <w:r>
              <w:rPr>
                <w:rFonts w:ascii="Times New Roman" w:cs="Times New Roman" w:eastAsia="Times New Roman" w:hAnsi="Times New Roman"/>
                <w:b w:val="false"/>
                <w:bCs w:val="false"/>
                <w:i w:val="false"/>
                <w:iCs w:val="false"/>
                <w:color w:val="000000"/>
                <w:sz w:val="18"/>
                <w:szCs w:val="18"/>
              </w:rPr>
              <w:t xml:space="preserve">Home Win</w:t>
            </w:r>
          </w:p>
        </w:tc>
        <w:tc>
          <w:tcPr>
            <w:tcW w:type="dxa" w:w="1692"/>
            <w:tcBorders>
              <w:top w:val="none" w:color="FFFFFF" w:sz="0"/>
              <w:left w:val="none" w:color="FFFFFF" w:sz="0"/>
              <w:bottom w:val="none" w:color="FFFFFF" w:sz="0"/>
              <w:right w:val="none" w:color="FFFFFF" w:sz="0"/>
            </w:tcBorders>
            <w:shd w:fill="F2F2F2" w:val="clear"/>
            <w:tcMar>
              <w:top w:type="dxa" w:w="60"/>
              <w:left w:type="dxa" w:w="100"/>
              <w:bottom w:type="dxa" w:w="60"/>
              <w:right w:type="dxa" w:w="100"/>
            </w:tcMar>
          </w:tcPr>
          <w:p>
            <w:pPr>
              <w:spacing w:after="40" w:before="40" w:line="240" w:lineRule="auto"/>
              <w:jc w:val="center"/>
            </w:pPr>
            <w:r>
              <w:rPr>
                <w:rFonts w:ascii="Times New Roman" w:cs="Times New Roman" w:eastAsia="Times New Roman" w:hAnsi="Times New Roman"/>
                <w:b w:val="false"/>
                <w:bCs w:val="false"/>
                <w:i w:val="false"/>
                <w:iCs w:val="false"/>
                <w:color w:val="000000"/>
                <w:sz w:val="18"/>
                <w:szCs w:val="18"/>
              </w:rPr>
              <w:t xml:space="preserve">0.55</w:t>
            </w:r>
          </w:p>
        </w:tc>
        <w:tc>
          <w:tcPr>
            <w:tcW w:type="dxa" w:w="1692"/>
            <w:tcBorders>
              <w:top w:val="none" w:color="FFFFFF" w:sz="0"/>
              <w:left w:val="none" w:color="FFFFFF" w:sz="0"/>
              <w:bottom w:val="none" w:color="FFFFFF" w:sz="0"/>
              <w:right w:val="none" w:color="FFFFFF" w:sz="0"/>
            </w:tcBorders>
            <w:shd w:fill="F2F2F2" w:val="clear"/>
            <w:tcMar>
              <w:top w:type="dxa" w:w="60"/>
              <w:left w:type="dxa" w:w="100"/>
              <w:bottom w:type="dxa" w:w="60"/>
              <w:right w:type="dxa" w:w="100"/>
            </w:tcMar>
          </w:tcPr>
          <w:p>
            <w:pPr>
              <w:spacing w:after="40" w:before="40" w:line="240" w:lineRule="auto"/>
              <w:jc w:val="center"/>
            </w:pPr>
            <w:r>
              <w:rPr>
                <w:rFonts w:ascii="Times New Roman" w:cs="Times New Roman" w:eastAsia="Times New Roman" w:hAnsi="Times New Roman"/>
                <w:b w:val="false"/>
                <w:bCs w:val="false"/>
                <w:i w:val="false"/>
                <w:iCs w:val="false"/>
                <w:color w:val="000000"/>
                <w:sz w:val="18"/>
                <w:szCs w:val="18"/>
              </w:rPr>
              <w:t xml:space="preserve">0.50</w:t>
            </w:r>
          </w:p>
        </w:tc>
        <w:tc>
          <w:tcPr>
            <w:tcW w:type="dxa" w:w="1693"/>
            <w:tcBorders>
              <w:top w:val="none" w:color="FFFFFF" w:sz="0"/>
              <w:left w:val="none" w:color="FFFFFF" w:sz="0"/>
              <w:bottom w:val="none" w:color="FFFFFF" w:sz="0"/>
              <w:right w:val="none" w:color="FFFFFF" w:sz="0"/>
            </w:tcBorders>
            <w:shd w:fill="F2F2F2" w:val="clear"/>
            <w:tcMar>
              <w:top w:type="dxa" w:w="60"/>
              <w:left w:type="dxa" w:w="100"/>
              <w:bottom w:type="dxa" w:w="60"/>
              <w:right w:type="dxa" w:w="100"/>
            </w:tcMar>
          </w:tcPr>
          <w:p>
            <w:pPr>
              <w:spacing w:after="40" w:before="40" w:line="240" w:lineRule="auto"/>
              <w:jc w:val="center"/>
            </w:pPr>
            <w:r>
              <w:rPr>
                <w:rFonts w:ascii="Times New Roman" w:cs="Times New Roman" w:eastAsia="Times New Roman" w:hAnsi="Times New Roman"/>
                <w:b w:val="false"/>
                <w:bCs w:val="false"/>
                <w:i w:val="false"/>
                <w:iCs w:val="false"/>
                <w:color w:val="000000"/>
                <w:sz w:val="18"/>
                <w:szCs w:val="18"/>
              </w:rPr>
              <w:t xml:space="preserve">0.52</w:t>
            </w:r>
          </w:p>
        </w:tc>
        <w:tc>
          <w:tcPr>
            <w:tcW w:type="dxa" w:w="1693"/>
            <w:tcBorders>
              <w:top w:val="none" w:color="FFFFFF" w:sz="0"/>
              <w:left w:val="none" w:color="FFFFFF" w:sz="0"/>
              <w:bottom w:val="none" w:color="FFFFFF" w:sz="0"/>
              <w:right w:val="none" w:color="FFFFFF" w:sz="0"/>
            </w:tcBorders>
            <w:shd w:fill="F2F2F2" w:val="clear"/>
            <w:tcMar>
              <w:top w:type="dxa" w:w="60"/>
              <w:left w:type="dxa" w:w="100"/>
              <w:bottom w:type="dxa" w:w="60"/>
              <w:right w:type="dxa" w:w="100"/>
            </w:tcMar>
          </w:tcPr>
          <w:p>
            <w:pPr>
              <w:spacing w:after="40" w:before="40" w:line="240" w:lineRule="auto"/>
              <w:jc w:val="center"/>
            </w:pPr>
            <w:r>
              <w:rPr>
                <w:rFonts w:ascii="Times New Roman" w:cs="Times New Roman" w:eastAsia="Times New Roman" w:hAnsi="Times New Roman"/>
                <w:b w:val="false"/>
                <w:bCs w:val="false"/>
                <w:i w:val="false"/>
                <w:iCs w:val="false"/>
                <w:color w:val="000000"/>
                <w:sz w:val="18"/>
                <w:szCs w:val="18"/>
              </w:rPr>
              <w:t xml:space="preserve">1,767</w:t>
            </w:r>
          </w:p>
        </w:tc>
      </w:tr>
      <w:tr>
        <w:tc>
          <w:tcPr>
            <w:tcW w:type="dxa" w:w="2256"/>
            <w:tcBorders>
              <w:top w:val="single" w:color="000000" w:sz="8"/>
              <w:left w:val="none" w:color="FFFFFF" w:sz="0"/>
              <w:bottom w:val="single" w:color="000000" w:sz="8"/>
              <w:right w:val="none" w:color="FFFFFF" w:sz="0"/>
            </w:tcBorders>
            <w:shd w:fill="FFFFFF" w:val="clear"/>
            <w:tcMar>
              <w:top w:type="dxa" w:w="60"/>
              <w:left w:type="dxa" w:w="100"/>
              <w:bottom w:type="dxa" w:w="60"/>
              <w:right w:type="dxa" w:w="100"/>
            </w:tcMar>
          </w:tcPr>
          <w:p>
            <w:pPr>
              <w:spacing w:after="40" w:before="40" w:line="240" w:lineRule="auto"/>
              <w:jc w:val="center"/>
            </w:pPr>
            <w:r>
              <w:rPr>
                <w:rFonts w:ascii="Times New Roman" w:cs="Times New Roman" w:eastAsia="Times New Roman" w:hAnsi="Times New Roman"/>
                <w:b/>
                <w:bCs/>
                <w:i w:val="false"/>
                <w:iCs w:val="false"/>
                <w:color w:val="000000"/>
                <w:sz w:val="18"/>
                <w:szCs w:val="18"/>
              </w:rPr>
              <w:t xml:space="preserve">Weighted Avg</w:t>
            </w:r>
          </w:p>
        </w:tc>
        <w:tc>
          <w:tcPr>
            <w:tcW w:type="dxa" w:w="1692"/>
            <w:tcBorders>
              <w:top w:val="single" w:color="000000" w:sz="8"/>
              <w:left w:val="none" w:color="FFFFFF" w:sz="0"/>
              <w:bottom w:val="single" w:color="000000" w:sz="8"/>
              <w:right w:val="none" w:color="FFFFFF" w:sz="0"/>
            </w:tcBorders>
            <w:shd w:fill="FFFFFF" w:val="clear"/>
            <w:tcMar>
              <w:top w:type="dxa" w:w="60"/>
              <w:left w:type="dxa" w:w="100"/>
              <w:bottom w:type="dxa" w:w="60"/>
              <w:right w:type="dxa" w:w="100"/>
            </w:tcMar>
          </w:tcPr>
          <w:p>
            <w:pPr>
              <w:spacing w:after="40" w:before="40" w:line="240" w:lineRule="auto"/>
              <w:jc w:val="center"/>
            </w:pPr>
            <w:r>
              <w:rPr>
                <w:rFonts w:ascii="Times New Roman" w:cs="Times New Roman" w:eastAsia="Times New Roman" w:hAnsi="Times New Roman"/>
                <w:b/>
                <w:bCs/>
                <w:i w:val="false"/>
                <w:iCs w:val="false"/>
                <w:color w:val="000000"/>
                <w:sz w:val="18"/>
                <w:szCs w:val="18"/>
              </w:rPr>
              <w:t xml:space="preserve">0.44</w:t>
            </w:r>
          </w:p>
        </w:tc>
        <w:tc>
          <w:tcPr>
            <w:tcW w:type="dxa" w:w="1692"/>
            <w:tcBorders>
              <w:top w:val="single" w:color="000000" w:sz="8"/>
              <w:left w:val="none" w:color="FFFFFF" w:sz="0"/>
              <w:bottom w:val="single" w:color="000000" w:sz="8"/>
              <w:right w:val="none" w:color="FFFFFF" w:sz="0"/>
            </w:tcBorders>
            <w:shd w:fill="FFFFFF" w:val="clear"/>
            <w:tcMar>
              <w:top w:type="dxa" w:w="60"/>
              <w:left w:type="dxa" w:w="100"/>
              <w:bottom w:type="dxa" w:w="60"/>
              <w:right w:type="dxa" w:w="100"/>
            </w:tcMar>
          </w:tcPr>
          <w:p>
            <w:pPr>
              <w:spacing w:after="40" w:before="40" w:line="240" w:lineRule="auto"/>
              <w:jc w:val="center"/>
            </w:pPr>
            <w:r>
              <w:rPr>
                <w:rFonts w:ascii="Times New Roman" w:cs="Times New Roman" w:eastAsia="Times New Roman" w:hAnsi="Times New Roman"/>
                <w:b/>
                <w:bCs/>
                <w:i w:val="false"/>
                <w:iCs w:val="false"/>
                <w:color w:val="000000"/>
                <w:sz w:val="18"/>
                <w:szCs w:val="18"/>
              </w:rPr>
              <w:t xml:space="preserve">0.43</w:t>
            </w:r>
          </w:p>
        </w:tc>
        <w:tc>
          <w:tcPr>
            <w:tcW w:type="dxa" w:w="1693"/>
            <w:tcBorders>
              <w:top w:val="single" w:color="000000" w:sz="8"/>
              <w:left w:val="none" w:color="FFFFFF" w:sz="0"/>
              <w:bottom w:val="single" w:color="000000" w:sz="8"/>
              <w:right w:val="none" w:color="FFFFFF" w:sz="0"/>
            </w:tcBorders>
            <w:shd w:fill="FFFFFF" w:val="clear"/>
            <w:tcMar>
              <w:top w:type="dxa" w:w="60"/>
              <w:left w:type="dxa" w:w="100"/>
              <w:bottom w:type="dxa" w:w="60"/>
              <w:right w:type="dxa" w:w="100"/>
            </w:tcMar>
          </w:tcPr>
          <w:p>
            <w:pPr>
              <w:spacing w:after="40" w:before="40" w:line="240" w:lineRule="auto"/>
              <w:jc w:val="center"/>
            </w:pPr>
            <w:r>
              <w:rPr>
                <w:rFonts w:ascii="Times New Roman" w:cs="Times New Roman" w:eastAsia="Times New Roman" w:hAnsi="Times New Roman"/>
                <w:b/>
                <w:bCs/>
                <w:i w:val="false"/>
                <w:iCs w:val="false"/>
                <w:color w:val="000000"/>
                <w:sz w:val="18"/>
                <w:szCs w:val="18"/>
              </w:rPr>
              <w:t xml:space="preserve">0.43</w:t>
            </w:r>
          </w:p>
        </w:tc>
        <w:tc>
          <w:tcPr>
            <w:tcW w:type="dxa" w:w="1693"/>
            <w:tcBorders>
              <w:top w:val="single" w:color="000000" w:sz="8"/>
              <w:left w:val="none" w:color="FFFFFF" w:sz="0"/>
              <w:bottom w:val="single" w:color="000000" w:sz="8"/>
              <w:right w:val="none" w:color="FFFFFF" w:sz="0"/>
            </w:tcBorders>
            <w:shd w:fill="FFFFFF" w:val="clear"/>
            <w:tcMar>
              <w:top w:type="dxa" w:w="60"/>
              <w:left w:type="dxa" w:w="100"/>
              <w:bottom w:type="dxa" w:w="60"/>
              <w:right w:type="dxa" w:w="100"/>
            </w:tcMar>
          </w:tcPr>
          <w:p>
            <w:pPr>
              <w:spacing w:after="40" w:before="40" w:line="240" w:lineRule="auto"/>
              <w:jc w:val="center"/>
            </w:pPr>
            <w:r>
              <w:rPr>
                <w:rFonts w:ascii="Times New Roman" w:cs="Times New Roman" w:eastAsia="Times New Roman" w:hAnsi="Times New Roman"/>
                <w:b/>
                <w:bCs/>
                <w:i w:val="false"/>
                <w:iCs w:val="false"/>
                <w:color w:val="000000"/>
                <w:sz w:val="18"/>
                <w:szCs w:val="18"/>
              </w:rPr>
              <w:t xml:space="preserve">3,871</w:t>
            </w:r>
          </w:p>
        </w:tc>
      </w:tr>
    </w:tbl>
    <w:p>
      <w:pPr>
        <w:spacing w:after="80" w:before="120" w:line="240" w:lineRule="auto"/>
        <w:ind w:firstLine="720"/>
        <w:jc w:val="both"/>
      </w:pPr>
      <w:r>
        <w:rPr>
          <w:rFonts w:ascii="Times New Roman" w:cs="Times New Roman" w:eastAsia="Times New Roman" w:hAnsi="Times New Roman"/>
          <w:b w:val="false"/>
          <w:bCs w:val="false"/>
          <w:i w:val="false"/>
          <w:iCs w:val="false"/>
          <w:color w:val="000000"/>
          <w:sz w:val="20"/>
          <w:szCs w:val="20"/>
        </w:rPr>
        <w:t xml:space="preserve">The Home Win class achieved the highest F1-score (0.52), consistent with the well-documented home advantage phenomenon in football. The Draw class obtained the lowest F1-score (0.27), which is expected given that draws are inherently difficult to predict due to their balanced and uncertain nature. The Away Win class achieved an F1-score of 0.43, reflecting moderate predictive capability. These results are consistent with findings from Bunker and Thabtah [10], who reported that draw prediction is the most difficult outcome class across multiple sport prediction frameworks.</w:t>
      </w:r>
    </w:p>
    <w:p>
      <w:pPr>
        <w:spacing w:after="80" w:before="0" w:line="240" w:lineRule="auto"/>
        <w:ind w:firstLine="720"/>
        <w:jc w:val="both"/>
      </w:pPr>
      <w:r>
        <w:rPr>
          <w:rFonts w:ascii="Times New Roman" w:cs="Times New Roman" w:eastAsia="Times New Roman" w:hAnsi="Times New Roman"/>
          <w:b w:val="false"/>
          <w:bCs w:val="false"/>
          <w:i w:val="false"/>
          <w:iCs w:val="false"/>
          <w:color w:val="000000"/>
          <w:sz w:val="20"/>
          <w:szCs w:val="20"/>
        </w:rPr>
        <w:t xml:space="preserve">The weighted F1-score of 0.43 is comparable to the F1-score of 0.47 reported by Yeung et al. [3], with a marginal difference of 0.04, despite this study using a broader dataset (19,355 vs. 1,700 matches) and a different feature set. This confirms that team tactical attributes carry predictive signal comparable to player-level FIFA ratings, supporting the finding of Carpita et al. [4] that team-level indicators are sufficient for competitive prediction performance.</w:t>
      </w:r>
    </w:p>
    <w:p>
      <w:pPr>
        <w:spacing w:after="40" w:before="80" w:line="240" w:lineRule="auto"/>
        <w:jc w:val="both"/>
      </w:pPr>
      <w:r>
        <w:rPr>
          <w:rFonts w:ascii="Times New Roman" w:cs="Times New Roman" w:eastAsia="Times New Roman" w:hAnsi="Times New Roman"/>
          <w:b/>
          <w:bCs/>
          <w:i w:val="false"/>
          <w:iCs w:val="false"/>
          <w:color w:val="000000"/>
          <w:sz w:val="20"/>
          <w:szCs w:val="20"/>
        </w:rPr>
        <w:t xml:space="preserve">3.2 Feature Importance Analysis</w:t>
      </w:r>
    </w:p>
    <w:p>
      <w:pPr>
        <w:spacing w:after="80" w:before="0" w:line="240" w:lineRule="auto"/>
        <w:ind w:firstLine="720"/>
        <w:jc w:val="both"/>
      </w:pPr>
      <w:r>
        <w:rPr>
          <w:rFonts w:ascii="Times New Roman" w:cs="Times New Roman" w:eastAsia="Times New Roman" w:hAnsi="Times New Roman"/>
          <w:b w:val="false"/>
          <w:bCs w:val="false"/>
          <w:i w:val="false"/>
          <w:iCs w:val="false"/>
          <w:color w:val="000000"/>
          <w:sz w:val="20"/>
          <w:szCs w:val="20"/>
        </w:rPr>
        <w:t xml:space="preserve">Table 2 presents the top-10 features ranked by built-in Random Forest importance scores.</w:t>
      </w:r>
    </w:p>
    <w:p>
      <w:pPr>
        <w:spacing w:after="40" w:before="120" w:line="240" w:lineRule="auto"/>
        <w:jc w:val="center"/>
      </w:pPr>
      <w:r>
        <w:rPr>
          <w:rFonts w:ascii="Times New Roman" w:cs="Times New Roman" w:eastAsia="Times New Roman" w:hAnsi="Times New Roman"/>
          <w:b/>
          <w:bCs/>
          <w:i w:val="false"/>
          <w:iCs w:val="false"/>
          <w:color w:val="000000"/>
          <w:sz w:val="18"/>
          <w:szCs w:val="18"/>
        </w:rPr>
        <w:t xml:space="preserve">Table 2. Top-10 Feature Importance Scores (Random Forest)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5526"/>
        <w:gridCol w:w="2600"/>
      </w:tblGrid>
      <w:tr>
        <w:tc>
          <w:tcPr>
            <w:tcW w:type="dxa" w:w="900"/>
            <w:tcBorders>
              <w:top w:val="single" w:color="000000" w:sz="8"/>
              <w:left w:val="none" w:color="FFFFFF" w:sz="0"/>
              <w:bottom w:val="single" w:color="000000" w:sz="8"/>
              <w:right w:val="none" w:color="FFFFFF" w:sz="0"/>
            </w:tcBorders>
            <w:shd w:fill="D9E1F2" w:val="clear"/>
            <w:tcMar>
              <w:top w:type="dxa" w:w="60"/>
              <w:left w:type="dxa" w:w="100"/>
              <w:bottom w:type="dxa" w:w="60"/>
              <w:right w:type="dxa" w:w="100"/>
            </w:tcMar>
          </w:tcPr>
          <w:p>
            <w:pPr>
              <w:spacing w:after="40" w:before="40" w:line="240" w:lineRule="auto"/>
              <w:jc w:val="center"/>
            </w:pPr>
            <w:r>
              <w:rPr>
                <w:rFonts w:ascii="Times New Roman" w:cs="Times New Roman" w:eastAsia="Times New Roman" w:hAnsi="Times New Roman"/>
                <w:b/>
                <w:bCs/>
                <w:i w:val="false"/>
                <w:iCs w:val="false"/>
                <w:color w:val="000000"/>
                <w:sz w:val="18"/>
                <w:szCs w:val="18"/>
              </w:rPr>
              <w:t xml:space="preserve">Rank</w:t>
            </w:r>
          </w:p>
        </w:tc>
        <w:tc>
          <w:tcPr>
            <w:tcW w:type="dxa" w:w="5526"/>
            <w:tcBorders>
              <w:top w:val="single" w:color="000000" w:sz="8"/>
              <w:left w:val="none" w:color="FFFFFF" w:sz="0"/>
              <w:bottom w:val="single" w:color="000000" w:sz="8"/>
              <w:right w:val="none" w:color="FFFFFF" w:sz="0"/>
            </w:tcBorders>
            <w:shd w:fill="D9E1F2" w:val="clear"/>
            <w:tcMar>
              <w:top w:type="dxa" w:w="60"/>
              <w:left w:type="dxa" w:w="100"/>
              <w:bottom w:type="dxa" w:w="60"/>
              <w:right w:type="dxa" w:w="100"/>
            </w:tcMar>
          </w:tcPr>
          <w:p>
            <w:pPr>
              <w:spacing w:after="40" w:before="40" w:line="240" w:lineRule="auto"/>
              <w:jc w:val="center"/>
            </w:pPr>
            <w:r>
              <w:rPr>
                <w:rFonts w:ascii="Times New Roman" w:cs="Times New Roman" w:eastAsia="Times New Roman" w:hAnsi="Times New Roman"/>
                <w:b/>
                <w:bCs/>
                <w:i w:val="false"/>
                <w:iCs w:val="false"/>
                <w:color w:val="000000"/>
                <w:sz w:val="18"/>
                <w:szCs w:val="18"/>
              </w:rPr>
              <w:t xml:space="preserve">Feature</w:t>
            </w:r>
          </w:p>
        </w:tc>
        <w:tc>
          <w:tcPr>
            <w:tcW w:type="dxa" w:w="2600"/>
            <w:tcBorders>
              <w:top w:val="single" w:color="000000" w:sz="8"/>
              <w:left w:val="none" w:color="FFFFFF" w:sz="0"/>
              <w:bottom w:val="single" w:color="000000" w:sz="8"/>
              <w:right w:val="none" w:color="FFFFFF" w:sz="0"/>
            </w:tcBorders>
            <w:shd w:fill="D9E1F2" w:val="clear"/>
            <w:tcMar>
              <w:top w:type="dxa" w:w="60"/>
              <w:left w:type="dxa" w:w="100"/>
              <w:bottom w:type="dxa" w:w="60"/>
              <w:right w:type="dxa" w:w="100"/>
            </w:tcMar>
          </w:tcPr>
          <w:p>
            <w:pPr>
              <w:spacing w:after="40" w:before="40" w:line="240" w:lineRule="auto"/>
              <w:jc w:val="center"/>
            </w:pPr>
            <w:r>
              <w:rPr>
                <w:rFonts w:ascii="Times New Roman" w:cs="Times New Roman" w:eastAsia="Times New Roman" w:hAnsi="Times New Roman"/>
                <w:b/>
                <w:bCs/>
                <w:i w:val="false"/>
                <w:iCs w:val="false"/>
                <w:color w:val="000000"/>
                <w:sz w:val="18"/>
                <w:szCs w:val="18"/>
              </w:rPr>
              <w:t xml:space="preserve">Importance Score</w:t>
            </w:r>
          </w:p>
        </w:tc>
      </w:tr>
      <w:tr>
        <w:tc>
          <w:tcPr>
            <w:tcW w:type="dxa" w:w="900"/>
            <w:tcBorders>
              <w:top w:val="none" w:color="FFFFFF" w:sz="0"/>
              <w:left w:val="none" w:color="FFFFFF" w:sz="0"/>
              <w:bottom w:val="none" w:color="FFFFFF" w:sz="0"/>
              <w:right w:val="none" w:color="FFFFFF" w:sz="0"/>
            </w:tcBorders>
            <w:shd w:fill="F2F2F2" w:val="clear"/>
            <w:tcMar>
              <w:top w:type="dxa" w:w="60"/>
              <w:left w:type="dxa" w:w="100"/>
              <w:bottom w:type="dxa" w:w="60"/>
              <w:right w:type="dxa" w:w="100"/>
            </w:tcMar>
          </w:tcPr>
          <w:p>
            <w:pPr>
              <w:spacing w:after="40" w:before="40" w:line="240" w:lineRule="auto"/>
              <w:jc w:val="center"/>
            </w:pPr>
            <w:r>
              <w:rPr>
                <w:rFonts w:ascii="Times New Roman" w:cs="Times New Roman" w:eastAsia="Times New Roman" w:hAnsi="Times New Roman"/>
                <w:b w:val="false"/>
                <w:bCs w:val="false"/>
                <w:i w:val="false"/>
                <w:iCs w:val="false"/>
                <w:color w:val="000000"/>
                <w:sz w:val="18"/>
                <w:szCs w:val="18"/>
              </w:rPr>
              <w:t xml:space="preserve">1</w:t>
            </w:r>
          </w:p>
        </w:tc>
        <w:tc>
          <w:tcPr>
            <w:tcW w:type="dxa" w:w="5526"/>
            <w:tcBorders>
              <w:top w:val="none" w:color="FFFFFF" w:sz="0"/>
              <w:left w:val="none" w:color="FFFFFF" w:sz="0"/>
              <w:bottom w:val="none" w:color="FFFFFF" w:sz="0"/>
              <w:right w:val="none" w:color="FFFFFF" w:sz="0"/>
            </w:tcBorders>
            <w:shd w:fill="F2F2F2" w:val="clear"/>
            <w:tcMar>
              <w:top w:type="dxa" w:w="60"/>
              <w:left w:type="dxa" w:w="100"/>
              <w:bottom w:type="dxa" w:w="60"/>
              <w:right w:type="dxa" w:w="100"/>
            </w:tcMar>
          </w:tcPr>
          <w:p>
            <w:pPr>
              <w:spacing w:after="40" w:before="40" w:line="240" w:lineRule="auto"/>
              <w:jc w:val="left"/>
            </w:pPr>
            <w:r>
              <w:rPr>
                <w:rFonts w:ascii="Times New Roman" w:cs="Times New Roman" w:eastAsia="Times New Roman" w:hAnsi="Times New Roman"/>
                <w:b w:val="false"/>
                <w:bCs w:val="false"/>
                <w:i/>
                <w:iCs/>
                <w:color w:val="000000"/>
                <w:sz w:val="18"/>
                <w:szCs w:val="18"/>
              </w:rPr>
              <w:t xml:space="preserve">home_defencePressure</w:t>
            </w:r>
          </w:p>
        </w:tc>
        <w:tc>
          <w:tcPr>
            <w:tcW w:type="dxa" w:w="2600"/>
            <w:tcBorders>
              <w:top w:val="none" w:color="FFFFFF" w:sz="0"/>
              <w:left w:val="none" w:color="FFFFFF" w:sz="0"/>
              <w:bottom w:val="none" w:color="FFFFFF" w:sz="0"/>
              <w:right w:val="none" w:color="FFFFFF" w:sz="0"/>
            </w:tcBorders>
            <w:shd w:fill="F2F2F2" w:val="clear"/>
            <w:tcMar>
              <w:top w:type="dxa" w:w="60"/>
              <w:left w:type="dxa" w:w="100"/>
              <w:bottom w:type="dxa" w:w="60"/>
              <w:right w:type="dxa" w:w="100"/>
            </w:tcMar>
          </w:tcPr>
          <w:p>
            <w:pPr>
              <w:spacing w:after="40" w:before="40" w:line="240" w:lineRule="auto"/>
              <w:jc w:val="center"/>
            </w:pPr>
            <w:r>
              <w:rPr>
                <w:rFonts w:ascii="Times New Roman" w:cs="Times New Roman" w:eastAsia="Times New Roman" w:hAnsi="Times New Roman"/>
                <w:b w:val="false"/>
                <w:bCs w:val="false"/>
                <w:i w:val="false"/>
                <w:iCs w:val="false"/>
                <w:color w:val="000000"/>
                <w:sz w:val="18"/>
                <w:szCs w:val="18"/>
              </w:rPr>
              <w:t xml:space="preserve">0.0667</w:t>
            </w:r>
          </w:p>
        </w:tc>
      </w:tr>
      <w:tr>
        <w:tc>
          <w:tcPr>
            <w:tcW w:type="dxa" w:w="900"/>
            <w:tcBorders>
              <w:top w:val="none" w:color="FFFFFF" w:sz="0"/>
              <w:left w:val="none" w:color="FFFFFF" w:sz="0"/>
              <w:bottom w:val="none" w:color="FFFFFF" w:sz="0"/>
              <w:right w:val="none" w:color="FFFFFF" w:sz="0"/>
            </w:tcBorders>
            <w:shd w:fill="FFFFFF" w:val="clear"/>
            <w:tcMar>
              <w:top w:type="dxa" w:w="60"/>
              <w:left w:type="dxa" w:w="100"/>
              <w:bottom w:type="dxa" w:w="60"/>
              <w:right w:type="dxa" w:w="100"/>
            </w:tcMar>
          </w:tcPr>
          <w:p>
            <w:pPr>
              <w:spacing w:after="40" w:before="40" w:line="240" w:lineRule="auto"/>
              <w:jc w:val="center"/>
            </w:pPr>
            <w:r>
              <w:rPr>
                <w:rFonts w:ascii="Times New Roman" w:cs="Times New Roman" w:eastAsia="Times New Roman" w:hAnsi="Times New Roman"/>
                <w:b w:val="false"/>
                <w:bCs w:val="false"/>
                <w:i w:val="false"/>
                <w:iCs w:val="false"/>
                <w:color w:val="000000"/>
                <w:sz w:val="18"/>
                <w:szCs w:val="18"/>
              </w:rPr>
              <w:t xml:space="preserve">2</w:t>
            </w:r>
          </w:p>
        </w:tc>
        <w:tc>
          <w:tcPr>
            <w:tcW w:type="dxa" w:w="5526"/>
            <w:tcBorders>
              <w:top w:val="none" w:color="FFFFFF" w:sz="0"/>
              <w:left w:val="none" w:color="FFFFFF" w:sz="0"/>
              <w:bottom w:val="none" w:color="FFFFFF" w:sz="0"/>
              <w:right w:val="none" w:color="FFFFFF" w:sz="0"/>
            </w:tcBorders>
            <w:shd w:fill="FFFFFF" w:val="clear"/>
            <w:tcMar>
              <w:top w:type="dxa" w:w="60"/>
              <w:left w:type="dxa" w:w="100"/>
              <w:bottom w:type="dxa" w:w="60"/>
              <w:right w:type="dxa" w:w="100"/>
            </w:tcMar>
          </w:tcPr>
          <w:p>
            <w:pPr>
              <w:spacing w:after="40" w:before="40" w:line="240" w:lineRule="auto"/>
              <w:jc w:val="left"/>
            </w:pPr>
            <w:r>
              <w:rPr>
                <w:rFonts w:ascii="Times New Roman" w:cs="Times New Roman" w:eastAsia="Times New Roman" w:hAnsi="Times New Roman"/>
                <w:b w:val="false"/>
                <w:bCs w:val="false"/>
                <w:i/>
                <w:iCs/>
                <w:color w:val="000000"/>
                <w:sz w:val="18"/>
                <w:szCs w:val="18"/>
              </w:rPr>
              <w:t xml:space="preserve">away_defencePressure</w:t>
            </w:r>
          </w:p>
        </w:tc>
        <w:tc>
          <w:tcPr>
            <w:tcW w:type="dxa" w:w="2600"/>
            <w:tcBorders>
              <w:top w:val="none" w:color="FFFFFF" w:sz="0"/>
              <w:left w:val="none" w:color="FFFFFF" w:sz="0"/>
              <w:bottom w:val="none" w:color="FFFFFF" w:sz="0"/>
              <w:right w:val="none" w:color="FFFFFF" w:sz="0"/>
            </w:tcBorders>
            <w:shd w:fill="FFFFFF" w:val="clear"/>
            <w:tcMar>
              <w:top w:type="dxa" w:w="60"/>
              <w:left w:type="dxa" w:w="100"/>
              <w:bottom w:type="dxa" w:w="60"/>
              <w:right w:type="dxa" w:w="100"/>
            </w:tcMar>
          </w:tcPr>
          <w:p>
            <w:pPr>
              <w:spacing w:after="40" w:before="40" w:line="240" w:lineRule="auto"/>
              <w:jc w:val="center"/>
            </w:pPr>
            <w:r>
              <w:rPr>
                <w:rFonts w:ascii="Times New Roman" w:cs="Times New Roman" w:eastAsia="Times New Roman" w:hAnsi="Times New Roman"/>
                <w:b w:val="false"/>
                <w:bCs w:val="false"/>
                <w:i w:val="false"/>
                <w:iCs w:val="false"/>
                <w:color w:val="000000"/>
                <w:sz w:val="18"/>
                <w:szCs w:val="18"/>
              </w:rPr>
              <w:t xml:space="preserve">0.0651</w:t>
            </w:r>
          </w:p>
        </w:tc>
      </w:tr>
      <w:tr>
        <w:tc>
          <w:tcPr>
            <w:tcW w:type="dxa" w:w="900"/>
            <w:tcBorders>
              <w:top w:val="none" w:color="FFFFFF" w:sz="0"/>
              <w:left w:val="none" w:color="FFFFFF" w:sz="0"/>
              <w:bottom w:val="none" w:color="FFFFFF" w:sz="0"/>
              <w:right w:val="none" w:color="FFFFFF" w:sz="0"/>
            </w:tcBorders>
            <w:shd w:fill="F2F2F2" w:val="clear"/>
            <w:tcMar>
              <w:top w:type="dxa" w:w="60"/>
              <w:left w:type="dxa" w:w="100"/>
              <w:bottom w:type="dxa" w:w="60"/>
              <w:right w:type="dxa" w:w="100"/>
            </w:tcMar>
          </w:tcPr>
          <w:p>
            <w:pPr>
              <w:spacing w:after="40" w:before="40" w:line="240" w:lineRule="auto"/>
              <w:jc w:val="center"/>
            </w:pPr>
            <w:r>
              <w:rPr>
                <w:rFonts w:ascii="Times New Roman" w:cs="Times New Roman" w:eastAsia="Times New Roman" w:hAnsi="Times New Roman"/>
                <w:b w:val="false"/>
                <w:bCs w:val="false"/>
                <w:i w:val="false"/>
                <w:iCs w:val="false"/>
                <w:color w:val="000000"/>
                <w:sz w:val="18"/>
                <w:szCs w:val="18"/>
              </w:rPr>
              <w:t xml:space="preserve">3</w:t>
            </w:r>
          </w:p>
        </w:tc>
        <w:tc>
          <w:tcPr>
            <w:tcW w:type="dxa" w:w="5526"/>
            <w:tcBorders>
              <w:top w:val="none" w:color="FFFFFF" w:sz="0"/>
              <w:left w:val="none" w:color="FFFFFF" w:sz="0"/>
              <w:bottom w:val="none" w:color="FFFFFF" w:sz="0"/>
              <w:right w:val="none" w:color="FFFFFF" w:sz="0"/>
            </w:tcBorders>
            <w:shd w:fill="F2F2F2" w:val="clear"/>
            <w:tcMar>
              <w:top w:type="dxa" w:w="60"/>
              <w:left w:type="dxa" w:w="100"/>
              <w:bottom w:type="dxa" w:w="60"/>
              <w:right w:type="dxa" w:w="100"/>
            </w:tcMar>
          </w:tcPr>
          <w:p>
            <w:pPr>
              <w:spacing w:after="40" w:before="40" w:line="240" w:lineRule="auto"/>
              <w:jc w:val="left"/>
            </w:pPr>
            <w:r>
              <w:rPr>
                <w:rFonts w:ascii="Times New Roman" w:cs="Times New Roman" w:eastAsia="Times New Roman" w:hAnsi="Times New Roman"/>
                <w:b w:val="false"/>
                <w:bCs w:val="false"/>
                <w:i/>
                <w:iCs/>
                <w:color w:val="000000"/>
                <w:sz w:val="18"/>
                <w:szCs w:val="18"/>
              </w:rPr>
              <w:t xml:space="preserve">home_buildUpPlayPassing</w:t>
            </w:r>
          </w:p>
        </w:tc>
        <w:tc>
          <w:tcPr>
            <w:tcW w:type="dxa" w:w="2600"/>
            <w:tcBorders>
              <w:top w:val="none" w:color="FFFFFF" w:sz="0"/>
              <w:left w:val="none" w:color="FFFFFF" w:sz="0"/>
              <w:bottom w:val="none" w:color="FFFFFF" w:sz="0"/>
              <w:right w:val="none" w:color="FFFFFF" w:sz="0"/>
            </w:tcBorders>
            <w:shd w:fill="F2F2F2" w:val="clear"/>
            <w:tcMar>
              <w:top w:type="dxa" w:w="60"/>
              <w:left w:type="dxa" w:w="100"/>
              <w:bottom w:type="dxa" w:w="60"/>
              <w:right w:type="dxa" w:w="100"/>
            </w:tcMar>
          </w:tcPr>
          <w:p>
            <w:pPr>
              <w:spacing w:after="40" w:before="40" w:line="240" w:lineRule="auto"/>
              <w:jc w:val="center"/>
            </w:pPr>
            <w:r>
              <w:rPr>
                <w:rFonts w:ascii="Times New Roman" w:cs="Times New Roman" w:eastAsia="Times New Roman" w:hAnsi="Times New Roman"/>
                <w:b w:val="false"/>
                <w:bCs w:val="false"/>
                <w:i w:val="false"/>
                <w:iCs w:val="false"/>
                <w:color w:val="000000"/>
                <w:sz w:val="18"/>
                <w:szCs w:val="18"/>
              </w:rPr>
              <w:t xml:space="preserve">0.0651</w:t>
            </w:r>
          </w:p>
        </w:tc>
      </w:tr>
      <w:tr>
        <w:tc>
          <w:tcPr>
            <w:tcW w:type="dxa" w:w="900"/>
            <w:tcBorders>
              <w:top w:val="none" w:color="FFFFFF" w:sz="0"/>
              <w:left w:val="none" w:color="FFFFFF" w:sz="0"/>
              <w:bottom w:val="none" w:color="FFFFFF" w:sz="0"/>
              <w:right w:val="none" w:color="FFFFFF" w:sz="0"/>
            </w:tcBorders>
            <w:shd w:fill="FFFFFF" w:val="clear"/>
            <w:tcMar>
              <w:top w:type="dxa" w:w="60"/>
              <w:left w:type="dxa" w:w="100"/>
              <w:bottom w:type="dxa" w:w="60"/>
              <w:right w:type="dxa" w:w="100"/>
            </w:tcMar>
          </w:tcPr>
          <w:p>
            <w:pPr>
              <w:spacing w:after="40" w:before="40" w:line="240" w:lineRule="auto"/>
              <w:jc w:val="center"/>
            </w:pPr>
            <w:r>
              <w:rPr>
                <w:rFonts w:ascii="Times New Roman" w:cs="Times New Roman" w:eastAsia="Times New Roman" w:hAnsi="Times New Roman"/>
                <w:b w:val="false"/>
                <w:bCs w:val="false"/>
                <w:i w:val="false"/>
                <w:iCs w:val="false"/>
                <w:color w:val="000000"/>
                <w:sz w:val="18"/>
                <w:szCs w:val="18"/>
              </w:rPr>
              <w:t xml:space="preserve">4</w:t>
            </w:r>
          </w:p>
        </w:tc>
        <w:tc>
          <w:tcPr>
            <w:tcW w:type="dxa" w:w="5526"/>
            <w:tcBorders>
              <w:top w:val="none" w:color="FFFFFF" w:sz="0"/>
              <w:left w:val="none" w:color="FFFFFF" w:sz="0"/>
              <w:bottom w:val="none" w:color="FFFFFF" w:sz="0"/>
              <w:right w:val="none" w:color="FFFFFF" w:sz="0"/>
            </w:tcBorders>
            <w:shd w:fill="FFFFFF" w:val="clear"/>
            <w:tcMar>
              <w:top w:type="dxa" w:w="60"/>
              <w:left w:type="dxa" w:w="100"/>
              <w:bottom w:type="dxa" w:w="60"/>
              <w:right w:type="dxa" w:w="100"/>
            </w:tcMar>
          </w:tcPr>
          <w:p>
            <w:pPr>
              <w:spacing w:after="40" w:before="40" w:line="240" w:lineRule="auto"/>
              <w:jc w:val="left"/>
            </w:pPr>
            <w:r>
              <w:rPr>
                <w:rFonts w:ascii="Times New Roman" w:cs="Times New Roman" w:eastAsia="Times New Roman" w:hAnsi="Times New Roman"/>
                <w:b w:val="false"/>
                <w:bCs w:val="false"/>
                <w:i/>
                <w:iCs/>
                <w:color w:val="000000"/>
                <w:sz w:val="18"/>
                <w:szCs w:val="18"/>
              </w:rPr>
              <w:t xml:space="preserve">home_chanceCreationShooting</w:t>
            </w:r>
          </w:p>
        </w:tc>
        <w:tc>
          <w:tcPr>
            <w:tcW w:type="dxa" w:w="2600"/>
            <w:tcBorders>
              <w:top w:val="none" w:color="FFFFFF" w:sz="0"/>
              <w:left w:val="none" w:color="FFFFFF" w:sz="0"/>
              <w:bottom w:val="none" w:color="FFFFFF" w:sz="0"/>
              <w:right w:val="none" w:color="FFFFFF" w:sz="0"/>
            </w:tcBorders>
            <w:shd w:fill="FFFFFF" w:val="clear"/>
            <w:tcMar>
              <w:top w:type="dxa" w:w="60"/>
              <w:left w:type="dxa" w:w="100"/>
              <w:bottom w:type="dxa" w:w="60"/>
              <w:right w:type="dxa" w:w="100"/>
            </w:tcMar>
          </w:tcPr>
          <w:p>
            <w:pPr>
              <w:spacing w:after="40" w:before="40" w:line="240" w:lineRule="auto"/>
              <w:jc w:val="center"/>
            </w:pPr>
            <w:r>
              <w:rPr>
                <w:rFonts w:ascii="Times New Roman" w:cs="Times New Roman" w:eastAsia="Times New Roman" w:hAnsi="Times New Roman"/>
                <w:b w:val="false"/>
                <w:bCs w:val="false"/>
                <w:i w:val="false"/>
                <w:iCs w:val="false"/>
                <w:color w:val="000000"/>
                <w:sz w:val="18"/>
                <w:szCs w:val="18"/>
              </w:rPr>
              <w:t xml:space="preserve">0.0615</w:t>
            </w:r>
          </w:p>
        </w:tc>
      </w:tr>
      <w:tr>
        <w:tc>
          <w:tcPr>
            <w:tcW w:type="dxa" w:w="900"/>
            <w:tcBorders>
              <w:top w:val="none" w:color="FFFFFF" w:sz="0"/>
              <w:left w:val="none" w:color="FFFFFF" w:sz="0"/>
              <w:bottom w:val="none" w:color="FFFFFF" w:sz="0"/>
              <w:right w:val="none" w:color="FFFFFF" w:sz="0"/>
            </w:tcBorders>
            <w:shd w:fill="F2F2F2" w:val="clear"/>
            <w:tcMar>
              <w:top w:type="dxa" w:w="60"/>
              <w:left w:type="dxa" w:w="100"/>
              <w:bottom w:type="dxa" w:w="60"/>
              <w:right w:type="dxa" w:w="100"/>
            </w:tcMar>
          </w:tcPr>
          <w:p>
            <w:pPr>
              <w:spacing w:after="40" w:before="40" w:line="240" w:lineRule="auto"/>
              <w:jc w:val="center"/>
            </w:pPr>
            <w:r>
              <w:rPr>
                <w:rFonts w:ascii="Times New Roman" w:cs="Times New Roman" w:eastAsia="Times New Roman" w:hAnsi="Times New Roman"/>
                <w:b w:val="false"/>
                <w:bCs w:val="false"/>
                <w:i w:val="false"/>
                <w:iCs w:val="false"/>
                <w:color w:val="000000"/>
                <w:sz w:val="18"/>
                <w:szCs w:val="18"/>
              </w:rPr>
              <w:t xml:space="preserve">5</w:t>
            </w:r>
          </w:p>
        </w:tc>
        <w:tc>
          <w:tcPr>
            <w:tcW w:type="dxa" w:w="5526"/>
            <w:tcBorders>
              <w:top w:val="none" w:color="FFFFFF" w:sz="0"/>
              <w:left w:val="none" w:color="FFFFFF" w:sz="0"/>
              <w:bottom w:val="none" w:color="FFFFFF" w:sz="0"/>
              <w:right w:val="none" w:color="FFFFFF" w:sz="0"/>
            </w:tcBorders>
            <w:shd w:fill="F2F2F2" w:val="clear"/>
            <w:tcMar>
              <w:top w:type="dxa" w:w="60"/>
              <w:left w:type="dxa" w:w="100"/>
              <w:bottom w:type="dxa" w:w="60"/>
              <w:right w:type="dxa" w:w="100"/>
            </w:tcMar>
          </w:tcPr>
          <w:p>
            <w:pPr>
              <w:spacing w:after="40" w:before="40" w:line="240" w:lineRule="auto"/>
              <w:jc w:val="left"/>
            </w:pPr>
            <w:r>
              <w:rPr>
                <w:rFonts w:ascii="Times New Roman" w:cs="Times New Roman" w:eastAsia="Times New Roman" w:hAnsi="Times New Roman"/>
                <w:b w:val="false"/>
                <w:bCs w:val="false"/>
                <w:i/>
                <w:iCs/>
                <w:color w:val="000000"/>
                <w:sz w:val="18"/>
                <w:szCs w:val="18"/>
              </w:rPr>
              <w:t xml:space="preserve">away_chanceCreationShooting</w:t>
            </w:r>
          </w:p>
        </w:tc>
        <w:tc>
          <w:tcPr>
            <w:tcW w:type="dxa" w:w="2600"/>
            <w:tcBorders>
              <w:top w:val="none" w:color="FFFFFF" w:sz="0"/>
              <w:left w:val="none" w:color="FFFFFF" w:sz="0"/>
              <w:bottom w:val="none" w:color="FFFFFF" w:sz="0"/>
              <w:right w:val="none" w:color="FFFFFF" w:sz="0"/>
            </w:tcBorders>
            <w:shd w:fill="F2F2F2" w:val="clear"/>
            <w:tcMar>
              <w:top w:type="dxa" w:w="60"/>
              <w:left w:type="dxa" w:w="100"/>
              <w:bottom w:type="dxa" w:w="60"/>
              <w:right w:type="dxa" w:w="100"/>
            </w:tcMar>
          </w:tcPr>
          <w:p>
            <w:pPr>
              <w:spacing w:after="40" w:before="40" w:line="240" w:lineRule="auto"/>
              <w:jc w:val="center"/>
            </w:pPr>
            <w:r>
              <w:rPr>
                <w:rFonts w:ascii="Times New Roman" w:cs="Times New Roman" w:eastAsia="Times New Roman" w:hAnsi="Times New Roman"/>
                <w:b w:val="false"/>
                <w:bCs w:val="false"/>
                <w:i w:val="false"/>
                <w:iCs w:val="false"/>
                <w:color w:val="000000"/>
                <w:sz w:val="18"/>
                <w:szCs w:val="18"/>
              </w:rPr>
              <w:t xml:space="preserve">0.0613</w:t>
            </w:r>
          </w:p>
        </w:tc>
      </w:tr>
      <w:tr>
        <w:tc>
          <w:tcPr>
            <w:tcW w:type="dxa" w:w="900"/>
            <w:tcBorders>
              <w:top w:val="none" w:color="FFFFFF" w:sz="0"/>
              <w:left w:val="none" w:color="FFFFFF" w:sz="0"/>
              <w:bottom w:val="none" w:color="FFFFFF" w:sz="0"/>
              <w:right w:val="none" w:color="FFFFFF" w:sz="0"/>
            </w:tcBorders>
            <w:shd w:fill="FFFFFF" w:val="clear"/>
            <w:tcMar>
              <w:top w:type="dxa" w:w="60"/>
              <w:left w:type="dxa" w:w="100"/>
              <w:bottom w:type="dxa" w:w="60"/>
              <w:right w:type="dxa" w:w="100"/>
            </w:tcMar>
          </w:tcPr>
          <w:p>
            <w:pPr>
              <w:spacing w:after="40" w:before="40" w:line="240" w:lineRule="auto"/>
              <w:jc w:val="center"/>
            </w:pPr>
            <w:r>
              <w:rPr>
                <w:rFonts w:ascii="Times New Roman" w:cs="Times New Roman" w:eastAsia="Times New Roman" w:hAnsi="Times New Roman"/>
                <w:b w:val="false"/>
                <w:bCs w:val="false"/>
                <w:i w:val="false"/>
                <w:iCs w:val="false"/>
                <w:color w:val="000000"/>
                <w:sz w:val="18"/>
                <w:szCs w:val="18"/>
              </w:rPr>
              <w:t xml:space="preserve">6</w:t>
            </w:r>
          </w:p>
        </w:tc>
        <w:tc>
          <w:tcPr>
            <w:tcW w:type="dxa" w:w="5526"/>
            <w:tcBorders>
              <w:top w:val="none" w:color="FFFFFF" w:sz="0"/>
              <w:left w:val="none" w:color="FFFFFF" w:sz="0"/>
              <w:bottom w:val="none" w:color="FFFFFF" w:sz="0"/>
              <w:right w:val="none" w:color="FFFFFF" w:sz="0"/>
            </w:tcBorders>
            <w:shd w:fill="FFFFFF" w:val="clear"/>
            <w:tcMar>
              <w:top w:type="dxa" w:w="60"/>
              <w:left w:type="dxa" w:w="100"/>
              <w:bottom w:type="dxa" w:w="60"/>
              <w:right w:type="dxa" w:w="100"/>
            </w:tcMar>
          </w:tcPr>
          <w:p>
            <w:pPr>
              <w:spacing w:after="40" w:before="40" w:line="240" w:lineRule="auto"/>
              <w:jc w:val="left"/>
            </w:pPr>
            <w:r>
              <w:rPr>
                <w:rFonts w:ascii="Times New Roman" w:cs="Times New Roman" w:eastAsia="Times New Roman" w:hAnsi="Times New Roman"/>
                <w:b w:val="false"/>
                <w:bCs w:val="false"/>
                <w:i/>
                <w:iCs/>
                <w:color w:val="000000"/>
                <w:sz w:val="18"/>
                <w:szCs w:val="18"/>
              </w:rPr>
              <w:t xml:space="preserve">home_chanceCreationCrossing</w:t>
            </w:r>
          </w:p>
        </w:tc>
        <w:tc>
          <w:tcPr>
            <w:tcW w:type="dxa" w:w="2600"/>
            <w:tcBorders>
              <w:top w:val="none" w:color="FFFFFF" w:sz="0"/>
              <w:left w:val="none" w:color="FFFFFF" w:sz="0"/>
              <w:bottom w:val="none" w:color="FFFFFF" w:sz="0"/>
              <w:right w:val="none" w:color="FFFFFF" w:sz="0"/>
            </w:tcBorders>
            <w:shd w:fill="FFFFFF" w:val="clear"/>
            <w:tcMar>
              <w:top w:type="dxa" w:w="60"/>
              <w:left w:type="dxa" w:w="100"/>
              <w:bottom w:type="dxa" w:w="60"/>
              <w:right w:type="dxa" w:w="100"/>
            </w:tcMar>
          </w:tcPr>
          <w:p>
            <w:pPr>
              <w:spacing w:after="40" w:before="40" w:line="240" w:lineRule="auto"/>
              <w:jc w:val="center"/>
            </w:pPr>
            <w:r>
              <w:rPr>
                <w:rFonts w:ascii="Times New Roman" w:cs="Times New Roman" w:eastAsia="Times New Roman" w:hAnsi="Times New Roman"/>
                <w:b w:val="false"/>
                <w:bCs w:val="false"/>
                <w:i w:val="false"/>
                <w:iCs w:val="false"/>
                <w:color w:val="000000"/>
                <w:sz w:val="18"/>
                <w:szCs w:val="18"/>
              </w:rPr>
              <w:t xml:space="preserve">0.0612</w:t>
            </w:r>
          </w:p>
        </w:tc>
      </w:tr>
      <w:tr>
        <w:tc>
          <w:tcPr>
            <w:tcW w:type="dxa" w:w="900"/>
            <w:tcBorders>
              <w:top w:val="none" w:color="FFFFFF" w:sz="0"/>
              <w:left w:val="none" w:color="FFFFFF" w:sz="0"/>
              <w:bottom w:val="none" w:color="FFFFFF" w:sz="0"/>
              <w:right w:val="none" w:color="FFFFFF" w:sz="0"/>
            </w:tcBorders>
            <w:shd w:fill="F2F2F2" w:val="clear"/>
            <w:tcMar>
              <w:top w:type="dxa" w:w="60"/>
              <w:left w:type="dxa" w:w="100"/>
              <w:bottom w:type="dxa" w:w="60"/>
              <w:right w:type="dxa" w:w="100"/>
            </w:tcMar>
          </w:tcPr>
          <w:p>
            <w:pPr>
              <w:spacing w:after="40" w:before="40" w:line="240" w:lineRule="auto"/>
              <w:jc w:val="center"/>
            </w:pPr>
            <w:r>
              <w:rPr>
                <w:rFonts w:ascii="Times New Roman" w:cs="Times New Roman" w:eastAsia="Times New Roman" w:hAnsi="Times New Roman"/>
                <w:b w:val="false"/>
                <w:bCs w:val="false"/>
                <w:i w:val="false"/>
                <w:iCs w:val="false"/>
                <w:color w:val="000000"/>
                <w:sz w:val="18"/>
                <w:szCs w:val="18"/>
              </w:rPr>
              <w:t xml:space="preserve">7</w:t>
            </w:r>
          </w:p>
        </w:tc>
        <w:tc>
          <w:tcPr>
            <w:tcW w:type="dxa" w:w="5526"/>
            <w:tcBorders>
              <w:top w:val="none" w:color="FFFFFF" w:sz="0"/>
              <w:left w:val="none" w:color="FFFFFF" w:sz="0"/>
              <w:bottom w:val="none" w:color="FFFFFF" w:sz="0"/>
              <w:right w:val="none" w:color="FFFFFF" w:sz="0"/>
            </w:tcBorders>
            <w:shd w:fill="F2F2F2" w:val="clear"/>
            <w:tcMar>
              <w:top w:type="dxa" w:w="60"/>
              <w:left w:type="dxa" w:w="100"/>
              <w:bottom w:type="dxa" w:w="60"/>
              <w:right w:type="dxa" w:w="100"/>
            </w:tcMar>
          </w:tcPr>
          <w:p>
            <w:pPr>
              <w:spacing w:after="40" w:before="40" w:line="240" w:lineRule="auto"/>
              <w:jc w:val="left"/>
            </w:pPr>
            <w:r>
              <w:rPr>
                <w:rFonts w:ascii="Times New Roman" w:cs="Times New Roman" w:eastAsia="Times New Roman" w:hAnsi="Times New Roman"/>
                <w:b w:val="false"/>
                <w:bCs w:val="false"/>
                <w:i/>
                <w:iCs/>
                <w:color w:val="000000"/>
                <w:sz w:val="18"/>
                <w:szCs w:val="18"/>
              </w:rPr>
              <w:t xml:space="preserve">away_buildUpPlayPassing</w:t>
            </w:r>
          </w:p>
        </w:tc>
        <w:tc>
          <w:tcPr>
            <w:tcW w:type="dxa" w:w="2600"/>
            <w:tcBorders>
              <w:top w:val="none" w:color="FFFFFF" w:sz="0"/>
              <w:left w:val="none" w:color="FFFFFF" w:sz="0"/>
              <w:bottom w:val="none" w:color="FFFFFF" w:sz="0"/>
              <w:right w:val="none" w:color="FFFFFF" w:sz="0"/>
            </w:tcBorders>
            <w:shd w:fill="F2F2F2" w:val="clear"/>
            <w:tcMar>
              <w:top w:type="dxa" w:w="60"/>
              <w:left w:type="dxa" w:w="100"/>
              <w:bottom w:type="dxa" w:w="60"/>
              <w:right w:type="dxa" w:w="100"/>
            </w:tcMar>
          </w:tcPr>
          <w:p>
            <w:pPr>
              <w:spacing w:after="40" w:before="40" w:line="240" w:lineRule="auto"/>
              <w:jc w:val="center"/>
            </w:pPr>
            <w:r>
              <w:rPr>
                <w:rFonts w:ascii="Times New Roman" w:cs="Times New Roman" w:eastAsia="Times New Roman" w:hAnsi="Times New Roman"/>
                <w:b w:val="false"/>
                <w:bCs w:val="false"/>
                <w:i w:val="false"/>
                <w:iCs w:val="false"/>
                <w:color w:val="000000"/>
                <w:sz w:val="18"/>
                <w:szCs w:val="18"/>
              </w:rPr>
              <w:t xml:space="preserve">0.0610</w:t>
            </w:r>
          </w:p>
        </w:tc>
      </w:tr>
      <w:tr>
        <w:tc>
          <w:tcPr>
            <w:tcW w:type="dxa" w:w="900"/>
            <w:tcBorders>
              <w:top w:val="none" w:color="FFFFFF" w:sz="0"/>
              <w:left w:val="none" w:color="FFFFFF" w:sz="0"/>
              <w:bottom w:val="none" w:color="FFFFFF" w:sz="0"/>
              <w:right w:val="none" w:color="FFFFFF" w:sz="0"/>
            </w:tcBorders>
            <w:shd w:fill="FFFFFF" w:val="clear"/>
            <w:tcMar>
              <w:top w:type="dxa" w:w="60"/>
              <w:left w:type="dxa" w:w="100"/>
              <w:bottom w:type="dxa" w:w="60"/>
              <w:right w:type="dxa" w:w="100"/>
            </w:tcMar>
          </w:tcPr>
          <w:p>
            <w:pPr>
              <w:spacing w:after="40" w:before="40" w:line="240" w:lineRule="auto"/>
              <w:jc w:val="center"/>
            </w:pPr>
            <w:r>
              <w:rPr>
                <w:rFonts w:ascii="Times New Roman" w:cs="Times New Roman" w:eastAsia="Times New Roman" w:hAnsi="Times New Roman"/>
                <w:b w:val="false"/>
                <w:bCs w:val="false"/>
                <w:i w:val="false"/>
                <w:iCs w:val="false"/>
                <w:color w:val="000000"/>
                <w:sz w:val="18"/>
                <w:szCs w:val="18"/>
              </w:rPr>
              <w:t xml:space="preserve">8</w:t>
            </w:r>
          </w:p>
        </w:tc>
        <w:tc>
          <w:tcPr>
            <w:tcW w:type="dxa" w:w="5526"/>
            <w:tcBorders>
              <w:top w:val="none" w:color="FFFFFF" w:sz="0"/>
              <w:left w:val="none" w:color="FFFFFF" w:sz="0"/>
              <w:bottom w:val="none" w:color="FFFFFF" w:sz="0"/>
              <w:right w:val="none" w:color="FFFFFF" w:sz="0"/>
            </w:tcBorders>
            <w:shd w:fill="FFFFFF" w:val="clear"/>
            <w:tcMar>
              <w:top w:type="dxa" w:w="60"/>
              <w:left w:type="dxa" w:w="100"/>
              <w:bottom w:type="dxa" w:w="60"/>
              <w:right w:type="dxa" w:w="100"/>
            </w:tcMar>
          </w:tcPr>
          <w:p>
            <w:pPr>
              <w:spacing w:after="40" w:before="40" w:line="240" w:lineRule="auto"/>
              <w:jc w:val="left"/>
            </w:pPr>
            <w:r>
              <w:rPr>
                <w:rFonts w:ascii="Times New Roman" w:cs="Times New Roman" w:eastAsia="Times New Roman" w:hAnsi="Times New Roman"/>
                <w:b w:val="false"/>
                <w:bCs w:val="false"/>
                <w:i/>
                <w:iCs/>
                <w:color w:val="000000"/>
                <w:sz w:val="18"/>
                <w:szCs w:val="18"/>
              </w:rPr>
              <w:t xml:space="preserve">away_chanceCreationCrossing</w:t>
            </w:r>
          </w:p>
        </w:tc>
        <w:tc>
          <w:tcPr>
            <w:tcW w:type="dxa" w:w="2600"/>
            <w:tcBorders>
              <w:top w:val="none" w:color="FFFFFF" w:sz="0"/>
              <w:left w:val="none" w:color="FFFFFF" w:sz="0"/>
              <w:bottom w:val="none" w:color="FFFFFF" w:sz="0"/>
              <w:right w:val="none" w:color="FFFFFF" w:sz="0"/>
            </w:tcBorders>
            <w:shd w:fill="FFFFFF" w:val="clear"/>
            <w:tcMar>
              <w:top w:type="dxa" w:w="60"/>
              <w:left w:type="dxa" w:w="100"/>
              <w:bottom w:type="dxa" w:w="60"/>
              <w:right w:type="dxa" w:w="100"/>
            </w:tcMar>
          </w:tcPr>
          <w:p>
            <w:pPr>
              <w:spacing w:after="40" w:before="40" w:line="240" w:lineRule="auto"/>
              <w:jc w:val="center"/>
            </w:pPr>
            <w:r>
              <w:rPr>
                <w:rFonts w:ascii="Times New Roman" w:cs="Times New Roman" w:eastAsia="Times New Roman" w:hAnsi="Times New Roman"/>
                <w:b w:val="false"/>
                <w:bCs w:val="false"/>
                <w:i w:val="false"/>
                <w:iCs w:val="false"/>
                <w:color w:val="000000"/>
                <w:sz w:val="18"/>
                <w:szCs w:val="18"/>
              </w:rPr>
              <w:t xml:space="preserve">0.0609</w:t>
            </w:r>
          </w:p>
        </w:tc>
      </w:tr>
      <w:tr>
        <w:tc>
          <w:tcPr>
            <w:tcW w:type="dxa" w:w="900"/>
            <w:tcBorders>
              <w:top w:val="none" w:color="FFFFFF" w:sz="0"/>
              <w:left w:val="none" w:color="FFFFFF" w:sz="0"/>
              <w:bottom w:val="none" w:color="FFFFFF" w:sz="0"/>
              <w:right w:val="none" w:color="FFFFFF" w:sz="0"/>
            </w:tcBorders>
            <w:shd w:fill="F2F2F2" w:val="clear"/>
            <w:tcMar>
              <w:top w:type="dxa" w:w="60"/>
              <w:left w:type="dxa" w:w="100"/>
              <w:bottom w:type="dxa" w:w="60"/>
              <w:right w:type="dxa" w:w="100"/>
            </w:tcMar>
          </w:tcPr>
          <w:p>
            <w:pPr>
              <w:spacing w:after="40" w:before="40" w:line="240" w:lineRule="auto"/>
              <w:jc w:val="center"/>
            </w:pPr>
            <w:r>
              <w:rPr>
                <w:rFonts w:ascii="Times New Roman" w:cs="Times New Roman" w:eastAsia="Times New Roman" w:hAnsi="Times New Roman"/>
                <w:b w:val="false"/>
                <w:bCs w:val="false"/>
                <w:i w:val="false"/>
                <w:iCs w:val="false"/>
                <w:color w:val="000000"/>
                <w:sz w:val="18"/>
                <w:szCs w:val="18"/>
              </w:rPr>
              <w:t xml:space="preserve">9</w:t>
            </w:r>
          </w:p>
        </w:tc>
        <w:tc>
          <w:tcPr>
            <w:tcW w:type="dxa" w:w="5526"/>
            <w:tcBorders>
              <w:top w:val="none" w:color="FFFFFF" w:sz="0"/>
              <w:left w:val="none" w:color="FFFFFF" w:sz="0"/>
              <w:bottom w:val="none" w:color="FFFFFF" w:sz="0"/>
              <w:right w:val="none" w:color="FFFFFF" w:sz="0"/>
            </w:tcBorders>
            <w:shd w:fill="F2F2F2" w:val="clear"/>
            <w:tcMar>
              <w:top w:type="dxa" w:w="60"/>
              <w:left w:type="dxa" w:w="100"/>
              <w:bottom w:type="dxa" w:w="60"/>
              <w:right w:type="dxa" w:w="100"/>
            </w:tcMar>
          </w:tcPr>
          <w:p>
            <w:pPr>
              <w:spacing w:after="40" w:before="40" w:line="240" w:lineRule="auto"/>
              <w:jc w:val="left"/>
            </w:pPr>
            <w:r>
              <w:rPr>
                <w:rFonts w:ascii="Times New Roman" w:cs="Times New Roman" w:eastAsia="Times New Roman" w:hAnsi="Times New Roman"/>
                <w:b w:val="false"/>
                <w:bCs w:val="false"/>
                <w:i/>
                <w:iCs/>
                <w:color w:val="000000"/>
                <w:sz w:val="18"/>
                <w:szCs w:val="18"/>
              </w:rPr>
              <w:t xml:space="preserve">home_chanceCreationPassing</w:t>
            </w:r>
          </w:p>
        </w:tc>
        <w:tc>
          <w:tcPr>
            <w:tcW w:type="dxa" w:w="2600"/>
            <w:tcBorders>
              <w:top w:val="none" w:color="FFFFFF" w:sz="0"/>
              <w:left w:val="none" w:color="FFFFFF" w:sz="0"/>
              <w:bottom w:val="none" w:color="FFFFFF" w:sz="0"/>
              <w:right w:val="none" w:color="FFFFFF" w:sz="0"/>
            </w:tcBorders>
            <w:shd w:fill="F2F2F2" w:val="clear"/>
            <w:tcMar>
              <w:top w:type="dxa" w:w="60"/>
              <w:left w:type="dxa" w:w="100"/>
              <w:bottom w:type="dxa" w:w="60"/>
              <w:right w:type="dxa" w:w="100"/>
            </w:tcMar>
          </w:tcPr>
          <w:p>
            <w:pPr>
              <w:spacing w:after="40" w:before="40" w:line="240" w:lineRule="auto"/>
              <w:jc w:val="center"/>
            </w:pPr>
            <w:r>
              <w:rPr>
                <w:rFonts w:ascii="Times New Roman" w:cs="Times New Roman" w:eastAsia="Times New Roman" w:hAnsi="Times New Roman"/>
                <w:b w:val="false"/>
                <w:bCs w:val="false"/>
                <w:i w:val="false"/>
                <w:iCs w:val="false"/>
                <w:color w:val="000000"/>
                <w:sz w:val="18"/>
                <w:szCs w:val="18"/>
              </w:rPr>
              <w:t xml:space="preserve">0.0587</w:t>
            </w:r>
          </w:p>
        </w:tc>
      </w:tr>
      <w:tr>
        <w:tc>
          <w:tcPr>
            <w:tcW w:type="dxa" w:w="900"/>
            <w:tcBorders>
              <w:top w:val="none" w:color="FFFFFF" w:sz="0"/>
              <w:left w:val="none" w:color="FFFFFF" w:sz="0"/>
              <w:bottom w:val="none" w:color="FFFFFF" w:sz="0"/>
              <w:right w:val="none" w:color="FFFFFF" w:sz="0"/>
            </w:tcBorders>
            <w:shd w:fill="FFFFFF" w:val="clear"/>
            <w:tcMar>
              <w:top w:type="dxa" w:w="60"/>
              <w:left w:type="dxa" w:w="100"/>
              <w:bottom w:type="dxa" w:w="60"/>
              <w:right w:type="dxa" w:w="100"/>
            </w:tcMar>
          </w:tcPr>
          <w:p>
            <w:pPr>
              <w:spacing w:after="40" w:before="40" w:line="240" w:lineRule="auto"/>
              <w:jc w:val="center"/>
            </w:pPr>
            <w:r>
              <w:rPr>
                <w:rFonts w:ascii="Times New Roman" w:cs="Times New Roman" w:eastAsia="Times New Roman" w:hAnsi="Times New Roman"/>
                <w:b w:val="false"/>
                <w:bCs w:val="false"/>
                <w:i w:val="false"/>
                <w:iCs w:val="false"/>
                <w:color w:val="000000"/>
                <w:sz w:val="18"/>
                <w:szCs w:val="18"/>
              </w:rPr>
              <w:t xml:space="preserve">10</w:t>
            </w:r>
          </w:p>
        </w:tc>
        <w:tc>
          <w:tcPr>
            <w:tcW w:type="dxa" w:w="5526"/>
            <w:tcBorders>
              <w:top w:val="none" w:color="FFFFFF" w:sz="0"/>
              <w:left w:val="none" w:color="FFFFFF" w:sz="0"/>
              <w:bottom w:val="none" w:color="FFFFFF" w:sz="0"/>
              <w:right w:val="none" w:color="FFFFFF" w:sz="0"/>
            </w:tcBorders>
            <w:shd w:fill="FFFFFF" w:val="clear"/>
            <w:tcMar>
              <w:top w:type="dxa" w:w="60"/>
              <w:left w:type="dxa" w:w="100"/>
              <w:bottom w:type="dxa" w:w="60"/>
              <w:right w:type="dxa" w:w="100"/>
            </w:tcMar>
          </w:tcPr>
          <w:p>
            <w:pPr>
              <w:spacing w:after="40" w:before="40" w:line="240" w:lineRule="auto"/>
              <w:jc w:val="left"/>
            </w:pPr>
            <w:r>
              <w:rPr>
                <w:rFonts w:ascii="Times New Roman" w:cs="Times New Roman" w:eastAsia="Times New Roman" w:hAnsi="Times New Roman"/>
                <w:b w:val="false"/>
                <w:bCs w:val="false"/>
                <w:i/>
                <w:iCs/>
                <w:color w:val="000000"/>
                <w:sz w:val="18"/>
                <w:szCs w:val="18"/>
              </w:rPr>
              <w:t xml:space="preserve">away_chanceCreationPassing</w:t>
            </w:r>
          </w:p>
        </w:tc>
        <w:tc>
          <w:tcPr>
            <w:tcW w:type="dxa" w:w="2600"/>
            <w:tcBorders>
              <w:top w:val="none" w:color="FFFFFF" w:sz="0"/>
              <w:left w:val="none" w:color="FFFFFF" w:sz="0"/>
              <w:bottom w:val="none" w:color="FFFFFF" w:sz="0"/>
              <w:right w:val="none" w:color="FFFFFF" w:sz="0"/>
            </w:tcBorders>
            <w:shd w:fill="FFFFFF" w:val="clear"/>
            <w:tcMar>
              <w:top w:type="dxa" w:w="60"/>
              <w:left w:type="dxa" w:w="100"/>
              <w:bottom w:type="dxa" w:w="60"/>
              <w:right w:type="dxa" w:w="100"/>
            </w:tcMar>
          </w:tcPr>
          <w:p>
            <w:pPr>
              <w:spacing w:after="40" w:before="40" w:line="240" w:lineRule="auto"/>
              <w:jc w:val="center"/>
            </w:pPr>
            <w:r>
              <w:rPr>
                <w:rFonts w:ascii="Times New Roman" w:cs="Times New Roman" w:eastAsia="Times New Roman" w:hAnsi="Times New Roman"/>
                <w:b w:val="false"/>
                <w:bCs w:val="false"/>
                <w:i w:val="false"/>
                <w:iCs w:val="false"/>
                <w:color w:val="000000"/>
                <w:sz w:val="18"/>
                <w:szCs w:val="18"/>
              </w:rPr>
              <w:t xml:space="preserve">0.0582</w:t>
            </w:r>
          </w:p>
        </w:tc>
      </w:tr>
      <w:tr>
        <w:tc>
          <w:tcPr>
            <w:tcW w:type="dxa" w:w="9026"/>
            <w:gridSpan w:val="3"/>
            <w:tcBorders>
              <w:top w:val="single" w:color="000000" w:sz="8"/>
              <w:left w:val="none" w:color="FFFFFF" w:sz="0"/>
              <w:bottom w:val="none" w:color="FFFFFF" w:sz="0"/>
              <w:right w:val="none" w:color="FFFFFF" w:sz="0"/>
            </w:tcBorders>
            <w:tcMar>
              <w:top w:type="dxa" w:w="0"/>
              <w:left w:type="dxa" w:w="0"/>
              <w:bottom w:type="dxa" w:w="0"/>
              <w:right w:type="dxa" w:w="0"/>
            </w:tcMar>
          </w:tcPr>
          <w:p>
            <w:pPr>
              <w:spacing w:after="40" w:before="40" w:line="240" w:lineRule="auto"/>
              <w:jc w:val="center"/>
            </w:pPr>
            <w:r>
              <w:rPr>
                <w:rFonts w:ascii="Times New Roman" w:cs="Times New Roman" w:eastAsia="Times New Roman" w:hAnsi="Times New Roman"/>
                <w:b w:val="false"/>
                <w:bCs w:val="false"/>
                <w:i w:val="false"/>
                <w:iCs w:val="false"/>
                <w:color w:val="000000"/>
                <w:sz w:val="20"/>
                <w:szCs w:val="20"/>
              </w:rPr>
              <w:t xml:space="preserve"/>
            </w:r>
          </w:p>
        </w:tc>
      </w:tr>
    </w:tbl>
    <w:p>
      <w:pPr>
        <w:spacing w:after="80" w:before="120" w:line="240" w:lineRule="auto"/>
        <w:ind w:firstLine="720"/>
        <w:jc w:val="both"/>
      </w:pPr>
      <w:r>
        <w:rPr>
          <w:rFonts w:ascii="Times New Roman" w:cs="Times New Roman" w:eastAsia="Times New Roman" w:hAnsi="Times New Roman"/>
          <w:b w:val="false"/>
          <w:bCs w:val="false"/>
          <w:i w:val="false"/>
          <w:iCs w:val="false"/>
          <w:color w:val="000000"/>
          <w:sz w:val="20"/>
          <w:szCs w:val="20"/>
        </w:rPr>
        <w:t xml:space="preserve">The results indicate that home_defencePressure (0.0667) and away_defencePressure (0.0651) are the two most important features, followed by home_buildUpPlayPassing (0.0651). The prominence of defensive pressure attributes from both home and away teams suggests that a team's defensive intensity is a critical determinant of match outcomes. This is consistent with the findings of Moustakidis et al. [8], who identified defensive and possession-related indicators as primary contributors to team performance prediction.</w:t>
      </w:r>
    </w:p>
    <w:p>
      <w:pPr>
        <w:spacing w:after="80" w:before="0" w:line="240" w:lineRule="auto"/>
        <w:ind w:firstLine="720"/>
        <w:jc w:val="both"/>
      </w:pPr>
      <w:r>
        <w:rPr>
          <w:rFonts w:ascii="Times New Roman" w:cs="Times New Roman" w:eastAsia="Times New Roman" w:hAnsi="Times New Roman"/>
          <w:b w:val="false"/>
          <w:bCs w:val="false"/>
          <w:i w:val="false"/>
          <w:iCs w:val="false"/>
          <w:color w:val="000000"/>
          <w:sz w:val="20"/>
          <w:szCs w:val="20"/>
        </w:rPr>
        <w:t xml:space="preserve">Notably, buildUpPlayDribbling ranked lowest for both home (0.0277) and away (0.0293) teams, indicating that dribbling tendency in build-up play is the least influential tactical attribute in this context. The relatively uniform importance score distribution (0.051–0.067) suggests the model captures a holistic tactical picture rather than depending on any single dominant feature.</w:t>
      </w:r>
    </w:p>
    <w:p>
      <w:pPr>
        <w:spacing w:after="40" w:before="80" w:line="240" w:lineRule="auto"/>
        <w:jc w:val="both"/>
      </w:pPr>
      <w:r>
        <w:rPr>
          <w:rFonts w:ascii="Times New Roman" w:cs="Times New Roman" w:eastAsia="Times New Roman" w:hAnsi="Times New Roman"/>
          <w:b/>
          <w:bCs/>
          <w:i w:val="false"/>
          <w:iCs w:val="false"/>
          <w:color w:val="000000"/>
          <w:sz w:val="20"/>
          <w:szCs w:val="20"/>
        </w:rPr>
        <w:t xml:space="preserve">3.3 SHAP Analysis</w:t>
      </w:r>
    </w:p>
    <w:p>
      <w:pPr>
        <w:spacing w:after="80" w:before="0" w:line="240" w:lineRule="auto"/>
        <w:ind w:firstLine="720"/>
        <w:jc w:val="both"/>
      </w:pPr>
      <w:r>
        <w:rPr>
          <w:rFonts w:ascii="Times New Roman" w:cs="Times New Roman" w:eastAsia="Times New Roman" w:hAnsi="Times New Roman"/>
          <w:b w:val="false"/>
          <w:bCs w:val="false"/>
          <w:i w:val="false"/>
          <w:iCs w:val="false"/>
          <w:color w:val="000000"/>
          <w:sz w:val="20"/>
          <w:szCs w:val="20"/>
        </w:rPr>
        <w:t xml:space="preserve">SHAP TreeExplainer [2] was applied to provide direction-aware feature explanations. The SHAP Bar Plot confirmed that home_defencePressure and away_defencePressure hold the highest mean absolute SHAP values, consistent with the built-in importance scores. The SHAP Beeswarm Plot for the Home Win class revealed that higher values of home_chanceCreationShooting and home_buildUpPlayPassing positively shift the prediction toward Home Win, while higher away_defencePressure values reduce this probability. This directional insight is not captured by built-in feature importance alone, demonstrating the added value of SHAP as highlighted by Cavus and Biecek [13].</w:t>
      </w:r>
    </w:p>
    <w:p>
      <w:pPr>
        <w:spacing w:after="80" w:before="0" w:line="240" w:lineRule="auto"/>
        <w:ind w:firstLine="720"/>
        <w:jc w:val="both"/>
      </w:pPr>
      <w:r>
        <w:rPr>
          <w:rFonts w:ascii="Times New Roman" w:cs="Times New Roman" w:eastAsia="Times New Roman" w:hAnsi="Times New Roman"/>
          <w:b w:val="false"/>
          <w:bCs w:val="false"/>
          <w:i w:val="false"/>
          <w:iCs w:val="false"/>
          <w:color w:val="000000"/>
          <w:sz w:val="20"/>
          <w:szCs w:val="20"/>
        </w:rPr>
        <w:t xml:space="preserve">The SHAP Waterfall Plot for an individual sample demonstrated how each feature additively contributes to the final prediction, enabling local interpretability. This granular explanation is particularly valuable for practical applications, where analysts need to understand why a specific match is predicted to end in a particular outcome [8].</w:t>
      </w:r>
    </w:p>
    <w:p>
      <w:pPr>
        <w:spacing w:after="40" w:before="80" w:line="240" w:lineRule="auto"/>
        <w:jc w:val="both"/>
      </w:pPr>
      <w:r>
        <w:rPr>
          <w:rFonts w:ascii="Times New Roman" w:cs="Times New Roman" w:eastAsia="Times New Roman" w:hAnsi="Times New Roman"/>
          <w:b/>
          <w:bCs/>
          <w:i w:val="false"/>
          <w:iCs w:val="false"/>
          <w:color w:val="000000"/>
          <w:sz w:val="20"/>
          <w:szCs w:val="20"/>
        </w:rPr>
        <w:t xml:space="preserve">3.4 Comparison with Related Work</w:t>
      </w:r>
    </w:p>
    <w:p>
      <w:pPr>
        <w:spacing w:after="80" w:before="0" w:line="240" w:lineRule="auto"/>
        <w:ind w:firstLine="720"/>
        <w:jc w:val="both"/>
      </w:pPr>
      <w:r>
        <w:rPr>
          <w:rFonts w:ascii="Times New Roman" w:cs="Times New Roman" w:eastAsia="Times New Roman" w:hAnsi="Times New Roman"/>
          <w:b w:val="false"/>
          <w:bCs w:val="false"/>
          <w:i w:val="false"/>
          <w:iCs w:val="false"/>
          <w:color w:val="000000"/>
          <w:sz w:val="20"/>
          <w:szCs w:val="20"/>
        </w:rPr>
        <w:t xml:space="preserve">Table 3 presents a comparison between this study and the baseline framework by Yeung et al. [3].</w:t>
      </w:r>
    </w:p>
    <w:p>
      <w:pPr>
        <w:spacing w:after="40" w:before="120" w:line="240" w:lineRule="auto"/>
        <w:jc w:val="center"/>
      </w:pPr>
      <w:r>
        <w:rPr>
          <w:rFonts w:ascii="Times New Roman" w:cs="Times New Roman" w:eastAsia="Times New Roman" w:hAnsi="Times New Roman"/>
          <w:b/>
          <w:bCs/>
          <w:i w:val="false"/>
          <w:iCs w:val="false"/>
          <w:color w:val="000000"/>
          <w:sz w:val="18"/>
          <w:szCs w:val="18"/>
        </w:rPr>
        <w:t xml:space="preserve">Table 3. Comparison with Yeung et al. (2023)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763"/>
        <w:gridCol w:w="2763"/>
      </w:tblGrid>
      <w:tr>
        <w:tc>
          <w:tcPr>
            <w:tcW w:type="dxa" w:w="3500"/>
            <w:tcBorders>
              <w:top w:val="single" w:color="000000" w:sz="8"/>
              <w:left w:val="none" w:color="FFFFFF" w:sz="0"/>
              <w:bottom w:val="single" w:color="000000" w:sz="8"/>
              <w:right w:val="none" w:color="FFFFFF" w:sz="0"/>
            </w:tcBorders>
            <w:shd w:fill="D9E1F2" w:val="clear"/>
            <w:tcMar>
              <w:top w:type="dxa" w:w="60"/>
              <w:left w:type="dxa" w:w="100"/>
              <w:bottom w:type="dxa" w:w="60"/>
              <w:right w:type="dxa" w:w="100"/>
            </w:tcMar>
          </w:tcPr>
          <w:p>
            <w:pPr>
              <w:spacing w:after="40" w:before="40" w:line="240" w:lineRule="auto"/>
              <w:jc w:val="center"/>
            </w:pPr>
            <w:r>
              <w:rPr>
                <w:rFonts w:ascii="Times New Roman" w:cs="Times New Roman" w:eastAsia="Times New Roman" w:hAnsi="Times New Roman"/>
                <w:b/>
                <w:bCs/>
                <w:i w:val="false"/>
                <w:iCs w:val="false"/>
                <w:color w:val="000000"/>
                <w:sz w:val="18"/>
                <w:szCs w:val="18"/>
              </w:rPr>
              <w:t xml:space="preserve">Metric</w:t>
            </w:r>
          </w:p>
        </w:tc>
        <w:tc>
          <w:tcPr>
            <w:tcW w:type="dxa" w:w="2763"/>
            <w:tcBorders>
              <w:top w:val="single" w:color="000000" w:sz="8"/>
              <w:left w:val="none" w:color="FFFFFF" w:sz="0"/>
              <w:bottom w:val="single" w:color="000000" w:sz="8"/>
              <w:right w:val="none" w:color="FFFFFF" w:sz="0"/>
            </w:tcBorders>
            <w:shd w:fill="D9E1F2" w:val="clear"/>
            <w:tcMar>
              <w:top w:type="dxa" w:w="60"/>
              <w:left w:type="dxa" w:w="100"/>
              <w:bottom w:type="dxa" w:w="60"/>
              <w:right w:type="dxa" w:w="100"/>
            </w:tcMar>
          </w:tcPr>
          <w:p>
            <w:pPr>
              <w:spacing w:after="40" w:before="40" w:line="240" w:lineRule="auto"/>
              <w:jc w:val="center"/>
            </w:pPr>
            <w:r>
              <w:rPr>
                <w:rFonts w:ascii="Times New Roman" w:cs="Times New Roman" w:eastAsia="Times New Roman" w:hAnsi="Times New Roman"/>
                <w:b/>
                <w:bCs/>
                <w:i w:val="false"/>
                <w:iCs w:val="false"/>
                <w:color w:val="000000"/>
                <w:sz w:val="18"/>
                <w:szCs w:val="18"/>
              </w:rPr>
              <w:t xml:space="preserve">Yeung et al. (2023)</w:t>
            </w:r>
          </w:p>
        </w:tc>
        <w:tc>
          <w:tcPr>
            <w:tcW w:type="dxa" w:w="2763"/>
            <w:tcBorders>
              <w:top w:val="single" w:color="000000" w:sz="8"/>
              <w:left w:val="none" w:color="FFFFFF" w:sz="0"/>
              <w:bottom w:val="single" w:color="000000" w:sz="8"/>
              <w:right w:val="none" w:color="FFFFFF" w:sz="0"/>
            </w:tcBorders>
            <w:shd w:fill="D9E1F2" w:val="clear"/>
            <w:tcMar>
              <w:top w:type="dxa" w:w="60"/>
              <w:left w:type="dxa" w:w="100"/>
              <w:bottom w:type="dxa" w:w="60"/>
              <w:right w:type="dxa" w:w="100"/>
            </w:tcMar>
          </w:tcPr>
          <w:p>
            <w:pPr>
              <w:spacing w:after="40" w:before="40" w:line="240" w:lineRule="auto"/>
              <w:jc w:val="center"/>
            </w:pPr>
            <w:r>
              <w:rPr>
                <w:rFonts w:ascii="Times New Roman" w:cs="Times New Roman" w:eastAsia="Times New Roman" w:hAnsi="Times New Roman"/>
                <w:b/>
                <w:bCs/>
                <w:i w:val="false"/>
                <w:iCs w:val="false"/>
                <w:color w:val="000000"/>
                <w:sz w:val="18"/>
                <w:szCs w:val="18"/>
              </w:rPr>
              <w:t xml:space="preserve">This Study</w:t>
            </w:r>
          </w:p>
        </w:tc>
      </w:tr>
      <w:tr>
        <w:tc>
          <w:tcPr>
            <w:tcW w:type="dxa" w:w="3500"/>
            <w:tcBorders>
              <w:top w:val="none" w:color="FFFFFF" w:sz="0"/>
              <w:left w:val="none" w:color="FFFFFF" w:sz="0"/>
              <w:bottom w:val="none" w:color="FFFFFF" w:sz="0"/>
              <w:right w:val="none" w:color="FFFFFF" w:sz="0"/>
            </w:tcBorders>
            <w:shd w:fill="F2F2F2" w:val="clear"/>
            <w:tcMar>
              <w:top w:type="dxa" w:w="60"/>
              <w:left w:type="dxa" w:w="100"/>
              <w:bottom w:type="dxa" w:w="60"/>
              <w:right w:type="dxa" w:w="100"/>
            </w:tcMar>
          </w:tcPr>
          <w:p>
            <w:pPr>
              <w:spacing w:after="40" w:before="40" w:line="240" w:lineRule="auto"/>
              <w:jc w:val="left"/>
            </w:pPr>
            <w:r>
              <w:rPr>
                <w:rFonts w:ascii="Times New Roman" w:cs="Times New Roman" w:eastAsia="Times New Roman" w:hAnsi="Times New Roman"/>
                <w:b w:val="false"/>
                <w:bCs w:val="false"/>
                <w:i w:val="false"/>
                <w:iCs w:val="false"/>
                <w:color w:val="000000"/>
                <w:sz w:val="18"/>
                <w:szCs w:val="18"/>
              </w:rPr>
              <w:t xml:space="preserve">Model</w:t>
            </w:r>
          </w:p>
        </w:tc>
        <w:tc>
          <w:tcPr>
            <w:tcW w:type="dxa" w:w="2763"/>
            <w:tcBorders>
              <w:top w:val="none" w:color="FFFFFF" w:sz="0"/>
              <w:left w:val="none" w:color="FFFFFF" w:sz="0"/>
              <w:bottom w:val="none" w:color="FFFFFF" w:sz="0"/>
              <w:right w:val="none" w:color="FFFFFF" w:sz="0"/>
            </w:tcBorders>
            <w:shd w:fill="F2F2F2" w:val="clear"/>
            <w:tcMar>
              <w:top w:type="dxa" w:w="60"/>
              <w:left w:type="dxa" w:w="100"/>
              <w:bottom w:type="dxa" w:w="60"/>
              <w:right w:type="dxa" w:w="100"/>
            </w:tcMar>
          </w:tcPr>
          <w:p>
            <w:pPr>
              <w:spacing w:after="40" w:before="40" w:line="240" w:lineRule="auto"/>
              <w:jc w:val="center"/>
            </w:pPr>
            <w:r>
              <w:rPr>
                <w:rFonts w:ascii="Times New Roman" w:cs="Times New Roman" w:eastAsia="Times New Roman" w:hAnsi="Times New Roman"/>
                <w:b w:val="false"/>
                <w:bCs w:val="false"/>
                <w:i w:val="false"/>
                <w:iCs w:val="false"/>
                <w:color w:val="000000"/>
                <w:sz w:val="18"/>
                <w:szCs w:val="18"/>
              </w:rPr>
              <w:t xml:space="preserve">XGBoost + Interpretable Framework</w:t>
            </w:r>
          </w:p>
        </w:tc>
        <w:tc>
          <w:tcPr>
            <w:tcW w:type="dxa" w:w="2763"/>
            <w:tcBorders>
              <w:top w:val="none" w:color="FFFFFF" w:sz="0"/>
              <w:left w:val="none" w:color="FFFFFF" w:sz="0"/>
              <w:bottom w:val="none" w:color="FFFFFF" w:sz="0"/>
              <w:right w:val="none" w:color="FFFFFF" w:sz="0"/>
            </w:tcBorders>
            <w:shd w:fill="F2F2F2" w:val="clear"/>
            <w:tcMar>
              <w:top w:type="dxa" w:w="60"/>
              <w:left w:type="dxa" w:w="100"/>
              <w:bottom w:type="dxa" w:w="60"/>
              <w:right w:type="dxa" w:w="100"/>
            </w:tcMar>
          </w:tcPr>
          <w:p>
            <w:pPr>
              <w:spacing w:after="40" w:before="40" w:line="240" w:lineRule="auto"/>
              <w:jc w:val="center"/>
            </w:pPr>
            <w:r>
              <w:rPr>
                <w:rFonts w:ascii="Times New Roman" w:cs="Times New Roman" w:eastAsia="Times New Roman" w:hAnsi="Times New Roman"/>
                <w:b w:val="false"/>
                <w:bCs w:val="false"/>
                <w:i w:val="false"/>
                <w:iCs w:val="false"/>
                <w:color w:val="000000"/>
                <w:sz w:val="18"/>
                <w:szCs w:val="18"/>
              </w:rPr>
              <w:t xml:space="preserve">Random Forest (balanced)</w:t>
            </w:r>
          </w:p>
        </w:tc>
      </w:tr>
      <w:tr>
        <w:tc>
          <w:tcPr>
            <w:tcW w:type="dxa" w:w="3500"/>
            <w:tcBorders>
              <w:top w:val="none" w:color="FFFFFF" w:sz="0"/>
              <w:left w:val="none" w:color="FFFFFF" w:sz="0"/>
              <w:bottom w:val="none" w:color="FFFFFF" w:sz="0"/>
              <w:right w:val="none" w:color="FFFFFF" w:sz="0"/>
            </w:tcBorders>
            <w:shd w:fill="FFFFFF" w:val="clear"/>
            <w:tcMar>
              <w:top w:type="dxa" w:w="60"/>
              <w:left w:type="dxa" w:w="100"/>
              <w:bottom w:type="dxa" w:w="60"/>
              <w:right w:type="dxa" w:w="100"/>
            </w:tcMar>
          </w:tcPr>
          <w:p>
            <w:pPr>
              <w:spacing w:after="40" w:before="40" w:line="240" w:lineRule="auto"/>
              <w:jc w:val="left"/>
            </w:pPr>
            <w:r>
              <w:rPr>
                <w:rFonts w:ascii="Times New Roman" w:cs="Times New Roman" w:eastAsia="Times New Roman" w:hAnsi="Times New Roman"/>
                <w:b w:val="false"/>
                <w:bCs w:val="false"/>
                <w:i w:val="false"/>
                <w:iCs w:val="false"/>
                <w:color w:val="000000"/>
                <w:sz w:val="18"/>
                <w:szCs w:val="18"/>
              </w:rPr>
              <w:t xml:space="preserve">Dataset</w:t>
            </w:r>
          </w:p>
        </w:tc>
        <w:tc>
          <w:tcPr>
            <w:tcW w:type="dxa" w:w="2763"/>
            <w:tcBorders>
              <w:top w:val="none" w:color="FFFFFF" w:sz="0"/>
              <w:left w:val="none" w:color="FFFFFF" w:sz="0"/>
              <w:bottom w:val="none" w:color="FFFFFF" w:sz="0"/>
              <w:right w:val="none" w:color="FFFFFF" w:sz="0"/>
            </w:tcBorders>
            <w:shd w:fill="FFFFFF" w:val="clear"/>
            <w:tcMar>
              <w:top w:type="dxa" w:w="60"/>
              <w:left w:type="dxa" w:w="100"/>
              <w:bottom w:type="dxa" w:w="60"/>
              <w:right w:type="dxa" w:w="100"/>
            </w:tcMar>
          </w:tcPr>
          <w:p>
            <w:pPr>
              <w:spacing w:after="40" w:before="40" w:line="240" w:lineRule="auto"/>
              <w:jc w:val="center"/>
            </w:pPr>
            <w:r>
              <w:rPr>
                <w:rFonts w:ascii="Times New Roman" w:cs="Times New Roman" w:eastAsia="Times New Roman" w:hAnsi="Times New Roman"/>
                <w:b w:val="false"/>
                <w:bCs w:val="false"/>
                <w:i w:val="false"/>
                <w:iCs w:val="false"/>
                <w:color w:val="000000"/>
                <w:sz w:val="18"/>
                <w:szCs w:val="18"/>
              </w:rPr>
              <w:t xml:space="preserve">EPL (1,700 matches)</w:t>
            </w:r>
          </w:p>
        </w:tc>
        <w:tc>
          <w:tcPr>
            <w:tcW w:type="dxa" w:w="2763"/>
            <w:tcBorders>
              <w:top w:val="none" w:color="FFFFFF" w:sz="0"/>
              <w:left w:val="none" w:color="FFFFFF" w:sz="0"/>
              <w:bottom w:val="none" w:color="FFFFFF" w:sz="0"/>
              <w:right w:val="none" w:color="FFFFFF" w:sz="0"/>
            </w:tcBorders>
            <w:shd w:fill="FFFFFF" w:val="clear"/>
            <w:tcMar>
              <w:top w:type="dxa" w:w="60"/>
              <w:left w:type="dxa" w:w="100"/>
              <w:bottom w:type="dxa" w:w="60"/>
              <w:right w:type="dxa" w:w="100"/>
            </w:tcMar>
          </w:tcPr>
          <w:p>
            <w:pPr>
              <w:spacing w:after="40" w:before="40" w:line="240" w:lineRule="auto"/>
              <w:jc w:val="center"/>
            </w:pPr>
            <w:r>
              <w:rPr>
                <w:rFonts w:ascii="Times New Roman" w:cs="Times New Roman" w:eastAsia="Times New Roman" w:hAnsi="Times New Roman"/>
                <w:b w:val="false"/>
                <w:bCs w:val="false"/>
                <w:i w:val="false"/>
                <w:iCs w:val="false"/>
                <w:color w:val="000000"/>
                <w:sz w:val="18"/>
                <w:szCs w:val="18"/>
              </w:rPr>
              <w:t xml:space="preserve">European Soccer DB (19,355 matches)</w:t>
            </w:r>
          </w:p>
        </w:tc>
      </w:tr>
      <w:tr>
        <w:tc>
          <w:tcPr>
            <w:tcW w:type="dxa" w:w="3500"/>
            <w:tcBorders>
              <w:top w:val="none" w:color="FFFFFF" w:sz="0"/>
              <w:left w:val="none" w:color="FFFFFF" w:sz="0"/>
              <w:bottom w:val="none" w:color="FFFFFF" w:sz="0"/>
              <w:right w:val="none" w:color="FFFFFF" w:sz="0"/>
            </w:tcBorders>
            <w:shd w:fill="F2F2F2" w:val="clear"/>
            <w:tcMar>
              <w:top w:type="dxa" w:w="60"/>
              <w:left w:type="dxa" w:w="100"/>
              <w:bottom w:type="dxa" w:w="60"/>
              <w:right w:type="dxa" w:w="100"/>
            </w:tcMar>
          </w:tcPr>
          <w:p>
            <w:pPr>
              <w:spacing w:after="40" w:before="40" w:line="240" w:lineRule="auto"/>
              <w:jc w:val="left"/>
            </w:pPr>
            <w:r>
              <w:rPr>
                <w:rFonts w:ascii="Times New Roman" w:cs="Times New Roman" w:eastAsia="Times New Roman" w:hAnsi="Times New Roman"/>
                <w:b w:val="false"/>
                <w:bCs w:val="false"/>
                <w:i w:val="false"/>
                <w:iCs w:val="false"/>
                <w:color w:val="000000"/>
                <w:sz w:val="18"/>
                <w:szCs w:val="18"/>
              </w:rPr>
              <w:t xml:space="preserve">Features</w:t>
            </w:r>
          </w:p>
        </w:tc>
        <w:tc>
          <w:tcPr>
            <w:tcW w:type="dxa" w:w="2763"/>
            <w:tcBorders>
              <w:top w:val="none" w:color="FFFFFF" w:sz="0"/>
              <w:left w:val="none" w:color="FFFFFF" w:sz="0"/>
              <w:bottom w:val="none" w:color="FFFFFF" w:sz="0"/>
              <w:right w:val="none" w:color="FFFFFF" w:sz="0"/>
            </w:tcBorders>
            <w:shd w:fill="F2F2F2" w:val="clear"/>
            <w:tcMar>
              <w:top w:type="dxa" w:w="60"/>
              <w:left w:type="dxa" w:w="100"/>
              <w:bottom w:type="dxa" w:w="60"/>
              <w:right w:type="dxa" w:w="100"/>
            </w:tcMar>
          </w:tcPr>
          <w:p>
            <w:pPr>
              <w:spacing w:after="40" w:before="40" w:line="240" w:lineRule="auto"/>
              <w:jc w:val="center"/>
            </w:pPr>
            <w:r>
              <w:rPr>
                <w:rFonts w:ascii="Times New Roman" w:cs="Times New Roman" w:eastAsia="Times New Roman" w:hAnsi="Times New Roman"/>
                <w:b w:val="false"/>
                <w:bCs w:val="false"/>
                <w:i w:val="false"/>
                <w:iCs w:val="false"/>
                <w:color w:val="000000"/>
                <w:sz w:val="18"/>
                <w:szCs w:val="18"/>
              </w:rPr>
              <w:t xml:space="preserve">FIFA Ratings + Formation</w:t>
            </w:r>
          </w:p>
        </w:tc>
        <w:tc>
          <w:tcPr>
            <w:tcW w:type="dxa" w:w="2763"/>
            <w:tcBorders>
              <w:top w:val="none" w:color="FFFFFF" w:sz="0"/>
              <w:left w:val="none" w:color="FFFFFF" w:sz="0"/>
              <w:bottom w:val="none" w:color="FFFFFF" w:sz="0"/>
              <w:right w:val="none" w:color="FFFFFF" w:sz="0"/>
            </w:tcBorders>
            <w:shd w:fill="F2F2F2" w:val="clear"/>
            <w:tcMar>
              <w:top w:type="dxa" w:w="60"/>
              <w:left w:type="dxa" w:w="100"/>
              <w:bottom w:type="dxa" w:w="60"/>
              <w:right w:type="dxa" w:w="100"/>
            </w:tcMar>
          </w:tcPr>
          <w:p>
            <w:pPr>
              <w:spacing w:after="40" w:before="40" w:line="240" w:lineRule="auto"/>
              <w:jc w:val="center"/>
            </w:pPr>
            <w:r>
              <w:rPr>
                <w:rFonts w:ascii="Times New Roman" w:cs="Times New Roman" w:eastAsia="Times New Roman" w:hAnsi="Times New Roman"/>
                <w:b w:val="false"/>
                <w:bCs w:val="false"/>
                <w:i w:val="false"/>
                <w:iCs w:val="false"/>
                <w:color w:val="000000"/>
                <w:sz w:val="18"/>
                <w:szCs w:val="18"/>
              </w:rPr>
              <w:t xml:space="preserve">18 Team Tactical Attributes</w:t>
            </w:r>
          </w:p>
        </w:tc>
      </w:tr>
      <w:tr>
        <w:tc>
          <w:tcPr>
            <w:tcW w:type="dxa" w:w="3500"/>
            <w:tcBorders>
              <w:top w:val="none" w:color="FFFFFF" w:sz="0"/>
              <w:left w:val="none" w:color="FFFFFF" w:sz="0"/>
              <w:bottom w:val="none" w:color="FFFFFF" w:sz="0"/>
              <w:right w:val="none" w:color="FFFFFF" w:sz="0"/>
            </w:tcBorders>
            <w:shd w:fill="FFFFFF" w:val="clear"/>
            <w:tcMar>
              <w:top w:type="dxa" w:w="60"/>
              <w:left w:type="dxa" w:w="100"/>
              <w:bottom w:type="dxa" w:w="60"/>
              <w:right w:type="dxa" w:w="100"/>
            </w:tcMar>
          </w:tcPr>
          <w:p>
            <w:pPr>
              <w:spacing w:after="40" w:before="40" w:line="240" w:lineRule="auto"/>
              <w:jc w:val="left"/>
            </w:pPr>
            <w:r>
              <w:rPr>
                <w:rFonts w:ascii="Times New Roman" w:cs="Times New Roman" w:eastAsia="Times New Roman" w:hAnsi="Times New Roman"/>
                <w:b w:val="false"/>
                <w:bCs w:val="false"/>
                <w:i w:val="false"/>
                <w:iCs w:val="false"/>
                <w:color w:val="000000"/>
                <w:sz w:val="18"/>
                <w:szCs w:val="18"/>
              </w:rPr>
              <w:t xml:space="preserve">F1-Score</w:t>
            </w:r>
          </w:p>
        </w:tc>
        <w:tc>
          <w:tcPr>
            <w:tcW w:type="dxa" w:w="2763"/>
            <w:tcBorders>
              <w:top w:val="none" w:color="FFFFFF" w:sz="0"/>
              <w:left w:val="none" w:color="FFFFFF" w:sz="0"/>
              <w:bottom w:val="none" w:color="FFFFFF" w:sz="0"/>
              <w:right w:val="none" w:color="FFFFFF" w:sz="0"/>
            </w:tcBorders>
            <w:shd w:fill="FFFFFF" w:val="clear"/>
            <w:tcMar>
              <w:top w:type="dxa" w:w="60"/>
              <w:left w:type="dxa" w:w="100"/>
              <w:bottom w:type="dxa" w:w="60"/>
              <w:right w:type="dxa" w:w="100"/>
            </w:tcMar>
          </w:tcPr>
          <w:p>
            <w:pPr>
              <w:spacing w:after="40" w:before="40" w:line="240" w:lineRule="auto"/>
              <w:jc w:val="center"/>
            </w:pPr>
            <w:r>
              <w:rPr>
                <w:rFonts w:ascii="Times New Roman" w:cs="Times New Roman" w:eastAsia="Times New Roman" w:hAnsi="Times New Roman"/>
                <w:b w:val="false"/>
                <w:bCs w:val="false"/>
                <w:i w:val="false"/>
                <w:iCs w:val="false"/>
                <w:color w:val="000000"/>
                <w:sz w:val="18"/>
                <w:szCs w:val="18"/>
              </w:rPr>
              <w:t xml:space="preserve">0.47</w:t>
            </w:r>
          </w:p>
        </w:tc>
        <w:tc>
          <w:tcPr>
            <w:tcW w:type="dxa" w:w="2763"/>
            <w:tcBorders>
              <w:top w:val="none" w:color="FFFFFF" w:sz="0"/>
              <w:left w:val="none" w:color="FFFFFF" w:sz="0"/>
              <w:bottom w:val="none" w:color="FFFFFF" w:sz="0"/>
              <w:right w:val="none" w:color="FFFFFF" w:sz="0"/>
            </w:tcBorders>
            <w:shd w:fill="FFFFFF" w:val="clear"/>
            <w:tcMar>
              <w:top w:type="dxa" w:w="60"/>
              <w:left w:type="dxa" w:w="100"/>
              <w:bottom w:type="dxa" w:w="60"/>
              <w:right w:type="dxa" w:w="100"/>
            </w:tcMar>
          </w:tcPr>
          <w:p>
            <w:pPr>
              <w:spacing w:after="40" w:before="40" w:line="240" w:lineRule="auto"/>
              <w:jc w:val="center"/>
            </w:pPr>
            <w:r>
              <w:rPr>
                <w:rFonts w:ascii="Times New Roman" w:cs="Times New Roman" w:eastAsia="Times New Roman" w:hAnsi="Times New Roman"/>
                <w:b w:val="false"/>
                <w:bCs w:val="false"/>
                <w:i w:val="false"/>
                <w:iCs w:val="false"/>
                <w:color w:val="000000"/>
                <w:sz w:val="18"/>
                <w:szCs w:val="18"/>
              </w:rPr>
              <w:t xml:space="preserve">0.43</w:t>
            </w:r>
          </w:p>
        </w:tc>
      </w:tr>
      <w:tr>
        <w:tc>
          <w:tcPr>
            <w:tcW w:type="dxa" w:w="3500"/>
            <w:tcBorders>
              <w:top w:val="none" w:color="FFFFFF" w:sz="0"/>
              <w:left w:val="none" w:color="FFFFFF" w:sz="0"/>
              <w:bottom w:val="none" w:color="FFFFFF" w:sz="0"/>
              <w:right w:val="none" w:color="FFFFFF" w:sz="0"/>
            </w:tcBorders>
            <w:shd w:fill="F2F2F2" w:val="clear"/>
            <w:tcMar>
              <w:top w:type="dxa" w:w="60"/>
              <w:left w:type="dxa" w:w="100"/>
              <w:bottom w:type="dxa" w:w="60"/>
              <w:right w:type="dxa" w:w="100"/>
            </w:tcMar>
          </w:tcPr>
          <w:p>
            <w:pPr>
              <w:spacing w:after="40" w:before="40" w:line="240" w:lineRule="auto"/>
              <w:jc w:val="left"/>
            </w:pPr>
            <w:r>
              <w:rPr>
                <w:rFonts w:ascii="Times New Roman" w:cs="Times New Roman" w:eastAsia="Times New Roman" w:hAnsi="Times New Roman"/>
                <w:b w:val="false"/>
                <w:bCs w:val="false"/>
                <w:i w:val="false"/>
                <w:iCs w:val="false"/>
                <w:color w:val="000000"/>
                <w:sz w:val="18"/>
                <w:szCs w:val="18"/>
              </w:rPr>
              <w:t xml:space="preserve">Accuracy</w:t>
            </w:r>
          </w:p>
        </w:tc>
        <w:tc>
          <w:tcPr>
            <w:tcW w:type="dxa" w:w="2763"/>
            <w:tcBorders>
              <w:top w:val="none" w:color="FFFFFF" w:sz="0"/>
              <w:left w:val="none" w:color="FFFFFF" w:sz="0"/>
              <w:bottom w:val="none" w:color="FFFFFF" w:sz="0"/>
              <w:right w:val="none" w:color="FFFFFF" w:sz="0"/>
            </w:tcBorders>
            <w:shd w:fill="F2F2F2" w:val="clear"/>
            <w:tcMar>
              <w:top w:type="dxa" w:w="60"/>
              <w:left w:type="dxa" w:w="100"/>
              <w:bottom w:type="dxa" w:w="60"/>
              <w:right w:type="dxa" w:w="100"/>
            </w:tcMar>
          </w:tcPr>
          <w:p>
            <w:pPr>
              <w:spacing w:after="40" w:before="40" w:line="240" w:lineRule="auto"/>
              <w:jc w:val="center"/>
            </w:pPr>
            <w:r>
              <w:rPr>
                <w:rFonts w:ascii="Times New Roman" w:cs="Times New Roman" w:eastAsia="Times New Roman" w:hAnsi="Times New Roman"/>
                <w:b w:val="false"/>
                <w:bCs w:val="false"/>
                <w:i w:val="false"/>
                <w:iCs w:val="false"/>
                <w:color w:val="000000"/>
                <w:sz w:val="18"/>
                <w:szCs w:val="18"/>
              </w:rPr>
              <w:t xml:space="preserve">Not reported</w:t>
            </w:r>
          </w:p>
        </w:tc>
        <w:tc>
          <w:tcPr>
            <w:tcW w:type="dxa" w:w="2763"/>
            <w:tcBorders>
              <w:top w:val="none" w:color="FFFFFF" w:sz="0"/>
              <w:left w:val="none" w:color="FFFFFF" w:sz="0"/>
              <w:bottom w:val="none" w:color="FFFFFF" w:sz="0"/>
              <w:right w:val="none" w:color="FFFFFF" w:sz="0"/>
            </w:tcBorders>
            <w:shd w:fill="F2F2F2" w:val="clear"/>
            <w:tcMar>
              <w:top w:type="dxa" w:w="60"/>
              <w:left w:type="dxa" w:w="100"/>
              <w:bottom w:type="dxa" w:w="60"/>
              <w:right w:type="dxa" w:w="100"/>
            </w:tcMar>
          </w:tcPr>
          <w:p>
            <w:pPr>
              <w:spacing w:after="40" w:before="40" w:line="240" w:lineRule="auto"/>
              <w:jc w:val="center"/>
            </w:pPr>
            <w:r>
              <w:rPr>
                <w:rFonts w:ascii="Times New Roman" w:cs="Times New Roman" w:eastAsia="Times New Roman" w:hAnsi="Times New Roman"/>
                <w:b w:val="false"/>
                <w:bCs w:val="false"/>
                <w:i w:val="false"/>
                <w:iCs w:val="false"/>
                <w:color w:val="000000"/>
                <w:sz w:val="18"/>
                <w:szCs w:val="18"/>
              </w:rPr>
              <w:t xml:space="preserve">43.09%</w:t>
            </w:r>
          </w:p>
        </w:tc>
      </w:tr>
      <w:tr>
        <w:tc>
          <w:tcPr>
            <w:tcW w:type="dxa" w:w="3500"/>
            <w:tcBorders>
              <w:top w:val="none" w:color="FFFFFF" w:sz="0"/>
              <w:left w:val="none" w:color="FFFFFF" w:sz="0"/>
              <w:bottom w:val="single" w:color="000000" w:sz="8"/>
              <w:right w:val="none" w:color="FFFFFF" w:sz="0"/>
            </w:tcBorders>
            <w:shd w:fill="FFFFFF" w:val="clear"/>
            <w:tcMar>
              <w:top w:type="dxa" w:w="60"/>
              <w:left w:type="dxa" w:w="100"/>
              <w:bottom w:type="dxa" w:w="60"/>
              <w:right w:type="dxa" w:w="100"/>
            </w:tcMar>
          </w:tcPr>
          <w:p>
            <w:pPr>
              <w:spacing w:after="40" w:before="40" w:line="240" w:lineRule="auto"/>
              <w:jc w:val="left"/>
            </w:pPr>
            <w:r>
              <w:rPr>
                <w:rFonts w:ascii="Times New Roman" w:cs="Times New Roman" w:eastAsia="Times New Roman" w:hAnsi="Times New Roman"/>
                <w:b w:val="false"/>
                <w:bCs w:val="false"/>
                <w:i w:val="false"/>
                <w:iCs w:val="false"/>
                <w:color w:val="000000"/>
                <w:sz w:val="18"/>
                <w:szCs w:val="18"/>
              </w:rPr>
              <w:t xml:space="preserve">XAI Method</w:t>
            </w:r>
          </w:p>
        </w:tc>
        <w:tc>
          <w:tcPr>
            <w:tcW w:type="dxa" w:w="2763"/>
            <w:tcBorders>
              <w:top w:val="none" w:color="FFFFFF" w:sz="0"/>
              <w:left w:val="none" w:color="FFFFFF" w:sz="0"/>
              <w:bottom w:val="single" w:color="000000" w:sz="8"/>
              <w:right w:val="none" w:color="FFFFFF" w:sz="0"/>
            </w:tcBorders>
            <w:shd w:fill="FFFFFF" w:val="clear"/>
            <w:tcMar>
              <w:top w:type="dxa" w:w="60"/>
              <w:left w:type="dxa" w:w="100"/>
              <w:bottom w:type="dxa" w:w="60"/>
              <w:right w:type="dxa" w:w="100"/>
            </w:tcMar>
          </w:tcPr>
          <w:p>
            <w:pPr>
              <w:spacing w:after="40" w:before="40" w:line="240" w:lineRule="auto"/>
              <w:jc w:val="center"/>
            </w:pPr>
            <w:r>
              <w:rPr>
                <w:rFonts w:ascii="Times New Roman" w:cs="Times New Roman" w:eastAsia="Times New Roman" w:hAnsi="Times New Roman"/>
                <w:b w:val="false"/>
                <w:bCs w:val="false"/>
                <w:i w:val="false"/>
                <w:iCs w:val="false"/>
                <w:color w:val="000000"/>
                <w:sz w:val="18"/>
                <w:szCs w:val="18"/>
              </w:rPr>
              <w:t xml:space="preserve">SHAP</w:t>
            </w:r>
          </w:p>
        </w:tc>
        <w:tc>
          <w:tcPr>
            <w:tcW w:type="dxa" w:w="2763"/>
            <w:tcBorders>
              <w:top w:val="none" w:color="FFFFFF" w:sz="0"/>
              <w:left w:val="none" w:color="FFFFFF" w:sz="0"/>
              <w:bottom w:val="single" w:color="000000" w:sz="8"/>
              <w:right w:val="none" w:color="FFFFFF" w:sz="0"/>
            </w:tcBorders>
            <w:shd w:fill="FFFFFF" w:val="clear"/>
            <w:tcMar>
              <w:top w:type="dxa" w:w="60"/>
              <w:left w:type="dxa" w:w="100"/>
              <w:bottom w:type="dxa" w:w="60"/>
              <w:right w:type="dxa" w:w="100"/>
            </w:tcMar>
          </w:tcPr>
          <w:p>
            <w:pPr>
              <w:spacing w:after="40" w:before="40" w:line="240" w:lineRule="auto"/>
              <w:jc w:val="center"/>
            </w:pPr>
            <w:r>
              <w:rPr>
                <w:rFonts w:ascii="Times New Roman" w:cs="Times New Roman" w:eastAsia="Times New Roman" w:hAnsi="Times New Roman"/>
                <w:b w:val="false"/>
                <w:bCs w:val="false"/>
                <w:i w:val="false"/>
                <w:iCs w:val="false"/>
                <w:color w:val="000000"/>
                <w:sz w:val="18"/>
                <w:szCs w:val="18"/>
              </w:rPr>
              <w:t xml:space="preserve">SHAP (TreeExplainer)</w:t>
            </w:r>
          </w:p>
        </w:tc>
      </w:tr>
    </w:tbl>
    <w:p>
      <w:pPr>
        <w:spacing w:after="80" w:before="120" w:line="240" w:lineRule="auto"/>
        <w:ind w:firstLine="720"/>
        <w:jc w:val="both"/>
      </w:pPr>
      <w:r>
        <w:rPr>
          <w:rFonts w:ascii="Times New Roman" w:cs="Times New Roman" w:eastAsia="Times New Roman" w:hAnsi="Times New Roman"/>
          <w:b w:val="false"/>
          <w:bCs w:val="false"/>
          <w:i w:val="false"/>
          <w:iCs w:val="false"/>
          <w:color w:val="000000"/>
          <w:sz w:val="20"/>
          <w:szCs w:val="20"/>
        </w:rPr>
        <w:t xml:space="preserve">This study demonstrates that using 18 team tactical attributes with SHAP-based explanations achieves a comparable F1-score to the FIFA-rating-based framework of Yeung et al. [3]. The key distinction lies in the interpretability layer: while Yeung et al. [3] relied on aggregate feature importance, this study employs SHAP to provide both global and local feature explanations. Gao et al. [7] similarly showed that broader multi-league datasets yield competitive performance, reinforcing the value of using the full European Soccer Database rather than limiting analysis to a single league.</w:t>
      </w:r>
    </w:p>
    <w:p>
      <w:pPr>
        <w:spacing w:after="80" w:before="0"/>
      </w:pPr>
    </w:p>
    <w:p>
      <w:pPr>
        <w:spacing w:after="80" w:before="160" w:line="240" w:lineRule="auto"/>
        <w:jc w:val="left"/>
      </w:pPr>
      <w:r>
        <w:rPr>
          <w:rFonts w:ascii="Times New Roman" w:cs="Times New Roman" w:eastAsia="Times New Roman" w:hAnsi="Times New Roman"/>
          <w:b/>
          <w:bCs/>
          <w:i w:val="false"/>
          <w:iCs w:val="false"/>
          <w:color w:val="000000"/>
          <w:sz w:val="20"/>
          <w:szCs w:val="20"/>
        </w:rPr>
        <w:t xml:space="preserve">CONCLUSION</w:t>
      </w:r>
    </w:p>
    <w:p>
      <w:pPr>
        <w:spacing w:after="80" w:before="0" w:line="240" w:lineRule="auto"/>
        <w:ind w:firstLine="720"/>
        <w:jc w:val="both"/>
      </w:pPr>
      <w:r>
        <w:rPr>
          <w:rFonts w:ascii="Times New Roman" w:cs="Times New Roman" w:eastAsia="Times New Roman" w:hAnsi="Times New Roman"/>
          <w:b w:val="false"/>
          <w:bCs w:val="false"/>
          <w:i w:val="false"/>
          <w:iCs w:val="false"/>
          <w:color w:val="000000"/>
          <w:sz w:val="20"/>
          <w:szCs w:val="20"/>
        </w:rPr>
        <w:t xml:space="preserve">This study analyzed the feature importance of 18 team tactical attributes in predicting football match outcomes using a Random Forest classifier [1] and SHAP-based Explainable Machine Learning [2]. The model achieved an accuracy of 43.09% and a weighted F1-score of 0.43 across 19,355 matches from the European Soccer Database [6], which is comparable to the F1-score of 0.47 reported by Yeung et al. [3]. SHAP analysis identified home_defencePressure, away_defencePressure, and home_buildUpPlayPassing as the three most influential features, highlighting the dominant role of defensive tactical attributes in match outcome prediction. The application of SHAP provided directional and sample-level interpretability beyond what built-in importance scores offer [13], contributing to more transparent and actionable football analytics. Future research may extend this work by incorporating player-level FIFA ratings [3] or in-game event data to further improve predictive performance.</w:t>
      </w:r>
    </w:p>
    <w:p>
      <w:pPr>
        <w:spacing w:after="80" w:before="0"/>
      </w:pPr>
    </w:p>
    <w:p>
      <w:pPr>
        <w:spacing w:after="80" w:before="160" w:line="240" w:lineRule="auto"/>
        <w:jc w:val="left"/>
      </w:pPr>
      <w:r>
        <w:rPr>
          <w:rFonts w:ascii="Times New Roman" w:cs="Times New Roman" w:eastAsia="Times New Roman" w:hAnsi="Times New Roman"/>
          <w:b/>
          <w:bCs/>
          <w:i w:val="false"/>
          <w:iCs w:val="false"/>
          <w:color w:val="000000"/>
          <w:sz w:val="20"/>
          <w:szCs w:val="20"/>
        </w:rPr>
        <w:t xml:space="preserve">REFERENCES</w:t>
      </w:r>
    </w:p>
    <w:p>
      <w:pPr>
        <w:spacing w:after="60" w:before="60" w:line="240" w:lineRule="auto"/>
        <w:ind w:left="720" w:hanging="720"/>
        <w:jc w:val="both"/>
      </w:pPr>
      <w:r>
        <w:rPr>
          <w:rFonts w:ascii="Times New Roman" w:cs="Times New Roman" w:eastAsia="Times New Roman" w:hAnsi="Times New Roman"/>
          <w:b w:val="false"/>
          <w:bCs w:val="false"/>
          <w:i w:val="false"/>
          <w:iCs w:val="false"/>
          <w:color w:val="000000"/>
          <w:sz w:val="18"/>
          <w:szCs w:val="18"/>
        </w:rPr>
        <w:t xml:space="preserve">[1]	L. Breiman, "Random Forests," Machine Learning, vol. 45, no. 1, pp. 5–32, 2001.</w:t>
      </w:r>
    </w:p>
    <w:p>
      <w:pPr>
        <w:spacing w:after="60" w:before="60" w:line="240" w:lineRule="auto"/>
        <w:ind w:left="720" w:hanging="720"/>
        <w:jc w:val="both"/>
      </w:pPr>
      <w:r>
        <w:rPr>
          <w:rFonts w:ascii="Times New Roman" w:cs="Times New Roman" w:eastAsia="Times New Roman" w:hAnsi="Times New Roman"/>
          <w:b w:val="false"/>
          <w:bCs w:val="false"/>
          <w:i w:val="false"/>
          <w:iCs w:val="false"/>
          <w:color w:val="000000"/>
          <w:sz w:val="18"/>
          <w:szCs w:val="18"/>
        </w:rPr>
        <w:t xml:space="preserve">[2]	S. M. Lundberg and S.-I. Lee, "A unified approach to interpreting model predictions," in Advances in Neural Information Processing Systems, vol. 30, 2017, pp. 4765–4774.</w:t>
      </w:r>
    </w:p>
    <w:p>
      <w:pPr>
        <w:spacing w:after="60" w:before="60" w:line="240" w:lineRule="auto"/>
        <w:ind w:left="720" w:hanging="720"/>
        <w:jc w:val="both"/>
      </w:pPr>
      <w:r>
        <w:rPr>
          <w:rFonts w:ascii="Times New Roman" w:cs="Times New Roman" w:eastAsia="Times New Roman" w:hAnsi="Times New Roman"/>
          <w:b w:val="false"/>
          <w:bCs w:val="false"/>
          <w:i w:val="false"/>
          <w:iCs w:val="false"/>
          <w:color w:val="000000"/>
          <w:sz w:val="18"/>
          <w:szCs w:val="18"/>
        </w:rPr>
        <w:t xml:space="preserve">[3]	C. K. Yeung, R. P. Bunker, and K. Fujii, "A framework of interpretable match results prediction in football with FIFA ratings and team formation," PLOS ONE, vol. 18, no. 4, p. e0284318, 2023. doi: 10.1371/journal.pone.0284318.</w:t>
      </w:r>
    </w:p>
    <w:p>
      <w:pPr>
        <w:spacing w:after="60" w:before="60" w:line="240" w:lineRule="auto"/>
        <w:ind w:left="720" w:hanging="720"/>
        <w:jc w:val="both"/>
      </w:pPr>
      <w:r>
        <w:rPr>
          <w:rFonts w:ascii="Times New Roman" w:cs="Times New Roman" w:eastAsia="Times New Roman" w:hAnsi="Times New Roman"/>
          <w:b w:val="false"/>
          <w:bCs w:val="false"/>
          <w:i w:val="false"/>
          <w:iCs w:val="false"/>
          <w:color w:val="000000"/>
          <w:sz w:val="18"/>
          <w:szCs w:val="18"/>
        </w:rPr>
        <w:t xml:space="preserve">[4]	M. Carpita, E. Ciavolino, and P. Pasca, "Exploring and modelling team performances of the Kaggle European Soccer Database," Statistical Modelling, vol. 19, no. 1, pp. 74–101, 2019.</w:t>
      </w:r>
    </w:p>
    <w:p>
      <w:pPr>
        <w:spacing w:after="60" w:before="60" w:line="240" w:lineRule="auto"/>
        <w:ind w:left="720" w:hanging="720"/>
        <w:jc w:val="both"/>
      </w:pPr>
      <w:r>
        <w:rPr>
          <w:rFonts w:ascii="Times New Roman" w:cs="Times New Roman" w:eastAsia="Times New Roman" w:hAnsi="Times New Roman"/>
          <w:b w:val="false"/>
          <w:bCs w:val="false"/>
          <w:i w:val="false"/>
          <w:iCs w:val="false"/>
          <w:color w:val="000000"/>
          <w:sz w:val="18"/>
          <w:szCs w:val="18"/>
        </w:rPr>
        <w:t xml:space="preserve">[5]	C. K. Yeung, R. P. Bunker, T. Umemoto, and K. Fujii, "Evaluating soccer match prediction models: a deep learning approach and feature optimization for gradient-boosted trees," Machine Learning, 2024. doi: 10.1007/s10994-024-06608-w.</w:t>
      </w:r>
    </w:p>
    <w:p>
      <w:pPr>
        <w:spacing w:after="60" w:before="60" w:line="240" w:lineRule="auto"/>
        <w:ind w:left="720" w:hanging="720"/>
        <w:jc w:val="both"/>
      </w:pPr>
      <w:r>
        <w:rPr>
          <w:rFonts w:ascii="Times New Roman" w:cs="Times New Roman" w:eastAsia="Times New Roman" w:hAnsi="Times New Roman"/>
          <w:b w:val="false"/>
          <w:bCs w:val="false"/>
          <w:i w:val="false"/>
          <w:iCs w:val="false"/>
          <w:color w:val="000000"/>
          <w:sz w:val="18"/>
          <w:szCs w:val="18"/>
        </w:rPr>
        <w:t xml:space="preserve">[6]	H. Mathien, "European Soccer Database," Kaggle, 2016. [Online]. Available: https://www.kaggle.com/datasets/hugomathien/soccer.</w:t>
      </w:r>
    </w:p>
    <w:p>
      <w:pPr>
        <w:spacing w:after="60" w:before="60" w:line="240" w:lineRule="auto"/>
        <w:ind w:left="720" w:hanging="720"/>
        <w:jc w:val="both"/>
      </w:pPr>
      <w:r>
        <w:rPr>
          <w:rFonts w:ascii="Times New Roman" w:cs="Times New Roman" w:eastAsia="Times New Roman" w:hAnsi="Times New Roman"/>
          <w:b w:val="false"/>
          <w:bCs w:val="false"/>
          <w:i w:val="false"/>
          <w:iCs w:val="false"/>
          <w:color w:val="000000"/>
          <w:sz w:val="18"/>
          <w:szCs w:val="18"/>
        </w:rPr>
        <w:t xml:space="preserve">[7]	T. Gao, T. Cheng, and S. Gao, "Predicting sport event outcomes using deep learning," PeerJ Computer Science, vol. 11, p. e3011, 2025. doi: 10.7717/peerj-cs.3011.</w:t>
      </w:r>
    </w:p>
    <w:p>
      <w:pPr>
        <w:spacing w:after="60" w:before="60" w:line="240" w:lineRule="auto"/>
        <w:ind w:left="720" w:hanging="720"/>
        <w:jc w:val="both"/>
      </w:pPr>
      <w:r>
        <w:rPr>
          <w:rFonts w:ascii="Times New Roman" w:cs="Times New Roman" w:eastAsia="Times New Roman" w:hAnsi="Times New Roman"/>
          <w:b w:val="false"/>
          <w:bCs w:val="false"/>
          <w:i w:val="false"/>
          <w:iCs w:val="false"/>
          <w:color w:val="000000"/>
          <w:sz w:val="18"/>
          <w:szCs w:val="18"/>
        </w:rPr>
        <w:t xml:space="preserve">[8]	S. Moustakidis, S. Plakias, C. Kokkotis, T. Tsatalas, and D. Tsaopoulos, "Predicting football team performance with explainable AI: leveraging SHAP to identify key team-level performance metrics," Future Internet, vol. 15, no. 5, p. 174, 2023. doi: 10.3390/fi15050174.</w:t>
      </w:r>
    </w:p>
    <w:p>
      <w:pPr>
        <w:spacing w:after="60" w:before="60" w:line="240" w:lineRule="auto"/>
        <w:ind w:left="720" w:hanging="720"/>
        <w:jc w:val="both"/>
      </w:pPr>
      <w:r>
        <w:rPr>
          <w:rFonts w:ascii="Times New Roman" w:cs="Times New Roman" w:eastAsia="Times New Roman" w:hAnsi="Times New Roman"/>
          <w:b w:val="false"/>
          <w:bCs w:val="false"/>
          <w:i w:val="false"/>
          <w:iCs w:val="false"/>
          <w:color w:val="000000"/>
          <w:sz w:val="18"/>
          <w:szCs w:val="18"/>
        </w:rPr>
        <w:t xml:space="preserve">[9]	F. Pedregosa et al., "Scikit-learn: Machine learning in Python," Journal of Machine Learning Research, vol. 12, pp. 2825–2830, 2011.</w:t>
      </w:r>
    </w:p>
    <w:p>
      <w:pPr>
        <w:spacing w:after="60" w:before="60" w:line="240" w:lineRule="auto"/>
        <w:ind w:left="720" w:hanging="720"/>
        <w:jc w:val="both"/>
      </w:pPr>
      <w:r>
        <w:rPr>
          <w:rFonts w:ascii="Times New Roman" w:cs="Times New Roman" w:eastAsia="Times New Roman" w:hAnsi="Times New Roman"/>
          <w:b w:val="false"/>
          <w:bCs w:val="false"/>
          <w:i w:val="false"/>
          <w:iCs w:val="false"/>
          <w:color w:val="000000"/>
          <w:sz w:val="18"/>
          <w:szCs w:val="18"/>
        </w:rPr>
        <w:t xml:space="preserve">[10]	R. P. Bunker and F. Thabtah, "A machine learning framework for sport result prediction," Applied Computing and Informatics, vol. 15, no. 1, pp. 27–33, 2019. doi: 10.1016/j.aci.2017.09.005.</w:t>
      </w:r>
    </w:p>
    <w:p>
      <w:pPr>
        <w:spacing w:after="60" w:before="60" w:line="240" w:lineRule="auto"/>
        <w:ind w:left="720" w:hanging="720"/>
        <w:jc w:val="both"/>
      </w:pPr>
      <w:r>
        <w:rPr>
          <w:rFonts w:ascii="Times New Roman" w:cs="Times New Roman" w:eastAsia="Times New Roman" w:hAnsi="Times New Roman"/>
          <w:b w:val="false"/>
          <w:bCs w:val="false"/>
          <w:i w:val="false"/>
          <w:iCs w:val="false"/>
          <w:color w:val="000000"/>
          <w:sz w:val="18"/>
          <w:szCs w:val="18"/>
        </w:rPr>
        <w:t xml:space="preserve">[11]	J. AlMulla, M. Islam, H. Al-Absi, and T. Alam, "SoccerNet: A Gated Recurrent Unit-based model to predict soccer match winners," PLOS ONE, vol. 18, no. 8, p. e0288933, 2023. doi: 10.1371/journal.pone.0288933.</w:t>
      </w:r>
    </w:p>
    <w:p>
      <w:pPr>
        <w:spacing w:after="60" w:before="60" w:line="240" w:lineRule="auto"/>
        <w:ind w:left="720" w:hanging="720"/>
        <w:jc w:val="both"/>
      </w:pPr>
      <w:r>
        <w:rPr>
          <w:rFonts w:ascii="Times New Roman" w:cs="Times New Roman" w:eastAsia="Times New Roman" w:hAnsi="Times New Roman"/>
          <w:b w:val="false"/>
          <w:bCs w:val="false"/>
          <w:i w:val="false"/>
          <w:iCs w:val="false"/>
          <w:color w:val="000000"/>
          <w:sz w:val="18"/>
          <w:szCs w:val="18"/>
        </w:rPr>
        <w:t xml:space="preserve">[12]	A. Satyapanich and A. Somkheawwan, "Predicting game results for football league using deep learning," in Proc. 2023 27th International Computer Science and Engineering Conference (ICSEC), 2023, pp. 1–6. doi: 10.1109/ICSEC59635.2023.10329770.</w:t>
      </w:r>
    </w:p>
    <w:p>
      <w:pPr>
        <w:spacing w:after="60" w:before="60" w:line="240" w:lineRule="auto"/>
        <w:ind w:left="720" w:hanging="720"/>
        <w:jc w:val="both"/>
      </w:pPr>
      <w:r>
        <w:rPr>
          <w:rFonts w:ascii="Times New Roman" w:cs="Times New Roman" w:eastAsia="Times New Roman" w:hAnsi="Times New Roman"/>
          <w:b w:val="false"/>
          <w:bCs w:val="false"/>
          <w:i w:val="false"/>
          <w:iCs w:val="false"/>
          <w:color w:val="000000"/>
          <w:sz w:val="18"/>
          <w:szCs w:val="18"/>
        </w:rPr>
        <w:t xml:space="preserve">[13]	M. Cavus and A. Biecek, "A scoping review of explainable artificial intelligence in sports science," Discover Artificial Intelligence, vol. 5, 2025. doi: 10.1007/s44163-025-00709-8.</w:t>
      </w:r>
    </w:p>
    <w:p>
      <w:pPr>
        <w:spacing w:after="60" w:before="60" w:line="240" w:lineRule="auto"/>
        <w:ind w:left="720" w:hanging="720"/>
        <w:jc w:val="both"/>
      </w:pPr>
      <w:r>
        <w:rPr>
          <w:rFonts w:ascii="Times New Roman" w:cs="Times New Roman" w:eastAsia="Times New Roman" w:hAnsi="Times New Roman"/>
          <w:b w:val="false"/>
          <w:bCs w:val="false"/>
          <w:i w:val="false"/>
          <w:iCs w:val="false"/>
          <w:color w:val="000000"/>
          <w:sz w:val="18"/>
          <w:szCs w:val="18"/>
        </w:rPr>
        <w:t xml:space="preserve">[14]	Y. Wang et al., "SHAP-based interpretable machine learning for injury risk prediction in university football players: a multi-dimensional data analysis approach," Scientific Reports, vol. 15, 2025. doi: 10.1038/s41598-025-24144-y.</w:t>
      </w:r>
    </w:p>
    <w:p>
      <w:pPr>
        <w:spacing w:after="60" w:before="60" w:line="240" w:lineRule="auto"/>
        <w:ind w:left="720" w:hanging="720"/>
        <w:jc w:val="both"/>
      </w:pPr>
      <w:r>
        <w:rPr>
          <w:rFonts w:ascii="Times New Roman" w:cs="Times New Roman" w:eastAsia="Times New Roman" w:hAnsi="Times New Roman"/>
          <w:b w:val="false"/>
          <w:bCs w:val="false"/>
          <w:i w:val="false"/>
          <w:iCs w:val="false"/>
          <w:color w:val="000000"/>
          <w:sz w:val="18"/>
          <w:szCs w:val="18"/>
        </w:rPr>
        <w:t xml:space="preserve">[15]	F. Predicting, "Football match result prediction using the random forest classifier," in Proc. 2nd International Conference on Big Data Technologies, 2019. doi: 10.1145/3358528.3358593.</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b w:val="false"/>
        <w:bCs w:val="false"/>
        <w:i/>
        <w:iCs/>
        <w:color w:val="000000"/>
        <w:sz w:val="16"/>
        <w:szCs w:val="16"/>
      </w:rPr>
      <w:t xml:space="preserve">Scientific Journal of Informatics, Vol. XX, No. XX, 20XX</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2026-05-20T00:17:39.130Z</dcterms:created>
  <dcterms:modified xsi:type="dcterms:W3CDTF">2026-05-20T00:17:39.142Z</dcterms:modified>
</cp:coreProperties>
</file>

<file path=docProps/custom.xml><?xml version="1.0" encoding="utf-8"?>
<Properties xmlns="http://schemas.openxmlformats.org/officeDocument/2006/custom-properties" xmlns:vt="http://schemas.openxmlformats.org/officeDocument/2006/docPropsVTypes"/>
</file>