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c>
          <w:tcPr>
            <w:tcW w:type="dxa" w:w="7238"/>
            <w:tcBorders>
              <w:top w:val="none" w:color="FFFFFF" w:sz="0"/>
              <w:left w:val="none" w:color="FFFFFF" w:sz="0"/>
              <w:bottom w:val="none" w:color="FFFFFF" w:sz="0"/>
              <w:right w:val="none" w:color="FFFFFF" w:sz="0"/>
            </w:tcBorders>
            <w:shd w:fill="14213D" w:color="auto" w:val="clear"/>
            <w:tcMar>
              <w:top w:type="dxa" w:w="260"/>
              <w:left w:type="dxa" w:w="300"/>
              <w:bottom w:type="dxa" w:w="220"/>
              <w:right w:type="dxa" w:w="160"/>
            </w:tcMar>
            <w:vAlign w:val="center"/>
          </w:tcPr>
          <w:p>
            <w:pPr>
              <w:spacing w:after="80"/>
            </w:pPr>
            <w:r>
              <w:rPr>
                <w:b/>
                <w:bCs/>
                <w:color w:val="F4B942"/>
                <w:spacing w:val="30"/>
                <w:sz w:val="16"/>
                <w:szCs w:val="16"/>
              </w:rPr>
              <w:t xml:space="preserve">MANAGEMENT OF INFORMATION SECURITY  ·  WEEK 2</w:t>
            </w:r>
          </w:p>
          <w:p>
            <w:pPr>
              <w:spacing w:after="20"/>
            </w:pPr>
            <w:r>
              <w:rPr>
                <w:rFonts w:ascii="Cambria" w:cs="Cambria" w:eastAsia="Cambria" w:hAnsi="Cambria"/>
                <w:b/>
                <w:bCs/>
                <w:color w:val="C9D3E3"/>
                <w:sz w:val="24"/>
                <w:szCs w:val="24"/>
              </w:rPr>
              <w:t xml:space="preserve">LAB 3</w:t>
            </w:r>
          </w:p>
          <w:p>
            <w:pPr>
              <w:spacing w:after="80"/>
            </w:pPr>
            <w:r>
              <w:rPr>
                <w:rFonts w:ascii="Cambria" w:cs="Cambria" w:eastAsia="Cambria" w:hAnsi="Cambria"/>
                <w:b/>
                <w:bCs/>
                <w:color w:val="FFFFFF"/>
                <w:sz w:val="40"/>
                <w:szCs w:val="40"/>
              </w:rPr>
              <w:t xml:space="preserve">Ethics in Practice: Dilemmas, Codes of Conduct and Deterrence</w:t>
            </w:r>
          </w:p>
          <w:p>
            <w:pPr>
              <w:spacing w:after="40"/>
            </w:pPr>
            <w:r>
              <w:rPr>
                <w:i/>
                <w:iCs/>
                <w:color w:val="E3E8F0"/>
                <w:sz w:val="20"/>
                <w:szCs w:val="20"/>
              </w:rPr>
              <w:t xml:space="preserve">Use the tools security managers rely on when the right answer is not obvious — and turn ethics into enforceable policy.</w:t>
            </w:r>
          </w:p>
        </w:tc>
        <w:tc>
          <w:tcPr>
            <w:tcW w:type="dxa" w:w="2400"/>
            <w:tcBorders>
              <w:top w:val="none" w:color="FFFFFF" w:sz="0"/>
              <w:left w:val="none" w:color="FFFFFF" w:sz="0"/>
              <w:bottom w:val="none" w:color="FFFFFF" w:sz="0"/>
              <w:right w:val="none" w:color="FFFFFF" w:sz="0"/>
            </w:tcBorders>
            <w:shd w:fill="14213D" w:color="auto" w:val="clear"/>
            <w:tcMar>
              <w:top w:type="dxa" w:w="200"/>
              <w:left w:type="dxa" w:w="100"/>
              <w:bottom w:type="dxa" w:w="200"/>
              <w:right w:type="dxa" w:w="200"/>
            </w:tcMar>
            <w:vAlign w:val="center"/>
          </w:tcPr>
          <w:p>
            <w:pPr>
              <w:jc w:val="center"/>
            </w:pPr>
            <w:r>
              <w:drawing>
                <wp:inline distT="0" distB="0" distL="0" distR="0">
                  <wp:extent cx="876300" cy="876300"/>
                  <wp:effectExtent t="0" r="0" b="0" l="0"/>
                  <wp:docPr id="1" name="balance_scale" descr="balance scale" title="balance_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r>
              <w:drawing>
                <wp:inline distT="0" distB="0" distL="0" distR="0">
                  <wp:extent cx="533400" cy="533400"/>
                  <wp:effectExtent t="0" r="0" b="0" l="0"/>
                  <wp:docPr id="1" name="sports_medal" descr="sports medal" title="sports_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color w:val="14213D"/>
                <w:sz w:val="18"/>
                <w:szCs w:val="18"/>
              </w:rPr>
              <w:t xml:space="preserve">Duration</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75 minutes</w:t>
            </w:r>
          </w:p>
        </w:tc>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color w:val="14213D"/>
                <w:sz w:val="18"/>
                <w:szCs w:val="18"/>
              </w:rPr>
              <w:t xml:space="preserve">Format</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Pairs (one submission per pair)</w:t>
            </w:r>
          </w:p>
        </w:tc>
      </w:tr>
      <w:t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color w:val="14213D"/>
                <w:sz w:val="18"/>
                <w:szCs w:val="18"/>
              </w:rPr>
              <w:t xml:space="preserve">Objectives</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Chapter 2 objectives 1–4</w:t>
            </w:r>
          </w:p>
        </w:tc>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color w:val="14213D"/>
                <w:sz w:val="18"/>
                <w:szCs w:val="18"/>
              </w:rPr>
              <w:t xml:space="preserve">Submit</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Completed handout as PDF</w:t>
            </w:r>
          </w:p>
        </w:tc>
      </w:tr>
      <w:t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color w:val="14213D"/>
                <w:sz w:val="18"/>
                <w:szCs w:val="18"/>
              </w:rPr>
              <w:t xml:space="preserve">Materials</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Lecture slides 6–27 and 57; ISC2 and ACM codes (links below)</w:t>
            </w:r>
          </w:p>
        </w:tc>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color w:val="14213D"/>
                <w:sz w:val="18"/>
                <w:szCs w:val="18"/>
              </w:rPr>
              <w:t xml:space="preserve">Weight</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100 points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trHeight w:val="460" w:hRule="atLeast"/>
        </w:trPr>
        <w:tc>
          <w:tcPr>
            <w:tcW w:type="dxa" w:w="1500"/>
            <w:tcBorders>
              <w:top w:val="single" w:color="C9D1DD" w:sz="4"/>
              <w:left w:val="single" w:color="C9D1DD" w:sz="4"/>
              <w:bottom w:val="single" w:color="C9D1DD" w:sz="4"/>
              <w:right w:val="single" w:color="C9D1DD" w:sz="4"/>
            </w:tcBorders>
            <w:shd w:fill="E6F4F4"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Student 1</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Omarkhaliyeva Nazerke Is</w:t>
            </w:r>
          </w:p>
        </w:tc>
        <w:tc>
          <w:tcPr>
            <w:tcW w:type="dxa" w:w="1500"/>
            <w:tcBorders>
              <w:top w:val="single" w:color="C9D1DD" w:sz="4"/>
              <w:left w:val="single" w:color="C9D1DD" w:sz="4"/>
              <w:bottom w:val="single" w:color="C9D1DD" w:sz="4"/>
              <w:right w:val="single" w:color="C9D1DD" w:sz="4"/>
            </w:tcBorders>
            <w:shd w:fill="E6F4F4"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Student 2</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rHeight w:val="460" w:hRule="atLeast"/>
        </w:trPr>
        <w:tc>
          <w:tcPr>
            <w:tcW w:type="dxa" w:w="1500"/>
            <w:tcBorders>
              <w:top w:val="single" w:color="C9D1DD" w:sz="4"/>
              <w:left w:val="single" w:color="C9D1DD" w:sz="4"/>
              <w:bottom w:val="single" w:color="C9D1DD" w:sz="4"/>
              <w:right w:val="single" w:color="C9D1DD" w:sz="4"/>
            </w:tcBorders>
            <w:shd w:fill="E6F4F4"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Group / section</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500"/>
            <w:tcBorders>
              <w:top w:val="single" w:color="C9D1DD" w:sz="4"/>
              <w:left w:val="single" w:color="C9D1DD" w:sz="4"/>
              <w:bottom w:val="single" w:color="C9D1DD" w:sz="4"/>
              <w:right w:val="single" w:color="C9D1DD" w:sz="4"/>
            </w:tcBorders>
            <w:shd w:fill="E6F4F4"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Date</w:t>
            </w:r>
          </w:p>
        </w:tc>
        <w:tc>
          <w:tcPr>
            <w:tcW w:type="dxa" w:w="33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17 October 2026</w:t>
            </w:r>
          </w:p>
        </w:tc>
      </w:tr>
    </w:tbl>
    <w:p>
      <w:pPr>
        <w:spacing w:after="120"/>
      </w:pPr>
    </w:p>
    <w:p>
      <w:pPr>
        <w:pStyle w:val="Heading1"/>
        <w:keepNext/>
      </w:pPr>
      <w:r>
        <w:t xml:space="preserve">1. Learning objectives</w:t>
      </w:r>
    </w:p>
    <w:p>
      <w:pPr>
        <w:spacing w:after="120" w:before="0"/>
      </w:pPr>
      <w:r>
        <w:rPr>
          <w:rFonts w:ascii="Calibri" w:cs="Calibri" w:eastAsia="Calibri" w:hAnsi="Calibri"/>
        </w:rPr>
        <w:t xml:space="preserve">By the end of this lab you will be able to:</w:t>
      </w:r>
    </w:p>
    <w:p>
      <w:pPr>
        <w:pStyle w:val="ListParagraph"/>
        <w:numPr>
          <w:ilvl w:val="0"/>
          <w:numId w:val="2"/>
        </w:numPr>
        <w:spacing w:after="60"/>
      </w:pPr>
      <w:r>
        <w:rPr>
          <w:rFonts w:ascii="Calibri" w:cs="Calibri" w:eastAsia="Calibri" w:hAnsi="Calibri"/>
        </w:rPr>
        <w:t xml:space="preserve">Analyse an ethical dilemma using the five approaches: utilitarian, rights, fairness or justice, common good and virtue.</w:t>
      </w:r>
    </w:p>
    <w:p>
      <w:pPr>
        <w:pStyle w:val="ListParagraph"/>
        <w:numPr>
          <w:ilvl w:val="0"/>
          <w:numId w:val="2"/>
        </w:numPr>
        <w:spacing w:after="60"/>
      </w:pPr>
      <w:r>
        <w:rPr>
          <w:rFonts w:ascii="Calibri" w:cs="Calibri" w:eastAsia="Calibri" w:hAnsi="Calibri"/>
        </w:rPr>
        <w:t xml:space="preserve">Map professional obligations to the ISC2 Code of Ethics canons and the ACM Code of Ethics principles.</w:t>
      </w:r>
    </w:p>
    <w:p>
      <w:pPr>
        <w:pStyle w:val="ListParagraph"/>
        <w:numPr>
          <w:ilvl w:val="0"/>
          <w:numId w:val="2"/>
        </w:numPr>
        <w:spacing w:after="60"/>
      </w:pPr>
      <w:r>
        <w:rPr>
          <w:rFonts w:ascii="Calibri" w:cs="Calibri" w:eastAsia="Calibri" w:hAnsi="Calibri"/>
        </w:rPr>
        <w:t xml:space="preserve">Classify unethical or illegal behaviour as ignorance, accident or intent, and choose matching controls.</w:t>
      </w:r>
    </w:p>
    <w:p>
      <w:pPr>
        <w:pStyle w:val="ListParagraph"/>
        <w:numPr>
          <w:ilvl w:val="0"/>
          <w:numId w:val="2"/>
        </w:numPr>
        <w:spacing w:after="60"/>
      </w:pPr>
      <w:r>
        <w:rPr>
          <w:rFonts w:ascii="Calibri" w:cs="Calibri" w:eastAsia="Calibri" w:hAnsi="Calibri"/>
        </w:rPr>
        <w:t xml:space="preserve">Diagnose why a deterrent is failing using the three conditions of deterrence.</w:t>
      </w:r>
    </w:p>
    <w:p>
      <w:pPr>
        <w:pStyle w:val="ListParagraph"/>
        <w:numPr>
          <w:ilvl w:val="0"/>
          <w:numId w:val="2"/>
        </w:numPr>
        <w:spacing w:after="60"/>
      </w:pPr>
      <w:r>
        <w:rPr>
          <w:rFonts w:ascii="Calibri" w:cs="Calibri" w:eastAsia="Calibri" w:hAnsi="Calibri"/>
        </w:rPr>
        <w:t xml:space="preserve">Make an organizational policy enforceable using the five conditions: distributed, read, understood, acknowledged and uniformly enforced.</w:t>
      </w:r>
    </w:p>
    <w:p>
      <w:pPr>
        <w:pStyle w:val="Heading1"/>
        <w:keepNext/>
      </w:pPr>
      <w:r>
        <w:t xml:space="preserve">2. Quick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Approach</w:t>
            </w:r>
          </w:p>
        </w:tc>
        <w:tc>
          <w:tcPr>
            <w:tcW w:type="dxa" w:w="73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Guiding question</w:t>
            </w:r>
          </w:p>
        </w:tc>
      </w:tr>
      <w:tr>
        <w:trPr>
          <w:cantSplit/>
          <w:tblHeader w:val="false"/>
        </w:trPr>
        <w:tc>
          <w:tcPr>
            <w:tcW w:type="dxa" w:w="23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Utilitarian</w:t>
            </w:r>
          </w:p>
        </w:tc>
        <w:tc>
          <w:tcPr>
            <w:tcW w:type="dxa" w:w="7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Which option produces the greatest balance of good over harm for everyone affected?</w:t>
            </w:r>
          </w:p>
        </w:tc>
      </w:tr>
      <w:tr>
        <w:trPr>
          <w:cantSplit/>
          <w:tblHeader w:val="false"/>
        </w:trPr>
        <w:tc>
          <w:tcPr>
            <w:tcW w:type="dxa" w:w="23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Rights</w:t>
            </w:r>
          </w:p>
        </w:tc>
        <w:tc>
          <w:tcPr>
            <w:tcW w:type="dxa" w:w="7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Which option best respects the rights of everyone involved — privacy, truth, consent?</w:t>
            </w:r>
          </w:p>
        </w:tc>
      </w:tr>
      <w:tr>
        <w:trPr>
          <w:cantSplit/>
          <w:tblHeader w:val="false"/>
        </w:trPr>
        <w:tc>
          <w:tcPr>
            <w:tcW w:type="dxa" w:w="23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Fairness or justice</w:t>
            </w:r>
          </w:p>
        </w:tc>
        <w:tc>
          <w:tcPr>
            <w:tcW w:type="dxa" w:w="7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Which option treats people equally, or unequally only for a justifiable reason?</w:t>
            </w:r>
          </w:p>
        </w:tc>
      </w:tr>
      <w:tr>
        <w:trPr>
          <w:cantSplit/>
          <w:tblHeader w:val="false"/>
        </w:trPr>
        <w:tc>
          <w:tcPr>
            <w:tcW w:type="dxa" w:w="23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Common good</w:t>
            </w:r>
          </w:p>
        </w:tc>
        <w:tc>
          <w:tcPr>
            <w:tcW w:type="dxa" w:w="7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Which option best serves the community as a whole?</w:t>
            </w:r>
          </w:p>
        </w:tc>
      </w:tr>
      <w:tr>
        <w:trPr>
          <w:cantSplit/>
          <w:tblHeader w:val="false"/>
        </w:trPr>
        <w:tc>
          <w:tcPr>
            <w:tcW w:type="dxa" w:w="23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Virtue</w:t>
            </w:r>
          </w:p>
        </w:tc>
        <w:tc>
          <w:tcPr>
            <w:tcW w:type="dxa" w:w="7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Which option leads me to act as the sort of person I want to be?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C9D1DD" w:sz="4"/>
              <w:left w:val="single" w:color="C9D1DD" w:sz="4"/>
              <w:bottom w:val="single" w:color="C9D1DD" w:sz="4"/>
              <w:right w:val="single" w:color="C9D1DD" w:sz="4"/>
            </w:tcBorders>
            <w:shd w:fill="0F8B8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ISC2 canon</w:t>
            </w:r>
          </w:p>
        </w:tc>
        <w:tc>
          <w:tcPr>
            <w:tcW w:type="dxa" w:w="8138"/>
            <w:tcBorders>
              <w:top w:val="single" w:color="C9D1DD" w:sz="4"/>
              <w:left w:val="single" w:color="C9D1DD" w:sz="4"/>
              <w:bottom w:val="single" w:color="C9D1DD" w:sz="4"/>
              <w:right w:val="single" w:color="C9D1DD" w:sz="4"/>
            </w:tcBorders>
            <w:shd w:fill="0F8B8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Text (in order)</w:t>
            </w:r>
          </w:p>
        </w:tc>
      </w:tr>
      <w:tr>
        <w:trPr>
          <w:cantSplit/>
          <w:tblHeader w:val="false"/>
        </w:trP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w:t>
            </w:r>
          </w:p>
        </w:tc>
        <w:tc>
          <w:tcPr>
            <w:tcW w:type="dxa" w:w="81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Protect society, the common good, necessary public trust and confidence, and the infrastructure</w:t>
            </w:r>
          </w:p>
        </w:tc>
      </w:tr>
      <w:tr>
        <w:trPr>
          <w:cantSplit/>
          <w:tblHeader w:val="false"/>
        </w:trP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II</w:t>
            </w:r>
          </w:p>
        </w:tc>
        <w:tc>
          <w:tcPr>
            <w:tcW w:type="dxa" w:w="81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Act honourably, honestly, justly, responsibly and legally</w:t>
            </w:r>
          </w:p>
        </w:tc>
      </w:tr>
      <w:tr>
        <w:trPr>
          <w:cantSplit/>
          <w:tblHeader w:val="false"/>
        </w:trP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III</w:t>
            </w:r>
          </w:p>
        </w:tc>
        <w:tc>
          <w:tcPr>
            <w:tcW w:type="dxa" w:w="81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Provide diligent and competent service to principals</w:t>
            </w:r>
          </w:p>
        </w:tc>
      </w:tr>
      <w:tr>
        <w:trPr>
          <w:cantSplit/>
          <w:tblHeader w:val="false"/>
        </w:trPr>
        <w:tc>
          <w:tcPr>
            <w:tcW w:type="dxa" w:w="15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IV</w:t>
            </w:r>
          </w:p>
        </w:tc>
        <w:tc>
          <w:tcPr>
            <w:tcW w:type="dxa" w:w="81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Advance and protect the profession</w:t>
            </w:r>
          </w:p>
        </w:tc>
      </w:tr>
    </w:tbl>
    <w:p>
      <w:pPr>
        <w:spacing w:after="120"/>
      </w:pPr>
    </w:p>
    <w:p>
      <w:pPr>
        <w:spacing w:after="120" w:before="0"/>
      </w:pPr>
      <w:r>
        <w:rPr>
          <w:rFonts w:ascii="Calibri" w:cs="Calibri" w:eastAsia="Calibri" w:hAnsi="Calibri"/>
          <w:b/>
          <w:bCs/>
        </w:rPr>
        <w:t xml:space="preserve">ACM principles (Section 1): </w:t>
      </w:r>
      <w:r>
        <w:rPr>
          <w:rFonts w:ascii="Calibri" w:cs="Calibri" w:eastAsia="Calibri" w:hAnsi="Calibri"/>
        </w:rPr>
        <w:t xml:space="preserve">1.1 Contribute to society and human well-being · 1.2 Avoid harm · 1.3 Be honest and trustworthy · 1.4 Be fair and do not discriminate · 1.5 Respect the work required to produce new ideas · 1.6 Respect privacy · 1.7 Honour confidentiality.</w:t>
      </w:r>
    </w:p>
    <w:p>
      <w:pPr>
        <w:spacing w:after="120" w:before="0"/>
      </w:pPr>
      <w:r>
        <w:rPr>
          <w:rFonts w:ascii="Calibri" w:cs="Calibri" w:eastAsia="Calibri" w:hAnsi="Calibri"/>
          <w:b/>
          <w:bCs/>
        </w:rPr>
        <w:t xml:space="preserve">Deterrence works only if all three hold: </w:t>
      </w:r>
      <w:r>
        <w:rPr>
          <w:rFonts w:ascii="Calibri" w:cs="Calibri" w:eastAsia="Calibri" w:hAnsi="Calibri"/>
        </w:rPr>
        <w:t xml:space="preserve">fear of penalty × probability of being caught × probability the penalty is applied.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1000"/>
            <w:tcBorders>
              <w:top w:val="none" w:color="FFFFFF" w:sz="0"/>
              <w:left w:val="none" w:color="FFFFFF" w:sz="0"/>
              <w:bottom w:val="none" w:color="FFFFFF" w:sz="0"/>
              <w:right w:val="none" w:color="FFFFFF" w:sz="0"/>
            </w:tcBorders>
            <w:shd w:fill="E6F4F4" w:color="auto" w:val="clear"/>
            <w:tcMar>
              <w:top w:type="dxa" w:w="120"/>
              <w:left w:type="dxa" w:w="120"/>
              <w:bottom w:type="dxa" w:w="80"/>
              <w:right w:type="dxa" w:w="0"/>
            </w:tcMar>
            <w:vAlign w:val="center"/>
          </w:tcPr>
          <w:p>
            <w:pPr>
              <w:jc w:val="center"/>
            </w:pPr>
            <w:r>
              <w:drawing>
                <wp:inline distT="0" distB="0" distL="0" distR="0">
                  <wp:extent cx="438150" cy="438150"/>
                  <wp:effectExtent t="0" r="0" b="0" l="0"/>
                  <wp:docPr id="1" name="books" descr="books" title="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shd w:fill="E6F4F4" w:color="auto" w:val="clear"/>
            <w:tcMar>
              <w:top w:type="dxa" w:w="140"/>
              <w:left w:type="dxa" w:w="200"/>
              <w:bottom w:type="dxa" w:w="100"/>
              <w:right w:type="dxa" w:w="220"/>
            </w:tcMar>
            <w:vAlign w:val="center"/>
          </w:tcPr>
          <w:p>
            <w:pPr>
              <w:spacing w:after="60"/>
            </w:pPr>
            <w:r>
              <w:rPr>
                <w:b/>
                <w:bCs/>
                <w:color w:val="0F8B8D"/>
                <w:spacing w:val="30"/>
                <w:sz w:val="17"/>
                <w:szCs w:val="17"/>
              </w:rPr>
              <w:t xml:space="preserve">FULL TEXTS</w:t>
            </w:r>
          </w:p>
          <w:p>
            <w:pPr>
              <w:spacing w:after="60"/>
            </w:pPr>
            <w:r>
              <w:rPr>
                <w:rFonts w:ascii="Calibri" w:cs="Calibri" w:eastAsia="Calibri" w:hAnsi="Calibri"/>
                <w:color w:val="1B2333"/>
                <w:sz w:val="20"/>
                <w:szCs w:val="20"/>
              </w:rPr>
              <w:t xml:space="preserve">ISC2 Code of Ethics — isc2.org/ethics</w:t>
            </w:r>
          </w:p>
          <w:p>
            <w:pPr>
              <w:spacing w:after="60"/>
            </w:pPr>
            <w:r>
              <w:rPr>
                <w:rFonts w:ascii="Calibri" w:cs="Calibri" w:eastAsia="Calibri" w:hAnsi="Calibri"/>
                <w:color w:val="1B2333"/>
                <w:sz w:val="20"/>
                <w:szCs w:val="20"/>
              </w:rPr>
              <w:t xml:space="preserve">ACM Code of Ethics and Professional Conduct — acm.org/code-of-ethics</w:t>
            </w:r>
          </w:p>
        </w:tc>
      </w:tr>
    </w:tbl>
    <w:p>
      <w:pPr>
        <w:pStyle w:val="Heading1"/>
        <w:keepNext/>
      </w:pPr>
      <w:r>
        <w:t xml:space="preserve">3. Tasks</w:t>
      </w:r>
    </w:p>
    <w:p>
      <w:pPr>
        <w:pStyle w:val="Heading2"/>
        <w:keepNext/>
      </w:pPr>
      <w:r>
        <w:t xml:space="preserve">Part A — Three dilemmas, five approaches (30 min)</w:t>
      </w:r>
    </w:p>
    <w:p>
      <w:pPr>
        <w:spacing w:after="120" w:before="0"/>
      </w:pPr>
      <w:r>
        <w:rPr>
          <w:rFonts w:ascii="Calibri" w:cs="Calibri" w:eastAsia="Calibri" w:hAnsi="Calibri"/>
        </w:rPr>
        <w:t xml:space="preserve">Read each dilemma. For each one, complete a decision matrix: what each approach suggests, and which option it leans toward. Then make a decision and justify it in two or three sentences. Dilemma 1 is partly completed as an example.</w:t>
      </w:r>
    </w:p>
    <w:p>
      <w:pPr>
        <w:pStyle w:val="Heading3"/>
        <w:keepNext/>
      </w:pPr>
      <w:r>
        <w:t xml:space="preserve">Dilemma 1: The ransom and the diagnostic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1000"/>
            <w:tcBorders>
              <w:top w:val="none" w:color="FFFFFF" w:sz="0"/>
              <w:left w:val="none" w:color="FFFFFF" w:sz="0"/>
              <w:bottom w:val="none" w:color="FFFFFF" w:sz="0"/>
              <w:right w:val="none" w:color="FFFFFF" w:sz="0"/>
            </w:tcBorders>
            <w:shd w:fill="FDF3DC" w:color="auto" w:val="clear"/>
            <w:tcMar>
              <w:top w:type="dxa" w:w="120"/>
              <w:left w:type="dxa" w:w="120"/>
              <w:bottom w:type="dxa" w:w="80"/>
              <w:right w:type="dxa" w:w="0"/>
            </w:tcMar>
            <w:vAlign w:val="center"/>
          </w:tcPr>
          <w:p>
            <w:pPr>
              <w:jc w:val="center"/>
            </w:pPr>
            <w:r>
              <w:drawing>
                <wp:inline distT="0" distB="0" distL="0" distR="0">
                  <wp:extent cx="438150" cy="438150"/>
                  <wp:effectExtent t="0" r="0" b="0" l="0"/>
                  <wp:docPr id="1" name="bomb" descr="bomb" title="bo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 cy="43815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shd w:fill="FDF3DC" w:color="auto" w:val="clear"/>
            <w:tcMar>
              <w:top w:type="dxa" w:w="140"/>
              <w:left w:type="dxa" w:w="200"/>
              <w:bottom w:type="dxa" w:w="100"/>
              <w:right w:type="dxa" w:w="220"/>
            </w:tcMar>
            <w:vAlign w:val="center"/>
          </w:tcPr>
          <w:p>
            <w:pPr>
              <w:spacing w:after="60"/>
            </w:pPr>
            <w:r>
              <w:rPr>
                <w:rFonts w:ascii="Calibri" w:cs="Calibri" w:eastAsia="Calibri" w:hAnsi="Calibri"/>
                <w:color w:val="1B2333"/>
                <w:sz w:val="20"/>
                <w:szCs w:val="20"/>
              </w:rPr>
              <w:t xml:space="preserve">MedLab Tashkent (fictional), a private diagnostic laboratory, is hit by ransomware on a Friday evening. Test results for 300 patients — some urgent cancer screenings — are encrypted. Backups exist but restoring them will take about five days. The attackers demand USD 80,000 and promise a decryption key within hours. The CEO asks you, the security manager, for a recommendation by 22:00.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Approach</w:t>
            </w:r>
          </w:p>
        </w:tc>
        <w:tc>
          <w:tcPr>
            <w:tcW w:type="dxa" w:w="56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What it suggests in this case</w:t>
            </w:r>
          </w:p>
        </w:tc>
        <w:tc>
          <w:tcPr>
            <w:tcW w:type="dxa" w:w="21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Leans toward</w:t>
            </w:r>
          </w:p>
        </w:tc>
      </w:tr>
      <w:tr>
        <w:trPr>
          <w:cantSplit/>
          <w:tblHeader w:val="false"/>
        </w:trPr>
        <w:tc>
          <w:tcPr>
            <w:tcW w:type="dxa" w:w="1900"/>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9"/>
                <w:szCs w:val="19"/>
              </w:rPr>
              <w:t xml:space="preserve">Utilitarian</w:t>
            </w:r>
          </w:p>
        </w:tc>
        <w:tc>
          <w:tcPr>
            <w:tcW w:type="dxa" w:w="5638"/>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9"/>
                <w:szCs w:val="19"/>
              </w:rPr>
              <w:t xml:space="preserve">Paying may restore urgent results within hours and reduce harm to patients — but it funds criminals and there is no guarantee the key works.</w:t>
            </w:r>
          </w:p>
        </w:tc>
        <w:tc>
          <w:tcPr>
            <w:tcW w:type="dxa" w:w="2100"/>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9"/>
                <w:szCs w:val="19"/>
              </w:rPr>
              <w:t xml:space="preserve">Pay (with conditions)</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Rights</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Patients have a right to timely care and honest information. Paying criminals may not protect their data.</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Restore and inform</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Fairness / justice</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Urgent patients need equal access to alternative tests. A ransom payment might not help everyone.</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Do not pay</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Common good</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Paying supports more cyberattacks on other hospitals and patients.</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Do not pay</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Virtue</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 responsible manager should be honest and avoid trusting criminals.</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Do not pay</w:t>
            </w:r>
          </w:p>
        </w:tc>
      </w:tr>
    </w:tbl>
    <w:p>
      <w:pPr>
        <w:keepNext/>
        <w:spacing w:after="40" w:before="120"/>
      </w:pPr>
      <w:r>
        <w:rPr>
          <w:rFonts w:ascii="Calibri" w:cs="Calibri" w:eastAsia="Calibri" w:hAnsi="Calibri"/>
          <w:b/>
          <w:bCs/>
        </w:rPr>
        <w:t xml:space="preserve">Our decision and justification:</w:t>
      </w:r>
    </w:p>
    <w:p>
      <w:pPr>
        <w:pBdr>
          <w:bottom w:val="single" w:color="C9D1DD" w:sz="4" w:space="1"/>
        </w:pBdr>
        <w:spacing w:after="0" w:before="0" w:line="400"/>
      </w:pPr>
      <w:r>
        <w:rPr>
          <w:sz w:val="20"/>
        </w:rPr>
        <w:t>I recommend not paying immediately. We should contact the incident response team and authorities, use emergency laboratories for urgent tests, and start recovery from backups. Payment does not guarantee results and may encourage more attacks.</w:t>
      </w:r>
    </w:p>
    <w:p>
      <w:pPr>
        <w:pBdr>
          <w:bottom w:val="single" w:color="C9D1DD" w:sz="4" w:space="1"/>
        </w:pBdr>
        <w:spacing w:after="0" w:before="0" w:line="400"/>
      </w:pPr>
    </w:p>
    <w:p>
      <w:pPr>
        <w:pBdr>
          <w:bottom w:val="single" w:color="C9D1DD" w:sz="4" w:space="1"/>
        </w:pBdr>
        <w:spacing w:after="0" w:before="0" w:line="400"/>
      </w:pPr>
    </w:p>
    <w:p>
      <w:pPr>
        <w:spacing w:after="160"/>
      </w:pPr>
    </w:p>
    <w:p>
      <w:pPr>
        <w:pStyle w:val="Heading3"/>
        <w:keepNext/>
      </w:pPr>
      <w:r>
        <w:t xml:space="preserve">Dilemma 2: The vulnerability in the university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1000"/>
            <w:tcBorders>
              <w:top w:val="none" w:color="FFFFFF" w:sz="0"/>
              <w:left w:val="none" w:color="FFFFFF" w:sz="0"/>
              <w:bottom w:val="none" w:color="FFFFFF" w:sz="0"/>
              <w:right w:val="none" w:color="FFFFFF" w:sz="0"/>
            </w:tcBorders>
            <w:shd w:fill="FDF3DC" w:color="auto" w:val="clear"/>
            <w:tcMar>
              <w:top w:type="dxa" w:w="120"/>
              <w:left w:type="dxa" w:w="120"/>
              <w:bottom w:type="dxa" w:w="80"/>
              <w:right w:type="dxa" w:w="0"/>
            </w:tcMar>
            <w:vAlign w:val="center"/>
          </w:tcPr>
          <w:p>
            <w:pPr>
              <w:jc w:val="center"/>
            </w:pPr>
            <w:r>
              <w:drawing>
                <wp:inline distT="0" distB="0" distL="0" distR="0">
                  <wp:extent cx="438150" cy="438150"/>
                  <wp:effectExtent t="0" r="0" b="0" l="0"/>
                  <wp:docPr id="1" name="magnifying_glass_tilted_left" descr="magnifying glass tilted left" title="magnifying_glass_tilted_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 cy="43815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shd w:fill="FDF3DC" w:color="auto" w:val="clear"/>
            <w:tcMar>
              <w:top w:type="dxa" w:w="140"/>
              <w:left w:type="dxa" w:w="200"/>
              <w:bottom w:type="dxa" w:w="100"/>
              <w:right w:type="dxa" w:w="220"/>
            </w:tcMar>
            <w:vAlign w:val="center"/>
          </w:tcPr>
          <w:p>
            <w:pPr>
              <w:spacing w:after="60"/>
            </w:pPr>
            <w:r>
              <w:rPr>
                <w:rFonts w:ascii="Calibri" w:cs="Calibri" w:eastAsia="Calibri" w:hAnsi="Calibri"/>
                <w:color w:val="1B2333"/>
                <w:sz w:val="20"/>
                <w:szCs w:val="20"/>
              </w:rPr>
              <w:t xml:space="preserve">While checking your grades, you notice that changing a number in the web address shows another student’s transcript. You tried two more numbers to “make sure” it was real. A friend says you should post it on social media so the university “finally takes security seriously”. Another says to keep quiet because you may get in trouble for testing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Approach</w:t>
            </w:r>
          </w:p>
        </w:tc>
        <w:tc>
          <w:tcPr>
            <w:tcW w:type="dxa" w:w="56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What it suggests in this case</w:t>
            </w:r>
          </w:p>
        </w:tc>
        <w:tc>
          <w:tcPr>
            <w:tcW w:type="dxa" w:w="21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Leans toward</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Utilitarian</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 private report lets the university repair the problem without exposing more students.</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Report privately</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Rights</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Students have a right to privacy. Do not share their transcripts or test further.</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Report privately</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Fairness / justice</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All student records deserve the same protection.</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Report privately</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Common good</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Fixing the portal protects the whole university.</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Report privately</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Virtue</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Be honest, admit what happened, and stop accessing records.</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Report privately</w:t>
            </w:r>
          </w:p>
        </w:tc>
      </w:tr>
    </w:tbl>
    <w:p>
      <w:pPr>
        <w:keepNext/>
        <w:spacing w:after="40" w:before="120"/>
      </w:pPr>
      <w:r>
        <w:rPr>
          <w:rFonts w:ascii="Calibri" w:cs="Calibri" w:eastAsia="Calibri" w:hAnsi="Calibri"/>
          <w:b/>
          <w:bCs/>
        </w:rPr>
        <w:t xml:space="preserve">Our decision and justification:</w:t>
      </w:r>
    </w:p>
    <w:p>
      <w:pPr>
        <w:pBdr>
          <w:bottom w:val="single" w:color="C9D1DD" w:sz="4" w:space="1"/>
        </w:pBdr>
        <w:spacing w:after="0" w:before="0" w:line="400"/>
      </w:pPr>
      <w:r>
        <w:rPr>
          <w:sz w:val="20"/>
        </w:rPr>
        <w:t>I would stop testing the website and report the problem privately to the university security team. I would not post any student information online, because this could harm their privacy.</w:t>
      </w:r>
    </w:p>
    <w:p>
      <w:pPr>
        <w:pBdr>
          <w:bottom w:val="single" w:color="C9D1DD" w:sz="4" w:space="1"/>
        </w:pBdr>
        <w:spacing w:after="0" w:before="0" w:line="400"/>
      </w:pPr>
    </w:p>
    <w:p>
      <w:pPr>
        <w:pBdr>
          <w:bottom w:val="single" w:color="C9D1DD" w:sz="4" w:space="1"/>
        </w:pBdr>
        <w:spacing w:after="0" w:before="0" w:line="400"/>
      </w:pPr>
    </w:p>
    <w:p>
      <w:pPr>
        <w:spacing w:after="160"/>
      </w:pPr>
    </w:p>
    <w:p>
      <w:pPr>
        <w:pStyle w:val="Heading3"/>
        <w:keepNext/>
      </w:pPr>
      <w:r>
        <w:t xml:space="preserve">Dilemma 3: The CEO wants a keylogger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1000"/>
            <w:tcBorders>
              <w:top w:val="none" w:color="FFFFFF" w:sz="0"/>
              <w:left w:val="none" w:color="FFFFFF" w:sz="0"/>
              <w:bottom w:val="none" w:color="FFFFFF" w:sz="0"/>
              <w:right w:val="none" w:color="FFFFFF" w:sz="0"/>
            </w:tcBorders>
            <w:shd w:fill="FDF3DC" w:color="auto" w:val="clear"/>
            <w:tcMar>
              <w:top w:type="dxa" w:w="120"/>
              <w:left w:type="dxa" w:w="120"/>
              <w:bottom w:type="dxa" w:w="80"/>
              <w:right w:type="dxa" w:w="0"/>
            </w:tcMar>
            <w:vAlign w:val="center"/>
          </w:tcPr>
          <w:p>
            <w:pPr>
              <w:jc w:val="center"/>
            </w:pPr>
            <w:r>
              <w:drawing>
                <wp:inline distT="0" distB="0" distL="0" distR="0">
                  <wp:extent cx="438150" cy="438150"/>
                  <wp:effectExtent t="0" r="0" b="0" l="0"/>
                  <wp:docPr id="1" name="eye" descr="eye" titl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 cy="43815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shd w:fill="FDF3DC" w:color="auto" w:val="clear"/>
            <w:tcMar>
              <w:top w:type="dxa" w:w="140"/>
              <w:left w:type="dxa" w:w="200"/>
              <w:bottom w:type="dxa" w:w="100"/>
              <w:right w:type="dxa" w:w="220"/>
            </w:tcMar>
            <w:vAlign w:val="center"/>
          </w:tcPr>
          <w:p>
            <w:pPr>
              <w:spacing w:after="60"/>
            </w:pPr>
            <w:r>
              <w:rPr>
                <w:rFonts w:ascii="Calibri" w:cs="Calibri" w:eastAsia="Calibri" w:hAnsi="Calibri"/>
                <w:color w:val="1B2333"/>
                <w:sz w:val="20"/>
                <w:szCs w:val="20"/>
              </w:rPr>
              <w:t xml:space="preserve">After a leak of pricing data, the CEO of a 200-person company orders you to install software on every employee laptop that records keystrokes and takes a screenshot every five minutes. He wants it done secretly “so the leaker doesn’t notice”. The company has an acceptable-use policy that mentions “monitoring of company systems” in one sentence.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638"/>
        <w:gridCol w:w="2100"/>
      </w:tblGrid>
      <w:tr>
        <w:trPr>
          <w:cantSplit/>
          <w:tblHeader/>
        </w:trPr>
        <w:tc>
          <w:tcPr>
            <w:tcW w:type="dxa" w:w="19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Approach</w:t>
            </w:r>
          </w:p>
        </w:tc>
        <w:tc>
          <w:tcPr>
            <w:tcW w:type="dxa" w:w="56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What it suggests in this case</w:t>
            </w:r>
          </w:p>
        </w:tc>
        <w:tc>
          <w:tcPr>
            <w:tcW w:type="dxa" w:w="21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Leans toward</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Utilitarian</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Secret keylogging may find a leaker, but it creates serious privacy and security risks for 200 staff.</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Reject secret keylogging</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Rights</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Employees deserve privacy and clear notice about monitoring.</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Reject secret keylogging</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Fairness / justice</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Recording everyone without evidence is unfair to innocent staff.</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Reject secret keylogging</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Common good</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Trust and secure working conditions benefit the whole company.</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Use limited monitoring</w:t>
            </w:r>
          </w:p>
        </w:tc>
      </w:tr>
      <w:tr>
        <w:trPr>
          <w:cantSplit/>
          <w:trHeight w:val="62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Virtue</w:t>
            </w:r>
          </w:p>
        </w:tc>
        <w:tc>
          <w:tcPr>
            <w:tcW w:type="dxa" w:w="56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 trustworthy security manager should explain risks and refuse excessive secret surveillance.</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Reject secret keylogging</w:t>
            </w:r>
          </w:p>
        </w:tc>
      </w:tr>
    </w:tbl>
    <w:p>
      <w:pPr>
        <w:keepNext/>
        <w:spacing w:after="40" w:before="120"/>
      </w:pPr>
      <w:r>
        <w:rPr>
          <w:rFonts w:ascii="Calibri" w:cs="Calibri" w:eastAsia="Calibri" w:hAnsi="Calibri"/>
          <w:b/>
          <w:bCs/>
        </w:rPr>
        <w:t xml:space="preserve">Our decision and justification:</w:t>
      </w:r>
    </w:p>
    <w:p>
      <w:pPr>
        <w:pBdr>
          <w:bottom w:val="single" w:color="C9D1DD" w:sz="4" w:space="1"/>
        </w:pBdr>
        <w:spacing w:after="0" w:before="0" w:line="400"/>
      </w:pPr>
      <w:r>
        <w:rPr>
          <w:sz w:val="20"/>
        </w:rPr>
        <w:t>I would not install a secret keylogger on all laptops. I would suggest a legal, limited investigation with clear employee notice, access logs, and approval from HR and legal staff.</w:t>
      </w:r>
    </w:p>
    <w:p>
      <w:pPr>
        <w:pBdr>
          <w:bottom w:val="single" w:color="C9D1DD" w:sz="4" w:space="1"/>
        </w:pBdr>
        <w:spacing w:after="0" w:before="0" w:line="400"/>
      </w:pPr>
    </w:p>
    <w:p>
      <w:pPr>
        <w:pBdr>
          <w:bottom w:val="single" w:color="C9D1DD" w:sz="4" w:space="1"/>
        </w:pBdr>
        <w:spacing w:after="0" w:before="0" w:line="400"/>
      </w:pPr>
    </w:p>
    <w:p>
      <w:pPr>
        <w:spacing w:after="160"/>
      </w:pPr>
    </w:p>
    <w:p>
      <w:pPr>
        <w:pStyle w:val="Heading2"/>
        <w:keepNext/>
      </w:pPr>
      <w:r>
        <w:t xml:space="preserve">Part B — Map the professional codes (10 min)</w:t>
      </w:r>
    </w:p>
    <w:p>
      <w:pPr>
        <w:spacing w:after="120" w:before="0"/>
      </w:pPr>
      <w:r>
        <w:rPr>
          <w:rFonts w:ascii="Calibri" w:cs="Calibri" w:eastAsia="Calibri" w:hAnsi="Calibri"/>
        </w:rPr>
        <w:t xml:space="preserve">For each dilemma, identify the ISC2 canon(s) and ACM principle(s) most at stake, any law that may apply, and the action a certified professional should 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700"/>
        <w:gridCol w:w="2200"/>
        <w:gridCol w:w="3038"/>
      </w:tblGrid>
      <w:tr>
        <w:trPr>
          <w:cantSplit/>
          <w:tblHeader/>
        </w:trPr>
        <w:tc>
          <w:tcPr>
            <w:tcW w:type="dxa" w:w="12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Dilemma</w:t>
            </w:r>
          </w:p>
        </w:tc>
        <w:tc>
          <w:tcPr>
            <w:tcW w:type="dxa" w:w="15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ISC2 canon(s)</w:t>
            </w:r>
          </w:p>
        </w:tc>
        <w:tc>
          <w:tcPr>
            <w:tcW w:type="dxa" w:w="17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ACM principle(s)</w:t>
            </w:r>
          </w:p>
        </w:tc>
        <w:tc>
          <w:tcPr>
            <w:tcW w:type="dxa" w:w="22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Law that may apply</w:t>
            </w:r>
          </w:p>
        </w:tc>
        <w:tc>
          <w:tcPr>
            <w:tcW w:type="dxa" w:w="30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Professional action</w:t>
            </w:r>
          </w:p>
        </w:tc>
      </w:tr>
      <w:tr>
        <w:trPr>
          <w:cantSplit/>
          <w:trHeight w:val="1100" w:hRule="atLeast"/>
        </w:trPr>
        <w:tc>
          <w:tcPr>
            <w:tcW w:type="dxa" w:w="12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1</w:t>
            </w:r>
          </w:p>
        </w:tc>
        <w:tc>
          <w:tcPr>
            <w:tcW w:type="dxa" w:w="1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 II, III</w:t>
            </w:r>
          </w:p>
        </w:tc>
        <w:tc>
          <w:tcPr>
            <w:tcW w:type="dxa" w:w="1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1.1, 1.2, 1.3, 1.6</w:t>
            </w:r>
          </w:p>
        </w:tc>
        <w:tc>
          <w:tcPr>
            <w:tcW w:type="dxa" w:w="2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Personal data / health privacy laws; cybercrime and incident-reporting rules</w:t>
            </w:r>
          </w:p>
        </w:tc>
        <w:tc>
          <w:tcPr>
            <w:tcW w:type="dxa" w:w="3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Protect urgent patients, inform authorities, restore backups, arrange alternative tests.</w:t>
            </w:r>
          </w:p>
        </w:tc>
      </w:tr>
      <w:tr>
        <w:trPr>
          <w:cantSplit/>
          <w:trHeight w:val="1100" w:hRule="atLeast"/>
        </w:trPr>
        <w:tc>
          <w:tcPr>
            <w:tcW w:type="dxa" w:w="12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2</w:t>
            </w:r>
          </w:p>
        </w:tc>
        <w:tc>
          <w:tcPr>
            <w:tcW w:type="dxa" w:w="1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 II, III</w:t>
            </w:r>
          </w:p>
        </w:tc>
        <w:tc>
          <w:tcPr>
            <w:tcW w:type="dxa" w:w="1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1.2, 1.3, 1.6, 1.7</w:t>
            </w:r>
          </w:p>
        </w:tc>
        <w:tc>
          <w:tcPr>
            <w:tcW w:type="dxa" w:w="2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Personal data protection; unauthorized computer access laws</w:t>
            </w:r>
          </w:p>
        </w:tc>
        <w:tc>
          <w:tcPr>
            <w:tcW w:type="dxa" w:w="3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Stop testing, preserve minimal evidence, report privately and confidentially.</w:t>
            </w:r>
          </w:p>
        </w:tc>
      </w:tr>
      <w:tr>
        <w:trPr>
          <w:cantSplit/>
          <w:trHeight w:val="1100" w:hRule="atLeast"/>
        </w:trPr>
        <w:tc>
          <w:tcPr>
            <w:tcW w:type="dxa" w:w="12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3</w:t>
            </w:r>
          </w:p>
        </w:tc>
        <w:tc>
          <w:tcPr>
            <w:tcW w:type="dxa" w:w="1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 II, III</w:t>
            </w:r>
          </w:p>
        </w:tc>
        <w:tc>
          <w:tcPr>
            <w:tcW w:type="dxa" w:w="1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1.2, 1.4, 1.6, 1.7</w:t>
            </w:r>
          </w:p>
        </w:tc>
        <w:tc>
          <w:tcPr>
            <w:tcW w:type="dxa" w:w="2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Employee privacy; labour and data protection laws</w:t>
            </w:r>
          </w:p>
        </w:tc>
        <w:tc>
          <w:tcPr>
            <w:tcW w:type="dxa" w:w="3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Refuse blanket secret surveillance; propose necessary and transparent controls.</w:t>
            </w:r>
          </w:p>
        </w:tc>
      </w:tr>
    </w:tbl>
    <w:p>
      <w:pPr>
        <w:pStyle w:val="Heading2"/>
        <w:keepNext/>
      </w:pPr>
      <w:r>
        <w:t xml:space="preserve">Part C — Ignorance, accident or intent? (15 min)</w:t>
      </w:r>
    </w:p>
    <w:p>
      <w:pPr>
        <w:spacing w:after="120" w:before="0"/>
      </w:pPr>
      <w:r>
        <w:rPr>
          <w:rFonts w:ascii="Calibri" w:cs="Calibri" w:eastAsia="Calibri" w:hAnsi="Calibri"/>
        </w:rPr>
        <w:t xml:space="preserve">Classify each incident. Then name the weakest deterrence condition (if any) and one control that would have prevented or deterred it. Row 1 is an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1250"/>
        <w:gridCol w:w="2100"/>
        <w:gridCol w:w="2338"/>
      </w:tblGrid>
      <w:tr>
        <w:trPr>
          <w:cantSplit/>
          <w:tblHeader/>
        </w:trPr>
        <w:tc>
          <w:tcPr>
            <w:tcW w:type="dxa" w:w="45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t>
            </w:r>
          </w:p>
        </w:tc>
        <w:tc>
          <w:tcPr>
            <w:tcW w:type="dxa" w:w="35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Incident</w:t>
            </w:r>
          </w:p>
        </w:tc>
        <w:tc>
          <w:tcPr>
            <w:tcW w:type="dxa" w:w="125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Cause</w:t>
            </w:r>
          </w:p>
        </w:tc>
        <w:tc>
          <w:tcPr>
            <w:tcW w:type="dxa" w:w="21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Weakest deterrence condition</w:t>
            </w:r>
          </w:p>
        </w:tc>
        <w:tc>
          <w:tcPr>
            <w:tcW w:type="dxa" w:w="23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Best control</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8"/>
                <w:szCs w:val="18"/>
              </w:rPr>
              <w:t xml:space="preserve">1</w:t>
            </w:r>
          </w:p>
        </w:tc>
        <w:tc>
          <w:tcPr>
            <w:tcW w:type="dxa" w:w="3500"/>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8"/>
                <w:szCs w:val="18"/>
              </w:rPr>
              <w:t xml:space="preserve">A new accountant emails payroll data to a tax adviser using personal Gmail because “that is how we did it at my last job”.</w:t>
            </w:r>
          </w:p>
        </w:tc>
        <w:tc>
          <w:tcPr>
            <w:tcW w:type="dxa" w:w="1250"/>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8"/>
                <w:szCs w:val="18"/>
              </w:rPr>
              <w:t xml:space="preserve">Ignorance</w:t>
            </w:r>
          </w:p>
        </w:tc>
        <w:tc>
          <w:tcPr>
            <w:tcW w:type="dxa" w:w="2100"/>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8"/>
                <w:szCs w:val="18"/>
              </w:rPr>
              <w:t xml:space="preserve">Not applicable — he did not know the rule</w:t>
            </w:r>
          </w:p>
        </w:tc>
        <w:tc>
          <w:tcPr>
            <w:tcW w:type="dxa" w:w="2338"/>
            <w:tcBorders>
              <w:top w:val="single" w:color="C9D1DD" w:sz="4"/>
              <w:left w:val="single" w:color="C9D1DD" w:sz="4"/>
              <w:bottom w:val="single" w:color="C9D1DD" w:sz="4"/>
              <w:right w:val="single" w:color="C9D1DD" w:sz="4"/>
            </w:tcBorders>
            <w:shd w:fill="FDF3DC" w:color="auto" w:val="clear"/>
            <w:tcMar>
              <w:top w:type="dxa" w:w="70"/>
              <w:left w:type="dxa" w:w="110"/>
              <w:bottom w:type="dxa" w:w="70"/>
              <w:right w:type="dxa" w:w="110"/>
            </w:tcMar>
            <w:vAlign w:val="center"/>
          </w:tcPr>
          <w:p>
            <w:pPr>
              <w:spacing w:after="0"/>
            </w:pPr>
            <w:r>
              <w:rPr>
                <w:rFonts w:ascii="Calibri" w:cs="Calibri" w:eastAsia="Calibri" w:hAnsi="Calibri"/>
                <w:i/>
                <w:iCs/>
                <w:color w:val="5A6478"/>
                <w:sz w:val="18"/>
                <w:szCs w:val="18"/>
              </w:rPr>
              <w:t xml:space="preserve">Onboarding training; clear data-transfer policy; secure file-share tool</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2</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A developer runs a database migration script against production instead of test, deleting 2,000 orders.</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Accident</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Not applicable — an error, not intentional misconduct</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Test environment separation; approval and backup before migration.</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3</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Staff regularly share one admin password “to save time”. Everyone knows the policy forbids it; nobody has ever been disciplined.</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Intent</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Penalty is not applied</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Unique admin accounts; MFA; enforce sanctions consistently.</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4</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A call-centre employee looks up the home address of a celebrity customer out of curiosity. Logs exist but are never reviewed.</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Intent</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Low probability of being caught</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Review access logs and alert on unusual customer lookups.</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5</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A departing engineer copies source code to a USB stick on her last day to use at her new employer.</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Intent</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Low probability of being caught</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Block USB copying; monitor data transfers and revoke exit access.</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6</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An intern installs a pirated design program on a company PC, believing it is free software.</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Ignorance</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Not applicable — intern misunderstood licensing</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Software approval process and licence awareness training.</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7</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A manager tells staff the internet-use policy “does not apply to the sales team” because they are top performers.</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Intent</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Penalty is not applied consistently</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Apply the policy equally to sales and all other teams.</w:t>
            </w:r>
          </w:p>
        </w:tc>
      </w:tr>
      <w:tr>
        <w:trPr>
          <w:cantSplit/>
          <w:tblHeader w:val="false"/>
          <w:trHeight w:val="760" w:hRule="atLeast"/>
        </w:trPr>
        <w:tc>
          <w:tcPr>
            <w:tcW w:type="dxa" w:w="4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8</w:t>
            </w:r>
          </w:p>
        </w:tc>
        <w:tc>
          <w:tcPr>
            <w:tcW w:type="dxa" w:w="35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i w:val="false"/>
                <w:iCs w:val="false"/>
                <w:sz w:val="18"/>
                <w:szCs w:val="18"/>
              </w:rPr>
              <w:t xml:space="preserve">A system administrator accidentally makes a cloud storage bucket public while testing a new website.</w:t>
            </w:r>
          </w:p>
        </w:tc>
        <w:tc>
          <w:tcPr>
            <w:tcW w:type="dxa" w:w="125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Accident</w:t>
            </w:r>
          </w:p>
        </w:tc>
        <w:tc>
          <w:tcPr>
            <w:tcW w:type="dxa" w:w="21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Not applicable — configuration error</w:t>
            </w:r>
          </w:p>
        </w:tc>
        <w:tc>
          <w:tcPr>
            <w:tcW w:type="dxa" w:w="2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Private-by-default storage, automated checks and peer review.</w:t>
            </w:r>
          </w:p>
        </w:tc>
      </w:tr>
    </w:tbl>
    <w:p>
      <w:pPr>
        <w:pStyle w:val="Heading2"/>
        <w:keepNext/>
      </w:pPr>
      <w:r>
        <w:t xml:space="preserve">Part D — Make a policy enforceable (15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1000"/>
            <w:tcBorders>
              <w:top w:val="none" w:color="FFFFFF" w:sz="0"/>
              <w:left w:val="none" w:color="FFFFFF" w:sz="0"/>
              <w:bottom w:val="none" w:color="FFFFFF" w:sz="0"/>
              <w:right w:val="none" w:color="FFFFFF" w:sz="0"/>
            </w:tcBorders>
            <w:shd w:fill="FDF3DC" w:color="auto" w:val="clear"/>
            <w:tcMar>
              <w:top w:type="dxa" w:w="120"/>
              <w:left w:type="dxa" w:w="120"/>
              <w:bottom w:type="dxa" w:w="80"/>
              <w:right w:type="dxa" w:w="0"/>
            </w:tcMar>
            <w:vAlign w:val="center"/>
          </w:tcPr>
          <w:p>
            <w:pPr>
              <w:jc w:val="center"/>
            </w:pPr>
            <w:r>
              <w:drawing>
                <wp:inline distT="0" distB="0" distL="0" distR="0">
                  <wp:extent cx="438150" cy="438150"/>
                  <wp:effectExtent t="0" r="0" b="0" l="0"/>
                  <wp:docPr id="1" name="scroll" descr="scroll" title="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 cy="43815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shd w:fill="FDF3DC" w:color="auto" w:val="clear"/>
            <w:tcMar>
              <w:top w:type="dxa" w:w="140"/>
              <w:left w:type="dxa" w:w="200"/>
              <w:bottom w:type="dxa" w:w="100"/>
              <w:right w:type="dxa" w:w="220"/>
            </w:tcMar>
            <w:vAlign w:val="center"/>
          </w:tcPr>
          <w:p>
            <w:pPr>
              <w:spacing w:after="60"/>
            </w:pPr>
            <w:r>
              <w:rPr>
                <w:b/>
                <w:bCs/>
                <w:color w:val="8A6100"/>
                <w:spacing w:val="30"/>
                <w:sz w:val="17"/>
                <w:szCs w:val="17"/>
              </w:rPr>
              <w:t xml:space="preserve">SCENARIO</w:t>
            </w:r>
          </w:p>
          <w:p>
            <w:pPr>
              <w:spacing w:after="60"/>
            </w:pPr>
            <w:r>
              <w:rPr>
                <w:rFonts w:ascii="Calibri" w:cs="Calibri" w:eastAsia="Calibri" w:hAnsi="Calibri"/>
                <w:color w:val="1B2333"/>
                <w:sz w:val="20"/>
                <w:szCs w:val="20"/>
              </w:rPr>
              <w:t xml:space="preserve">Kamolot Trade LLC (fictional) wrote a “Removable Media Policy” in 2023 banning USB storage devices. It exists only in English, is stored in a shared folder that most staff cannot find, and was never announced. Warehouse staff mostly read Uzbek or Russian. Last month a warehouse supervisor was dismissed for using a USB stick; the CFO uses one every day. The supervisor is challenging the dismissal.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200"/>
        <w:gridCol w:w="3338"/>
      </w:tblGrid>
      <w:tr>
        <w:trPr>
          <w:cantSplit/>
          <w:tblHeader/>
        </w:trPr>
        <w:tc>
          <w:tcPr>
            <w:tcW w:type="dxa" w:w="19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Condition</w:t>
            </w:r>
          </w:p>
        </w:tc>
        <w:tc>
          <w:tcPr>
            <w:tcW w:type="dxa" w:w="12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Met? (Y/N)</w:t>
            </w:r>
          </w:p>
        </w:tc>
        <w:tc>
          <w:tcPr>
            <w:tcW w:type="dxa" w:w="32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Evidence from the scenario</w:t>
            </w:r>
          </w:p>
        </w:tc>
        <w:tc>
          <w:tcPr>
            <w:tcW w:type="dxa" w:w="33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What the company must do</w:t>
            </w:r>
          </w:p>
        </w:tc>
      </w:tr>
      <w:tr>
        <w:trPr>
          <w:cantSplit/>
          <w:trHeight w:val="78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Distributed</w:t>
            </w:r>
          </w:p>
        </w:tc>
        <w:tc>
          <w:tcPr>
            <w:tcW w:type="dxa" w:w="1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w:t>
            </w:r>
          </w:p>
        </w:tc>
        <w:tc>
          <w:tcPr>
            <w:tcW w:type="dxa" w:w="3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Policy was never announced and is hard to find.</w:t>
            </w:r>
          </w:p>
        </w:tc>
        <w:tc>
          <w:tcPr>
            <w:tcW w:type="dxa" w:w="3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Send the policy to all staff and keep it accessible.</w:t>
            </w:r>
          </w:p>
        </w:tc>
      </w:tr>
      <w:tr>
        <w:trPr>
          <w:cantSplit/>
          <w:trHeight w:val="78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Read</w:t>
            </w:r>
          </w:p>
        </w:tc>
        <w:tc>
          <w:tcPr>
            <w:tcW w:type="dxa" w:w="1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w:t>
            </w:r>
          </w:p>
        </w:tc>
        <w:tc>
          <w:tcPr>
            <w:tcW w:type="dxa" w:w="3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Most employees could not find the document.</w:t>
            </w:r>
          </w:p>
        </w:tc>
        <w:tc>
          <w:tcPr>
            <w:tcW w:type="dxa" w:w="3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Give access and record completion of reading.</w:t>
            </w:r>
          </w:p>
        </w:tc>
      </w:tr>
      <w:tr>
        <w:trPr>
          <w:cantSplit/>
          <w:trHeight w:val="78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Understood</w:t>
            </w:r>
          </w:p>
        </w:tc>
        <w:tc>
          <w:tcPr>
            <w:tcW w:type="dxa" w:w="1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w:t>
            </w:r>
          </w:p>
        </w:tc>
        <w:tc>
          <w:tcPr>
            <w:tcW w:type="dxa" w:w="3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It is only in English, but many staff read Uzbek or Russian.</w:t>
            </w:r>
          </w:p>
        </w:tc>
        <w:tc>
          <w:tcPr>
            <w:tcW w:type="dxa" w:w="3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Translate it and explain it in staff training.</w:t>
            </w:r>
          </w:p>
        </w:tc>
      </w:tr>
      <w:tr>
        <w:trPr>
          <w:cantSplit/>
          <w:trHeight w:val="78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Acknowledged</w:t>
            </w:r>
          </w:p>
        </w:tc>
        <w:tc>
          <w:tcPr>
            <w:tcW w:type="dxa" w:w="1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w:t>
            </w:r>
          </w:p>
        </w:tc>
        <w:tc>
          <w:tcPr>
            <w:tcW w:type="dxa" w:w="3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No signed or recorded confirmation is mentioned.</w:t>
            </w:r>
          </w:p>
        </w:tc>
        <w:tc>
          <w:tcPr>
            <w:tcW w:type="dxa" w:w="3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Ask each employee to acknowledge the policy.</w:t>
            </w:r>
          </w:p>
        </w:tc>
      </w:tr>
      <w:tr>
        <w:trPr>
          <w:cantSplit/>
          <w:trHeight w:val="780" w:hRule="atLeast"/>
        </w:trPr>
        <w:tc>
          <w:tcPr>
            <w:tcW w:type="dxa" w:w="19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Uniformly enforced</w:t>
            </w:r>
          </w:p>
        </w:tc>
        <w:tc>
          <w:tcPr>
            <w:tcW w:type="dxa" w:w="1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N</w:t>
            </w:r>
          </w:p>
        </w:tc>
        <w:tc>
          <w:tcPr>
            <w:tcW w:type="dxa" w:w="32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The supervisor was dismissed, but the CFO uses USB daily.</w:t>
            </w:r>
          </w:p>
        </w:tc>
        <w:tc>
          <w:tcPr>
            <w:tcW w:type="dxa" w:w="33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Apply the same rules and consequences to everyone.</w:t>
            </w:r>
          </w:p>
        </w:tc>
      </w:tr>
    </w:tbl>
    <w:p>
      <w:pPr>
        <w:keepNext/>
        <w:spacing w:after="40" w:before="160"/>
      </w:pPr>
      <w:r>
        <w:rPr>
          <w:rFonts w:ascii="Calibri" w:cs="Calibri" w:eastAsia="Calibri" w:hAnsi="Calibri"/>
          <w:b/>
          <w:bCs/>
        </w:rPr>
        <w:t xml:space="preserve">Write a login banner for Kamolot Trade’s computers </w:t>
      </w:r>
      <w:r>
        <w:rPr>
          <w:rFonts w:ascii="Calibri" w:cs="Calibri" w:eastAsia="Calibri" w:hAnsi="Calibri"/>
        </w:rPr>
        <w:t xml:space="preserve">(3–4 sentences) that strengthens all three deterrence conditions:</w:t>
      </w:r>
    </w:p>
    <w:p>
      <w:pPr>
        <w:pBdr>
          <w:bottom w:val="single" w:color="C9D1DD" w:sz="4" w:space="1"/>
        </w:pBdr>
        <w:spacing w:after="0" w:before="0" w:line="400"/>
      </w:pPr>
      <w:r>
        <w:rPr>
          <w:sz w:val="20"/>
        </w:rPr>
        <w:t>This computer is for authorised company use only. Access and removable-media activity may be logged and reviewed. Violations may be detected and may lead to disciplinary action under company policy. All users, including managers, are subject to the same rules.</w:t>
      </w:r>
    </w:p>
    <w:p>
      <w:pPr>
        <w:pBdr>
          <w:bottom w:val="single" w:color="C9D1DD" w:sz="4" w:space="1"/>
        </w:pBdr>
        <w:spacing w:after="0" w:before="0" w:line="400"/>
      </w:pPr>
    </w:p>
    <w:p>
      <w:pPr>
        <w:pBdr>
          <w:bottom w:val="single" w:color="C9D1DD" w:sz="4" w:space="1"/>
        </w:pBdr>
        <w:spacing w:after="0" w:before="0" w:line="400"/>
      </w:pPr>
    </w:p>
    <w:p>
      <w:pPr>
        <w:pBdr>
          <w:bottom w:val="single" w:color="C9D1DD" w:sz="4" w:space="1"/>
        </w:pBdr>
        <w:spacing w:after="0" w:before="0" w:line="400"/>
      </w:pPr>
    </w:p>
    <w:p>
      <w:pPr>
        <w:spacing w:after="160"/>
      </w:pPr>
    </w:p>
    <w:p>
      <w:pPr>
        <w:pStyle w:val="Heading2"/>
        <w:keepNext/>
      </w:pPr>
      <w:r>
        <w:t xml:space="preserve">Part E — Personal reflection (5 min, individual)</w:t>
      </w:r>
    </w:p>
    <w:p>
      <w:pPr>
        <w:spacing w:after="120" w:before="0"/>
      </w:pPr>
      <w:r>
        <w:rPr>
          <w:rFonts w:ascii="Calibri" w:cs="Calibri" w:eastAsia="Calibri" w:hAnsi="Calibri"/>
        </w:rPr>
        <w:t xml:space="preserve">Write three short commitments for your own professional code — things you will do, or refuse to do, when you hold privileged access. Each student writes their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19"/>
        <w:gridCol w:w="4219"/>
      </w:tblGrid>
      <w:tr>
        <w:trPr>
          <w:cantSplit/>
          <w:tblHeader/>
        </w:trPr>
        <w:tc>
          <w:tcPr>
            <w:tcW w:type="dxa" w:w="12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
            </w:r>
          </w:p>
        </w:tc>
        <w:tc>
          <w:tcPr>
            <w:tcW w:type="dxa" w:w="4219"/>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Student 1</w:t>
            </w:r>
          </w:p>
        </w:tc>
        <w:tc>
          <w:tcPr>
            <w:tcW w:type="dxa" w:w="4219"/>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Student 2</w:t>
            </w:r>
          </w:p>
        </w:tc>
      </w:tr>
      <w:tr>
        <w:trPr>
          <w:cantSplit/>
          <w:trHeight w:val="700" w:hRule="atLeast"/>
        </w:trPr>
        <w:tc>
          <w:tcPr>
            <w:tcW w:type="dxa" w:w="12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1</w:t>
            </w:r>
          </w:p>
        </w:tc>
        <w:tc>
          <w:tcPr>
            <w:tcW w:type="dxa" w:w="42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 will protect private data and access only what I need.</w:t>
            </w:r>
          </w:p>
        </w:tc>
        <w:tc>
          <w:tcPr>
            <w:tcW w:type="dxa" w:w="42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700" w:hRule="atLeast"/>
        </w:trPr>
        <w:tc>
          <w:tcPr>
            <w:tcW w:type="dxa" w:w="12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2</w:t>
            </w:r>
          </w:p>
        </w:tc>
        <w:tc>
          <w:tcPr>
            <w:tcW w:type="dxa" w:w="42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 will report security problems through official channels.</w:t>
            </w:r>
          </w:p>
        </w:tc>
        <w:tc>
          <w:tcPr>
            <w:tcW w:type="dxa" w:w="42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700" w:hRule="atLeast"/>
        </w:trPr>
        <w:tc>
          <w:tcPr>
            <w:tcW w:type="dxa" w:w="1200"/>
            <w:tcBorders>
              <w:top w:val="single" w:color="C9D1DD" w:sz="4"/>
              <w:left w:val="single" w:color="C9D1DD" w:sz="4"/>
              <w:bottom w:val="single" w:color="C9D1DD" w:sz="4"/>
              <w:right w:val="single" w:color="C9D1DD" w:sz="4"/>
            </w:tcBorders>
            <w:shd w:fill="EEF2F7"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3</w:t>
            </w:r>
          </w:p>
        </w:tc>
        <w:tc>
          <w:tcPr>
            <w:tcW w:type="dxa" w:w="42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r>
              <w:rPr>
                <w:sz w:val="18"/>
              </w:rPr>
              <w:t>I will never share passwords or copy confidential files without permission.</w:t>
            </w:r>
          </w:p>
        </w:tc>
        <w:tc>
          <w:tcPr>
            <w:tcW w:type="dxa" w:w="4219"/>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pStyle w:val="Heading1"/>
        <w:keepNext/>
      </w:pPr>
      <w:r>
        <w:t xml:space="preserve">4. Analysis questions</w:t>
      </w:r>
    </w:p>
    <w:p>
      <w:pPr>
        <w:keepNext/>
        <w:spacing w:after="40" w:before="120"/>
      </w:pPr>
      <w:r>
        <w:rPr>
          <w:b/>
          <w:bCs/>
          <w:color w:val="0F8B8D"/>
        </w:rPr>
        <w:t xml:space="preserve">Q1. </w:t>
      </w:r>
      <w:r>
        <w:rPr>
          <w:rFonts w:ascii="Calibri" w:cs="Calibri" w:eastAsia="Calibri" w:hAnsi="Calibri"/>
        </w:rPr>
        <w:t xml:space="preserve">In which dilemma did the five approaches disagree most? What does disagreement tell a manager about how to make the decision?</w:t>
      </w:r>
      <w:r>
        <w:rPr>
          <w:color w:val="5A6478"/>
          <w:sz w:val="18"/>
          <w:szCs w:val="18"/>
        </w:rPr>
        <w:t xml:space="preserve">  (4 pts)</w:t>
      </w:r>
    </w:p>
    <w:p>
      <w:pPr>
        <w:pBdr>
          <w:bottom w:val="single" w:color="C9D1DD" w:sz="4" w:space="1"/>
        </w:pBdr>
        <w:spacing w:after="0" w:before="0" w:line="400"/>
      </w:pPr>
      <w:r>
        <w:rPr>
          <w:sz w:val="20"/>
        </w:rPr>
        <w:t>Dilemma 1 has the biggest disagreement. The utilitarian view may support paying to save urgent results, while the common-good and virtue views warn against funding criminals. A manager should compare harms, ask specialists, and explain the final choice.</w:t>
      </w:r>
    </w:p>
    <w:p>
      <w:pPr>
        <w:pBdr>
          <w:bottom w:val="single" w:color="C9D1DD" w:sz="4" w:space="1"/>
        </w:pBdr>
        <w:spacing w:after="0" w:before="0" w:line="400"/>
      </w:pPr>
    </w:p>
    <w:p>
      <w:pPr>
        <w:pBdr>
          <w:bottom w:val="single" w:color="C9D1DD" w:sz="4" w:space="1"/>
        </w:pBdr>
        <w:spacing w:after="0" w:before="0" w:line="400"/>
      </w:pPr>
    </w:p>
    <w:p>
      <w:pPr>
        <w:pBdr>
          <w:bottom w:val="single" w:color="C9D1DD" w:sz="4" w:space="1"/>
        </w:pBdr>
        <w:spacing w:after="0" w:before="0" w:line="400"/>
      </w:pPr>
    </w:p>
    <w:p>
      <w:pPr>
        <w:spacing w:after="160"/>
      </w:pPr>
    </w:p>
    <w:p>
      <w:pPr>
        <w:keepNext/>
        <w:spacing w:after="40" w:before="120"/>
      </w:pPr>
      <w:r>
        <w:rPr>
          <w:b/>
          <w:bCs/>
          <w:color w:val="0F8B8D"/>
        </w:rPr>
        <w:t xml:space="preserve">Q2. </w:t>
      </w:r>
      <w:r>
        <w:rPr>
          <w:rFonts w:ascii="Calibri" w:cs="Calibri" w:eastAsia="Calibri" w:hAnsi="Calibri"/>
        </w:rPr>
        <w:t xml:space="preserve">Why does the ISC2 code list protecting society before service to principals? Give an example from Part A where this order changes the answer.</w:t>
      </w:r>
      <w:r>
        <w:rPr>
          <w:color w:val="5A6478"/>
          <w:sz w:val="18"/>
          <w:szCs w:val="18"/>
        </w:rPr>
        <w:t xml:space="preserve">  (4 pts)</w:t>
      </w:r>
    </w:p>
    <w:p>
      <w:pPr>
        <w:pBdr>
          <w:bottom w:val="single" w:color="C9D1DD" w:sz="4" w:space="1"/>
        </w:pBdr>
        <w:spacing w:after="0" w:before="0" w:line="400"/>
      </w:pPr>
      <w:r>
        <w:rPr>
          <w:sz w:val="20"/>
        </w:rPr>
        <w:t>Security professionals must protect people before following a company request. In Dilemma 3, the CEO asks for secret keylogging, but this may violate employee privacy. The manager should refuse excessive monitoring even if the CEO insists.</w:t>
      </w:r>
    </w:p>
    <w:p>
      <w:pPr>
        <w:pBdr>
          <w:bottom w:val="single" w:color="C9D1DD" w:sz="4" w:space="1"/>
        </w:pBdr>
        <w:spacing w:after="0" w:before="0" w:line="400"/>
      </w:pPr>
    </w:p>
    <w:p>
      <w:pPr>
        <w:pBdr>
          <w:bottom w:val="single" w:color="C9D1DD" w:sz="4" w:space="1"/>
        </w:pBdr>
        <w:spacing w:after="0" w:before="0" w:line="400"/>
      </w:pPr>
    </w:p>
    <w:p>
      <w:pPr>
        <w:pBdr>
          <w:bottom w:val="single" w:color="C9D1DD" w:sz="4" w:space="1"/>
        </w:pBdr>
        <w:spacing w:after="0" w:before="0" w:line="400"/>
      </w:pPr>
    </w:p>
    <w:p>
      <w:pPr>
        <w:spacing w:after="160"/>
      </w:pPr>
    </w:p>
    <w:p>
      <w:pPr>
        <w:keepNext/>
        <w:spacing w:after="40" w:before="120"/>
      </w:pPr>
      <w:r>
        <w:rPr>
          <w:b/>
          <w:bCs/>
          <w:color w:val="0F8B8D"/>
        </w:rPr>
        <w:t xml:space="preserve">Q3. </w:t>
      </w:r>
      <w:r>
        <w:rPr>
          <w:rFonts w:ascii="Calibri" w:cs="Calibri" w:eastAsia="Calibri" w:hAnsi="Calibri"/>
        </w:rPr>
        <w:t xml:space="preserve">Monitoring increases the probability of being caught. Using Dilemma 3, explain how monitoring itself can create legal and ethical problems.</w:t>
      </w:r>
      <w:r>
        <w:rPr>
          <w:color w:val="5A6478"/>
          <w:sz w:val="18"/>
          <w:szCs w:val="18"/>
        </w:rPr>
        <w:t xml:space="preserve">  (4 pts)</w:t>
      </w:r>
    </w:p>
    <w:p>
      <w:pPr>
        <w:pBdr>
          <w:bottom w:val="single" w:color="C9D1DD" w:sz="4" w:space="1"/>
        </w:pBdr>
        <w:spacing w:after="0" w:before="0" w:line="400"/>
      </w:pPr>
      <w:r>
        <w:rPr>
          <w:sz w:val="20"/>
        </w:rPr>
        <w:t>Secret keylogging can record passwords, private conversations and personal information. Workers may not know or consent to this monitoring. It can break privacy or labour rules and harm trust, so monitoring should be limited and justified.</w:t>
      </w:r>
    </w:p>
    <w:p>
      <w:pPr>
        <w:pBdr>
          <w:bottom w:val="single" w:color="C9D1DD" w:sz="4" w:space="1"/>
        </w:pBdr>
        <w:spacing w:after="0" w:before="0" w:line="400"/>
      </w:pPr>
    </w:p>
    <w:p>
      <w:pPr>
        <w:pBdr>
          <w:bottom w:val="single" w:color="C9D1DD" w:sz="4" w:space="1"/>
        </w:pBdr>
        <w:spacing w:after="0" w:before="0" w:line="400"/>
      </w:pPr>
    </w:p>
    <w:p>
      <w:pPr>
        <w:pBdr>
          <w:bottom w:val="single" w:color="C9D1DD" w:sz="4" w:space="1"/>
        </w:pBdr>
        <w:spacing w:after="0" w:before="0" w:line="400"/>
      </w:pPr>
    </w:p>
    <w:p>
      <w:pPr>
        <w:spacing w:after="160"/>
      </w:pPr>
    </w:p>
    <w:p>
      <w:pPr>
        <w:keepNext/>
        <w:spacing w:after="40" w:before="120"/>
      </w:pPr>
      <w:r>
        <w:rPr>
          <w:b/>
          <w:bCs/>
          <w:color w:val="0F8B8D"/>
        </w:rPr>
        <w:t xml:space="preserve">Q4. </w:t>
      </w:r>
      <w:r>
        <w:rPr>
          <w:rFonts w:ascii="Calibri" w:cs="Calibri" w:eastAsia="Calibri" w:hAnsi="Calibri"/>
        </w:rPr>
        <w:t xml:space="preserve">Part C, incident 7: explain how one manager’s exception can destroy the value of a policy — using both the deterrence conditions and the five policy conditions.</w:t>
      </w:r>
      <w:r>
        <w:rPr>
          <w:color w:val="5A6478"/>
          <w:sz w:val="18"/>
          <w:szCs w:val="18"/>
        </w:rPr>
        <w:t xml:space="preserve">  (3 pts)</w:t>
      </w:r>
    </w:p>
    <w:p>
      <w:pPr>
        <w:pBdr>
          <w:bottom w:val="single" w:color="C9D1DD" w:sz="4" w:space="1"/>
        </w:pBdr>
        <w:spacing w:after="0" w:before="0" w:line="400"/>
      </w:pPr>
      <w:r>
        <w:rPr>
          <w:sz w:val="20"/>
        </w:rPr>
        <w:t>When a manager gives the sales team an exception, employees stop expecting fair punishment, so deterrence becomes weak. The policy may have been distributed and read, but it is no longer uniformly enforced. People may also become confused about what the rule means and whether their acknowledgement matters.</w:t>
      </w:r>
    </w:p>
    <w:p>
      <w:pPr>
        <w:pBdr>
          <w:bottom w:val="single" w:color="C9D1DD" w:sz="4" w:space="1"/>
        </w:pBdr>
        <w:spacing w:after="0" w:before="0" w:line="400"/>
      </w:pPr>
    </w:p>
    <w:p>
      <w:pPr>
        <w:pBdr>
          <w:bottom w:val="single" w:color="C9D1DD" w:sz="4" w:space="1"/>
        </w:pBdr>
        <w:spacing w:after="0" w:before="0" w:line="400"/>
      </w:pPr>
    </w:p>
    <w:p>
      <w:pPr>
        <w:pBdr>
          <w:bottom w:val="single" w:color="C9D1DD" w:sz="4" w:space="1"/>
        </w:pBdr>
        <w:spacing w:after="0" w:before="0" w:line="400"/>
      </w:pPr>
    </w:p>
    <w:p>
      <w:pPr>
        <w:spacing w:after="160"/>
      </w:pPr>
    </w:p>
    <w:p>
      <w:pPr>
        <w:pStyle w:val="Heading1"/>
        <w:keepNext/>
      </w:pPr>
      <w:r>
        <w:t xml:space="preserve">5. Deliverables and grading</w:t>
      </w:r>
    </w:p>
    <w:p>
      <w:pPr>
        <w:pStyle w:val="ListParagraph"/>
        <w:numPr>
          <w:ilvl w:val="0"/>
          <w:numId w:val="2"/>
        </w:numPr>
        <w:spacing w:after="60"/>
      </w:pPr>
      <w:r>
        <w:rPr>
          <w:rFonts w:ascii="Calibri" w:cs="Calibri" w:eastAsia="Calibri" w:hAnsi="Calibri"/>
        </w:rPr>
        <w:t xml:space="preserve">Completed Parts A–E and answers to Q1–Q4.</w:t>
      </w:r>
    </w:p>
    <w:p>
      <w:pPr>
        <w:pStyle w:val="ListParagraph"/>
        <w:numPr>
          <w:ilvl w:val="0"/>
          <w:numId w:val="2"/>
        </w:numPr>
        <w:spacing w:after="60"/>
      </w:pPr>
      <w:r>
        <w:rPr>
          <w:rFonts w:ascii="Calibri" w:cs="Calibri" w:eastAsia="Calibri" w:hAnsi="Calibri"/>
        </w:rPr>
        <w:t xml:space="preserve">Save as PDF named Lab3_Surname1_Surname2.pdf and upload before the deadline.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038"/>
        <w:gridCol w:w="1000"/>
      </w:tblGrid>
      <w:tr>
        <w:trPr>
          <w:cantSplit/>
          <w:tblHeader/>
        </w:trPr>
        <w:tc>
          <w:tcPr>
            <w:tcW w:type="dxa" w:w="19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27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Excellent</w:t>
            </w:r>
          </w:p>
        </w:tc>
        <w:tc>
          <w:tcPr>
            <w:tcW w:type="dxa" w:w="20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Adequate</w:t>
            </w:r>
          </w:p>
        </w:tc>
        <w:tc>
          <w:tcPr>
            <w:tcW w:type="dxa" w:w="2038"/>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Weak</w:t>
            </w:r>
          </w:p>
        </w:tc>
        <w:tc>
          <w:tcPr>
            <w:tcW w:type="dxa" w:w="1000"/>
            <w:tcBorders>
              <w:top w:val="single" w:color="C9D1DD" w:sz="4"/>
              <w:left w:val="single" w:color="C9D1DD" w:sz="4"/>
              <w:bottom w:val="single" w:color="C9D1DD" w:sz="4"/>
              <w:right w:val="single" w:color="C9D1DD" w:sz="4"/>
            </w:tcBorders>
            <w:shd w:fill="14213D" w:color="auto" w:val="clear"/>
            <w:tcMar>
              <w:top w:type="dxa" w:w="70"/>
              <w:left w:type="dxa" w:w="110"/>
              <w:bottom w:type="dxa" w:w="70"/>
              <w:right w:type="dxa" w:w="110"/>
            </w:tcMar>
            <w:vAlign w:val="center"/>
          </w:tcPr>
          <w:p>
            <w:pPr>
              <w:spacing w:after="0"/>
            </w:pPr>
            <w:r>
              <w:rPr>
                <w:rFonts w:ascii="Calibri" w:cs="Calibri" w:eastAsia="Calibri" w:hAnsi="Calibri"/>
                <w:b/>
                <w:bCs/>
                <w:i w:val="false"/>
                <w:iCs w:val="false"/>
                <w:color w:val="FFFFFF"/>
                <w:sz w:val="18"/>
                <w:szCs w:val="18"/>
              </w:rPr>
              <w:t xml:space="preserve">Points</w:t>
            </w:r>
          </w:p>
        </w:tc>
      </w:tr>
      <w:tr>
        <w:trPr>
          <w:cantSplit/>
          <w:tblHeader w:val="false"/>
        </w:trPr>
        <w:tc>
          <w:tcPr>
            <w:tcW w:type="dxa" w:w="19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Part A — Five approaches</w:t>
            </w:r>
          </w:p>
        </w:tc>
        <w:tc>
          <w:tcPr>
            <w:tcW w:type="dxa" w:w="2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All three matrices complete; approaches applied accurately; reasoned decisions that acknowledge conflicts</w:t>
            </w:r>
          </w:p>
        </w:tc>
        <w:tc>
          <w:tcPr>
            <w:tcW w:type="dxa" w:w="2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Matrices mostly complete; decisions stated but thinly argued</w:t>
            </w:r>
          </w:p>
        </w:tc>
        <w:tc>
          <w:tcPr>
            <w:tcW w:type="dxa" w:w="2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Approaches confused or missing; no decision</w:t>
            </w:r>
          </w:p>
        </w:tc>
        <w:tc>
          <w:tcPr>
            <w:tcW w:type="dxa" w:w="1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30</w:t>
            </w:r>
          </w:p>
        </w:tc>
      </w:tr>
      <w:tr>
        <w:trPr>
          <w:cantSplit/>
          <w:tblHeader w:val="false"/>
        </w:trPr>
        <w:tc>
          <w:tcPr>
            <w:tcW w:type="dxa" w:w="19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Part B — Codes</w:t>
            </w:r>
          </w:p>
        </w:tc>
        <w:tc>
          <w:tcPr>
            <w:tcW w:type="dxa" w:w="2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Correct canons and principles; realistic legal links; specific professional actions</w:t>
            </w:r>
          </w:p>
        </w:tc>
        <w:tc>
          <w:tcPr>
            <w:tcW w:type="dxa" w:w="2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Mostly correct; actions generic</w:t>
            </w:r>
          </w:p>
        </w:tc>
        <w:tc>
          <w:tcPr>
            <w:tcW w:type="dxa" w:w="2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Missing or incorrect mapping</w:t>
            </w:r>
          </w:p>
        </w:tc>
        <w:tc>
          <w:tcPr>
            <w:tcW w:type="dxa" w:w="1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15</w:t>
            </w:r>
          </w:p>
        </w:tc>
      </w:tr>
      <w:tr>
        <w:trPr>
          <w:cantSplit/>
          <w:tblHeader w:val="false"/>
        </w:trPr>
        <w:tc>
          <w:tcPr>
            <w:tcW w:type="dxa" w:w="19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Part C — Classification</w:t>
            </w:r>
          </w:p>
        </w:tc>
        <w:tc>
          <w:tcPr>
            <w:tcW w:type="dxa" w:w="2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All 7 rows correct with sensible deterrence diagnosis and targeted controls</w:t>
            </w:r>
          </w:p>
        </w:tc>
        <w:tc>
          <w:tcPr>
            <w:tcW w:type="dxa" w:w="2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Most rows correct</w:t>
            </w:r>
          </w:p>
        </w:tc>
        <w:tc>
          <w:tcPr>
            <w:tcW w:type="dxa" w:w="2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Many errors</w:t>
            </w:r>
          </w:p>
        </w:tc>
        <w:tc>
          <w:tcPr>
            <w:tcW w:type="dxa" w:w="1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20</w:t>
            </w:r>
          </w:p>
        </w:tc>
      </w:tr>
      <w:tr>
        <w:trPr>
          <w:cantSplit/>
          <w:tblHeader w:val="false"/>
        </w:trPr>
        <w:tc>
          <w:tcPr>
            <w:tcW w:type="dxa" w:w="19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Part D — Policy</w:t>
            </w:r>
          </w:p>
        </w:tc>
        <w:tc>
          <w:tcPr>
            <w:tcW w:type="dxa" w:w="2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All five conditions diagnosed with evidence; concrete fixes; strong banner</w:t>
            </w:r>
          </w:p>
        </w:tc>
        <w:tc>
          <w:tcPr>
            <w:tcW w:type="dxa" w:w="2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Diagnosis correct; fixes vague</w:t>
            </w:r>
          </w:p>
        </w:tc>
        <w:tc>
          <w:tcPr>
            <w:tcW w:type="dxa" w:w="2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Conditions misunderstood</w:t>
            </w:r>
          </w:p>
        </w:tc>
        <w:tc>
          <w:tcPr>
            <w:tcW w:type="dxa" w:w="1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15</w:t>
            </w:r>
          </w:p>
        </w:tc>
      </w:tr>
      <w:tr>
        <w:trPr>
          <w:cantSplit/>
          <w:tblHeader w:val="false"/>
        </w:trPr>
        <w:tc>
          <w:tcPr>
            <w:tcW w:type="dxa" w:w="19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Part E and Q1–Q4</w:t>
            </w:r>
          </w:p>
        </w:tc>
        <w:tc>
          <w:tcPr>
            <w:tcW w:type="dxa" w:w="2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Thoughtful, personal, uses lecture concepts</w:t>
            </w:r>
          </w:p>
        </w:tc>
        <w:tc>
          <w:tcPr>
            <w:tcW w:type="dxa" w:w="2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Partly developed</w:t>
            </w:r>
          </w:p>
        </w:tc>
        <w:tc>
          <w:tcPr>
            <w:tcW w:type="dxa" w:w="2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Missing</w:t>
            </w:r>
          </w:p>
        </w:tc>
        <w:tc>
          <w:tcPr>
            <w:tcW w:type="dxa" w:w="1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15</w:t>
            </w:r>
          </w:p>
        </w:tc>
      </w:tr>
      <w:tr>
        <w:trPr>
          <w:cantSplit/>
          <w:tblHeader w:val="false"/>
        </w:trPr>
        <w:tc>
          <w:tcPr>
            <w:tcW w:type="dxa" w:w="19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bCs/>
                <w:sz w:val="17"/>
                <w:szCs w:val="17"/>
              </w:rPr>
              <w:t xml:space="preserve">Presentation</w:t>
            </w:r>
          </w:p>
        </w:tc>
        <w:tc>
          <w:tcPr>
            <w:tcW w:type="dxa" w:w="27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Complete, neat, correctly named</w:t>
            </w:r>
          </w:p>
        </w:tc>
        <w:tc>
          <w:tcPr>
            <w:tcW w:type="dxa" w:w="2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Minor issues</w:t>
            </w:r>
          </w:p>
        </w:tc>
        <w:tc>
          <w:tcPr>
            <w:tcW w:type="dxa" w:w="2038"/>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Hard to read</w:t>
            </w:r>
          </w:p>
        </w:tc>
        <w:tc>
          <w:tcPr>
            <w:tcW w:type="dxa" w:w="1000"/>
            <w:tcBorders>
              <w:top w:val="single" w:color="C9D1DD" w:sz="4"/>
              <w:left w:val="single" w:color="C9D1DD" w:sz="4"/>
              <w:bottom w:val="single" w:color="C9D1DD" w:sz="4"/>
              <w:right w:val="single" w:color="C9D1DD" w:sz="4"/>
            </w:tcBorders>
            <w:tcMar>
              <w:top w:type="dxa" w:w="70"/>
              <w:left w:type="dxa" w:w="110"/>
              <w:bottom w:type="dxa" w:w="70"/>
              <w:right w:type="dxa" w:w="110"/>
            </w:tcMar>
            <w:vAlign w:val="center"/>
          </w:tcPr>
          <w:p>
            <w:pPr>
              <w:spacing w:after="0"/>
            </w:pPr>
            <w:r>
              <w:rPr>
                <w:rFonts w:ascii="Calibri" w:cs="Calibri" w:eastAsia="Calibri" w:hAnsi="Calibri"/>
                <w:b w:val="false"/>
                <w:bCs w:val="false"/>
                <w:sz w:val="17"/>
                <w:szCs w:val="17"/>
              </w:rPr>
              <w:t xml:space="preserve">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trPr>
        <w:tc>
          <w:tcPr>
            <w:tcW w:type="dxa" w:w="1000"/>
            <w:tcBorders>
              <w:top w:val="none" w:color="FFFFFF" w:sz="0"/>
              <w:left w:val="none" w:color="FFFFFF" w:sz="0"/>
              <w:bottom w:val="none" w:color="FFFFFF" w:sz="0"/>
              <w:right w:val="none" w:color="FFFFFF" w:sz="0"/>
            </w:tcBorders>
            <w:shd w:fill="FDECE7" w:color="auto" w:val="clear"/>
            <w:tcMar>
              <w:top w:type="dxa" w:w="120"/>
              <w:left w:type="dxa" w:w="120"/>
              <w:bottom w:type="dxa" w:w="80"/>
              <w:right w:type="dxa" w:w="0"/>
            </w:tcMar>
            <w:vAlign w:val="center"/>
          </w:tcPr>
          <w:p>
            <w:pPr>
              <w:jc w:val="center"/>
            </w:pPr>
            <w:r>
              <w:drawing>
                <wp:inline distT="0" distB="0" distL="0" distR="0">
                  <wp:extent cx="438150" cy="438150"/>
                  <wp:effectExtent t="0" r="0" b="0" l="0"/>
                  <wp:docPr id="1" name="warning" descr="warning" title="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 cy="438150"/>
                          </a:xfrm>
                          <a:prstGeom prst="rect">
                            <a:avLst/>
                          </a:prstGeom>
                        </pic:spPr>
                      </pic:pic>
                    </a:graphicData>
                  </a:graphic>
                </wp:inline>
              </w:drawing>
            </w:r>
          </w:p>
        </w:tc>
        <w:tc>
          <w:tcPr>
            <w:tcW w:type="dxa" w:w="8638"/>
            <w:tcBorders>
              <w:top w:val="none" w:color="FFFFFF" w:sz="0"/>
              <w:left w:val="none" w:color="FFFFFF" w:sz="0"/>
              <w:bottom w:val="none" w:color="FFFFFF" w:sz="0"/>
              <w:right w:val="none" w:color="FFFFFF" w:sz="0"/>
            </w:tcBorders>
            <w:shd w:fill="FDECE7" w:color="auto" w:val="clear"/>
            <w:tcMar>
              <w:top w:type="dxa" w:w="140"/>
              <w:left w:type="dxa" w:w="200"/>
              <w:bottom w:type="dxa" w:w="100"/>
              <w:right w:type="dxa" w:w="220"/>
            </w:tcMar>
            <w:vAlign w:val="center"/>
          </w:tcPr>
          <w:p>
            <w:pPr>
              <w:spacing w:after="60"/>
            </w:pPr>
            <w:r>
              <w:rPr>
                <w:b/>
                <w:bCs/>
                <w:color w:val="E4572E"/>
                <w:spacing w:val="30"/>
                <w:sz w:val="17"/>
                <w:szCs w:val="17"/>
              </w:rPr>
              <w:t xml:space="preserve">ETHICS REMINDER</w:t>
            </w:r>
          </w:p>
          <w:p>
            <w:pPr>
              <w:spacing w:after="60"/>
            </w:pPr>
            <w:r>
              <w:rPr>
                <w:rFonts w:ascii="Calibri" w:cs="Calibri" w:eastAsia="Calibri" w:hAnsi="Calibri"/>
                <w:color w:val="1B2333"/>
                <w:sz w:val="20"/>
                <w:szCs w:val="20"/>
              </w:rPr>
              <w:t xml:space="preserve">Dilemma 2 is a thought exercise. Never test real systems — including university systems — without written permission. Report vulnerabilities through official channels.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8"/>
        <w:sz w:val="16"/>
        <w:szCs w:val="16"/>
      </w:rPr>
      <w:t xml:space="preserve">Page </w:t>
    </w:r>
    <w:r>
      <w:rPr>
        <w:color w:val="5A6478"/>
        <w:sz w:val="16"/>
        <w:szCs w:val="16"/>
      </w:rPr>
      <w:fldChar w:fldCharType="begin"/>
      <w:instrText xml:space="preserve">PAGE</w:instrText>
      <w:fldChar w:fldCharType="separate"/>
      <w:fldChar w:fldCharType="end"/>
    </w:r>
    <w:r>
      <w:rPr>
        <w:color w:val="5A6478"/>
        <w:sz w:val="16"/>
        <w:szCs w:val="16"/>
      </w:rPr>
      <w:t xml:space="preserve"> of </w:t>
    </w:r>
    <w:r>
      <w:rPr>
        <w:color w:val="5A64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8B8D" w:sz="6" w:space="4"/>
      </w:pBdr>
      <w:tabs>
        <w:tab w:val="right" w:pos="9638"/>
      </w:tabs>
    </w:pPr>
    <w:r>
      <w:rPr>
        <w:color w:val="5A6478"/>
        <w:sz w:val="16"/>
        <w:szCs w:val="16"/>
      </w:rPr>
      <w:t xml:space="preserve">Lab 3 — Ethics in Practice</w:t>
    </w:r>
    <w:r>
      <w:rPr>
        <w:color w:val="5A6478"/>
        <w:sz w:val="16"/>
        <w:szCs w:val="16"/>
      </w:rPr>
      <w:t xml:space="preserve">	Management of Information Security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8B8D"/>
        <w:sz w:val="16"/>
        <w:szCs w:val="1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40"/>
      </w:pPr>
      <w:rPr>
        <w:b/>
        <w:bCs/>
        <w:color w:val="0F8B8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3"/>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14213D"/>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0F8B8D"/>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4213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cd2488aa1987897a6958e6844486bf93797e.png"/><Relationship Id="rId10" Type="http://schemas.openxmlformats.org/officeDocument/2006/relationships/image" Target="media/36cf37c4487736af7136cf54e2b671e3e2581d2f.png"/><Relationship Id="rId11" Type="http://schemas.openxmlformats.org/officeDocument/2006/relationships/image" Target="media/7d8053acc580633082a88f11641601e14484bc28.png"/><Relationship Id="rId12" Type="http://schemas.openxmlformats.org/officeDocument/2006/relationships/image" Target="media/5c2a8f7cc22faa7ba77a115a11126f765b747e86.png"/><Relationship Id="rId13" Type="http://schemas.openxmlformats.org/officeDocument/2006/relationships/image" Target="media/7e49e6130aced597af31cc191161b6fb90ad3f0f.png"/><Relationship Id="rId14" Type="http://schemas.openxmlformats.org/officeDocument/2006/relationships/image" Target="media/c411c4a0224b354a227e4b3426f2449e5e01a928.png"/><Relationship Id="rId15" Type="http://schemas.openxmlformats.org/officeDocument/2006/relationships/image" Target="media/dd339ac49b8766e3815fbb7c49bc61d06b951dd3.png"/><Relationship Id="rId16" Type="http://schemas.openxmlformats.org/officeDocument/2006/relationships/image" Target="media/c0ca57b2887639de4999a48a1902801c6dc0eb81.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Ethics in Practice</dc:title>
  <dc:creator>Course Instructor</dc:creator>
  <cp:lastModifiedBy>Un-named</cp:lastModifiedBy>
  <cp:revision>1</cp:revision>
  <dcterms:created xsi:type="dcterms:W3CDTF">2026-10-16T12:07:24.929Z</dcterms:created>
  <dcterms:modified xsi:type="dcterms:W3CDTF">2026-10-16T12:07:24.930Z</dcterms:modified>
</cp:coreProperties>
</file>

<file path=docProps/custom.xml><?xml version="1.0" encoding="utf-8"?>
<Properties xmlns="http://schemas.openxmlformats.org/officeDocument/2006/custom-properties" xmlns:vt="http://schemas.openxmlformats.org/officeDocument/2006/docPropsVTypes"/>
</file>