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FusionVI</w:t>
      </w:r>
    </w:p>
    <w:p>
      <w:r>
        <w:rPr>
          <w:b/>
          <w:color w:val="F97316"/>
          <w:sz w:val="30"/>
        </w:rPr>
        <w:t>Cross-modal recovery of missing immune surface markers in an unseen mouse</w:t>
      </w:r>
    </w:p>
    <w:p>
      <w:r>
        <w:t>Technical report | Multimodal AI for therapeutic discovery</w:t>
      </w:r>
    </w:p>
    <w:p>
      <w:pPr>
        <w:pStyle w:val="Heading1"/>
        <w:keepLines/>
        <w:keepNext/>
      </w:pPr>
      <w:r>
        <w:t>Biological question</w:t>
      </w:r>
    </w:p>
    <w:p>
      <w:pPr>
        <w:keepLines/>
      </w:pPr>
      <w:r>
        <w:t>Can RNA and the remaining surface-protein panel recover a missing immune-cell marker in a biological replicate that the model has never seen?</w:t>
      </w:r>
    </w:p>
    <w:p>
      <w:pPr>
        <w:pStyle w:val="Heading1"/>
        <w:keepLines/>
        <w:keepNext/>
      </w:pPr>
      <w:r>
        <w:t>Main result</w:t>
      </w:r>
    </w:p>
    <w:p>
      <w:pPr>
        <w:keepLines/>
      </w:pPr>
      <w:r>
        <w:t>FusionVI increased mean mouse-held-out Spearman correlation from 0.578 for totalVI to 0.673. The absolute improvement was 0.095. FusionVI improved CD20, CD28, CD4 and CD8a in both held-out-mouse directions.</w:t>
      </w:r>
    </w:p>
    <w:tbl>
      <w:tblPr>
        <w:tblW w:type="auto" w:w="0"/>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4997"/>
        <w:gridCol w:w="4997"/>
      </w:tblGrid>
      <w:tr>
        <w:tc>
          <w:tcPr>
            <w:tcW w:type="dxa" w:w="4997"/>
            <w:shd w:fill="FFF7ED"/>
            <w:vAlign w:val="center"/>
          </w:tcPr>
          <w:p>
            <w:r>
              <w:rPr>
                <w:b/>
              </w:rPr>
              <w:t>Source</w:t>
            </w:r>
          </w:p>
        </w:tc>
        <w:tc>
          <w:tcPr>
            <w:tcW w:type="dxa" w:w="4997"/>
            <w:vAlign w:val="center"/>
          </w:tcPr>
          <w:p>
            <w:r>
              <w:t>Official SLN111 object from the totalVI reproducibility repository</w:t>
            </w:r>
          </w:p>
        </w:tc>
      </w:tr>
      <w:tr>
        <w:tc>
          <w:tcPr>
            <w:tcW w:type="dxa" w:w="4997"/>
            <w:shd w:fill="FFF7ED"/>
            <w:vAlign w:val="center"/>
          </w:tcPr>
          <w:p>
            <w:r>
              <w:rPr>
                <w:b/>
              </w:rPr>
              <w:t>Cells</w:t>
            </w:r>
          </w:p>
        </w:tc>
        <w:tc>
          <w:tcPr>
            <w:tcW w:type="dxa" w:w="4997"/>
            <w:vAlign w:val="center"/>
          </w:tcPr>
          <w:p>
            <w:r>
              <w:t>16,813 cells from spleen and lymph node</w:t>
            </w:r>
          </w:p>
        </w:tc>
      </w:tr>
      <w:tr>
        <w:tc>
          <w:tcPr>
            <w:tcW w:type="dxa" w:w="4997"/>
            <w:shd w:fill="FFF7ED"/>
            <w:vAlign w:val="center"/>
          </w:tcPr>
          <w:p>
            <w:r>
              <w:rPr>
                <w:b/>
              </w:rPr>
              <w:t>Modalities</w:t>
            </w:r>
          </w:p>
        </w:tc>
        <w:tc>
          <w:tcPr>
            <w:tcW w:type="dxa" w:w="4997"/>
            <w:vAlign w:val="center"/>
          </w:tcPr>
          <w:p>
            <w:r>
              <w:t>4,000 RNA features and 110 surface proteins</w:t>
            </w:r>
          </w:p>
        </w:tc>
      </w:tr>
      <w:tr>
        <w:tc>
          <w:tcPr>
            <w:tcW w:type="dxa" w:w="4997"/>
            <w:shd w:fill="FFF7ED"/>
            <w:vAlign w:val="center"/>
          </w:tcPr>
          <w:p>
            <w:r>
              <w:rPr>
                <w:b/>
              </w:rPr>
              <w:t>Replicates</w:t>
            </w:r>
          </w:p>
        </w:tc>
        <w:tc>
          <w:tcPr>
            <w:tcW w:type="dxa" w:w="4997"/>
            <w:vAlign w:val="center"/>
          </w:tcPr>
          <w:p>
            <w:r>
              <w:t>Two biological replicate mice</w:t>
            </w:r>
          </w:p>
        </w:tc>
      </w:tr>
      <w:tr>
        <w:tc>
          <w:tcPr>
            <w:tcW w:type="dxa" w:w="4997"/>
            <w:shd w:fill="FFF7ED"/>
            <w:vAlign w:val="center"/>
          </w:tcPr>
          <w:p>
            <w:r>
              <w:rPr>
                <w:b/>
              </w:rPr>
              <w:t>Evaluation</w:t>
            </w:r>
          </w:p>
        </w:tc>
        <w:tc>
          <w:tcPr>
            <w:tcW w:type="dxa" w:w="4997"/>
            <w:vAlign w:val="center"/>
          </w:tcPr>
          <w:p>
            <w:r>
              <w:t>Train on one mouse, test on the other, then reverse</w:t>
            </w:r>
          </w:p>
        </w:tc>
      </w:tr>
      <w:tr>
        <w:tc>
          <w:tcPr>
            <w:tcW w:type="dxa" w:w="4997"/>
            <w:shd w:fill="FFF7ED"/>
            <w:vAlign w:val="center"/>
          </w:tcPr>
          <w:p>
            <w:r>
              <w:rPr>
                <w:b/>
              </w:rPr>
              <w:t>Models</w:t>
            </w:r>
          </w:p>
        </w:tc>
        <w:tc>
          <w:tcPr>
            <w:tcW w:type="dxa" w:w="4997"/>
            <w:vAlign w:val="center"/>
          </w:tcPr>
          <w:p>
            <w:r>
              <w:t>Paper totalVI versus the final FusionVI pipeline</w:t>
            </w:r>
          </w:p>
        </w:tc>
      </w:tr>
    </w:tbl>
    <w:p>
      <w:r>
        <w:br w:type="page"/>
      </w:r>
    </w:p>
    <w:p>
      <w:pPr>
        <w:pStyle w:val="Heading1"/>
        <w:keepLines/>
        <w:keepNext/>
      </w:pPr>
      <w:r>
        <w:t>1 Background and therapeutic relevance</w:t>
      </w:r>
    </w:p>
    <w:p>
      <w:pPr>
        <w:keepLines/>
      </w:pPr>
      <w:r>
        <w:t>CITE-seq measures messenger RNA and surface proteins in the same cell. These modalities capture related but non-identical biology because transcription, translation, trafficking and receptor turnover occur on different time scales. Missing or unreliable antibody measurements can therefore remove information that is only partly visible in RNA.</w:t>
      </w:r>
    </w:p>
    <w:p>
      <w:pPr>
        <w:keepLines/>
      </w:pPr>
      <w:r>
        <w:t>This project asks whether multimodal context can reconstruct drug-relevant immune markers. CD20 is a B-cell marker and established therapeutic target. CD28 reports T-cell costimulation. CD4 and CD8a distinguish helper and cytotoxic T-cell lineages. Recovering these proteins in a new biological replicate could support target-panel design and biomarker interpretation when a surface assay is incomplete.</w:t>
      </w:r>
    </w:p>
    <w:p>
      <w:pPr>
        <w:pStyle w:val="Heading1"/>
        <w:keepLines/>
        <w:keepNext/>
      </w:pPr>
      <w:r>
        <w:t>2 Dataset and preprocessing</w:t>
      </w:r>
    </w:p>
    <w:p>
      <w:pPr>
        <w:keepLines/>
      </w:pPr>
      <w:r>
        <w:t>The analysis uses spleen_lymph_111.h5ad from the official totalVI reproducibility repository associated with Gayoso et al. The download script verifies SHA-256 before processing. Cells labelled Negative by hashtag demultiplexing were excluded. The analysis retained the source study's highly variable genes and forced inclusion of Ms4a1, Cd28, Cd4 and Cd8a. Hashtag controls were removed from the protein matrix.</w:t>
      </w:r>
    </w:p>
    <w:p>
      <w:pPr>
        <w:pStyle w:val="ListBullet"/>
        <w:keepLines/>
      </w:pPr>
      <w:r>
        <w:t>16,813 cells remained: 9,251 from mouse 0 and 7,562 from mouse 1.</w:t>
      </w:r>
    </w:p>
    <w:p>
      <w:pPr>
        <w:pStyle w:val="ListBullet"/>
        <w:keepLines/>
      </w:pPr>
      <w:r>
        <w:t>The processed matrix contains 4,000 genes and 110 biological proteins.</w:t>
      </w:r>
    </w:p>
    <w:p>
      <w:pPr>
        <w:pStyle w:val="ListBullet"/>
        <w:keepLines/>
      </w:pPr>
      <w:r>
        <w:t>Both mice contribute spleen and lymph-node cells.</w:t>
      </w:r>
    </w:p>
    <w:p>
      <w:pPr>
        <w:pStyle w:val="ListBullet"/>
        <w:keepLines/>
      </w:pPr>
      <w:r>
        <w:t>CD20, CD28, CD4 and CD8a were masked together at encoder input.</w:t>
      </w:r>
    </w:p>
    <w:p>
      <w:pPr>
        <w:pStyle w:val="Heading1"/>
        <w:keepLines/>
        <w:keepNext/>
      </w:pPr>
      <w:r>
        <w:t>3 Models</w:t>
      </w:r>
    </w:p>
    <w:p>
      <w:pPr>
        <w:pStyle w:val="Heading2"/>
        <w:keepLines/>
        <w:keepNext/>
      </w:pPr>
      <w:r>
        <w:t>totalVI</w:t>
      </w:r>
    </w:p>
    <w:p>
      <w:pPr>
        <w:keepLines/>
      </w:pPr>
      <w:r>
        <w:t>The baseline retains totalVI's joint RNA-protein encoder, 15-dimensional latent representation, negative-binomial gene likelihood and background-aware protein decoder. The four targets are zeroed at encoder input so that the native decoder must infer their abundance from the remaining measurements.</w:t>
      </w:r>
    </w:p>
    <w:p>
      <w:pPr>
        <w:pStyle w:val="Heading2"/>
        <w:keepLines/>
        <w:keepNext/>
      </w:pPr>
      <w:r>
        <w:t>FusionVI</w:t>
      </w:r>
    </w:p>
    <w:p>
      <w:pPr>
        <w:keepLines/>
      </w:pPr>
      <w:r>
        <w:t>FusionVI replaces the joint encoder with separate RNA and protein branches of equal width. A sigmoid gate combines their hidden states for each cell before the shared latent representation. For each hidden protein, a fixed Ridge readout uses the FusionVI latent state, the remaining 106 proteins and one prespecified transcript proxy. The target protein is never included as a prediction input. Training-mouse target values supervise the readout, and the held-out mouse is evaluated once.</w:t>
      </w:r>
    </w:p>
    <w:tbl>
      <w:tblPr>
        <w:tblW w:type="auto" w:w="0"/>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3331"/>
        <w:gridCol w:w="3331"/>
        <w:gridCol w:w="3331"/>
      </w:tblGrid>
      <w:tr>
        <w:tc>
          <w:tcPr>
            <w:tcW w:type="dxa" w:w="3331"/>
            <w:shd w:fill="172554"/>
          </w:tcPr>
          <w:p>
            <w:r>
              <w:rPr>
                <w:b/>
                <w:color w:val="FFFFFF"/>
              </w:rPr>
              <w:t>Component</w:t>
            </w:r>
          </w:p>
        </w:tc>
        <w:tc>
          <w:tcPr>
            <w:tcW w:type="dxa" w:w="3331"/>
            <w:shd w:fill="172554"/>
          </w:tcPr>
          <w:p>
            <w:r>
              <w:rPr>
                <w:b/>
                <w:color w:val="FFFFFF"/>
              </w:rPr>
              <w:t>totalVI</w:t>
            </w:r>
          </w:p>
        </w:tc>
        <w:tc>
          <w:tcPr>
            <w:tcW w:type="dxa" w:w="3331"/>
            <w:shd w:fill="172554"/>
          </w:tcPr>
          <w:p>
            <w:r>
              <w:rPr>
                <w:b/>
                <w:color w:val="FFFFFF"/>
              </w:rPr>
              <w:t>FusionVI</w:t>
            </w:r>
          </w:p>
        </w:tc>
      </w:tr>
      <w:tr>
        <w:tc>
          <w:tcPr>
            <w:tcW w:type="dxa" w:w="3331"/>
          </w:tcPr>
          <w:p>
            <w:r>
              <w:t>Encoder</w:t>
            </w:r>
          </w:p>
        </w:tc>
        <w:tc>
          <w:tcPr>
            <w:tcW w:type="dxa" w:w="3331"/>
          </w:tcPr>
          <w:p>
            <w:r>
              <w:t>Joint RNA-protein</w:t>
            </w:r>
          </w:p>
        </w:tc>
        <w:tc>
          <w:tcPr>
            <w:tcW w:type="dxa" w:w="3331"/>
          </w:tcPr>
          <w:p>
            <w:r>
              <w:t>Separate RNA and protein branches</w:t>
            </w:r>
          </w:p>
        </w:tc>
      </w:tr>
      <w:tr>
        <w:tc>
          <w:tcPr>
            <w:tcW w:type="dxa" w:w="3331"/>
            <w:shd w:fill="F8FAFC"/>
          </w:tcPr>
          <w:p>
            <w:r>
              <w:t>Fusion</w:t>
            </w:r>
          </w:p>
        </w:tc>
        <w:tc>
          <w:tcPr>
            <w:tcW w:type="dxa" w:w="3331"/>
            <w:shd w:fill="F8FAFC"/>
          </w:tcPr>
          <w:p>
            <w:r>
              <w:t>Dense layers</w:t>
            </w:r>
          </w:p>
        </w:tc>
        <w:tc>
          <w:tcPr>
            <w:tcW w:type="dxa" w:w="3331"/>
            <w:shd w:fill="F8FAFC"/>
          </w:tcPr>
          <w:p>
            <w:r>
              <w:t>Cell-specific sigmoid gate</w:t>
            </w:r>
          </w:p>
        </w:tc>
      </w:tr>
      <w:tr>
        <w:tc>
          <w:tcPr>
            <w:tcW w:type="dxa" w:w="3331"/>
          </w:tcPr>
          <w:p>
            <w:r>
              <w:t>Latent dimensions</w:t>
            </w:r>
          </w:p>
        </w:tc>
        <w:tc>
          <w:tcPr>
            <w:tcW w:type="dxa" w:w="3331"/>
          </w:tcPr>
          <w:p>
            <w:r>
              <w:t>15</w:t>
            </w:r>
          </w:p>
        </w:tc>
        <w:tc>
          <w:tcPr>
            <w:tcW w:type="dxa" w:w="3331"/>
          </w:tcPr>
          <w:p>
            <w:r>
              <w:t>15</w:t>
            </w:r>
          </w:p>
        </w:tc>
      </w:tr>
      <w:tr>
        <w:tc>
          <w:tcPr>
            <w:tcW w:type="dxa" w:w="3331"/>
            <w:shd w:fill="F8FAFC"/>
          </w:tcPr>
          <w:p>
            <w:r>
              <w:t>Hidden width</w:t>
            </w:r>
          </w:p>
        </w:tc>
        <w:tc>
          <w:tcPr>
            <w:tcW w:type="dxa" w:w="3331"/>
            <w:shd w:fill="F8FAFC"/>
          </w:tcPr>
          <w:p>
            <w:r>
              <w:t>128</w:t>
            </w:r>
          </w:p>
        </w:tc>
        <w:tc>
          <w:tcPr>
            <w:tcW w:type="dxa" w:w="3331"/>
            <w:shd w:fill="F8FAFC"/>
          </w:tcPr>
          <w:p>
            <w:r>
              <w:t>128 per branch</w:t>
            </w:r>
          </w:p>
        </w:tc>
      </w:tr>
      <w:tr>
        <w:tc>
          <w:tcPr>
            <w:tcW w:type="dxa" w:w="3331"/>
          </w:tcPr>
          <w:p>
            <w:r>
              <w:t>Training</w:t>
            </w:r>
          </w:p>
        </w:tc>
        <w:tc>
          <w:tcPr>
            <w:tcW w:type="dxa" w:w="3331"/>
          </w:tcPr>
          <w:p>
            <w:r>
              <w:t>25 epochs</w:t>
            </w:r>
          </w:p>
        </w:tc>
        <w:tc>
          <w:tcPr>
            <w:tcW w:type="dxa" w:w="3331"/>
          </w:tcPr>
          <w:p>
            <w:r>
              <w:t>25 epochs</w:t>
            </w:r>
          </w:p>
        </w:tc>
      </w:tr>
      <w:tr>
        <w:tc>
          <w:tcPr>
            <w:tcW w:type="dxa" w:w="3331"/>
            <w:shd w:fill="F8FAFC"/>
          </w:tcPr>
          <w:p>
            <w:r>
              <w:t>Final protein estimate</w:t>
            </w:r>
          </w:p>
        </w:tc>
        <w:tc>
          <w:tcPr>
            <w:tcW w:type="dxa" w:w="3331"/>
            <w:shd w:fill="F8FAFC"/>
          </w:tcPr>
          <w:p>
            <w:r>
              <w:t>Native decoder</w:t>
            </w:r>
          </w:p>
        </w:tc>
        <w:tc>
          <w:tcPr>
            <w:tcW w:type="dxa" w:w="3331"/>
            <w:shd w:fill="F8FAFC"/>
          </w:tcPr>
          <w:p>
            <w:r>
              <w:t>Fixed Ridge cross-modal readout</w:t>
            </w:r>
          </w:p>
        </w:tc>
      </w:tr>
    </w:tbl>
    <w:p>
      <w:r>
        <w:br w:type="page"/>
      </w:r>
    </w:p>
    <w:p>
      <w:pPr>
        <w:pStyle w:val="Heading1"/>
        <w:keepLines/>
        <w:keepNext/>
      </w:pPr>
      <w:r>
        <w:t>4 Validation design</w:t>
      </w:r>
    </w:p>
    <w:p>
      <w:pPr>
        <w:keepLines/>
      </w:pPr>
      <w:r>
        <w:t>The evaluation uses two leave-one-mouse-out folds. Fold 0 trains on mouse 1 and tests mouse 0. Fold 1 reverses the split. Every cell from a mouse stays in one partition, preventing cell-level leakage between biological replicates. Both models use seed 2026, batch size 256, two encoder layers and early stopping with patience five.</w:t>
      </w:r>
    </w:p>
    <w:p>
      <w:pPr>
        <w:keepLines/>
      </w:pPr>
      <w:r>
        <w:t>Spearman correlation between measured and predicted log1p protein abundance is the primary metric. It evaluates whether each method ranks cells correctly without assuming matched output scales. The final table reports the mean of the two mouse-held-out correlations. Dots in the figure show the individual fold values.</w:t>
      </w:r>
    </w:p>
    <w:p>
      <w:pPr>
        <w:keepLines/>
      </w:pPr>
      <w:r>
        <w:t>FusionVI uses Ridge alpha 10.0 fixed before evaluation. The study does not tune the readout on either held-out mouse. Since only two independent animals are available, the analysis does not report biological p-values or confidence intervals derived from cells.</w:t>
      </w:r>
    </w:p>
    <w:p>
      <w:pPr>
        <w:pStyle w:val="Heading1"/>
        <w:keepLines/>
        <w:keepNext/>
      </w:pPr>
      <w:r>
        <w:t>5 Results</w:t>
      </w:r>
    </w:p>
    <w:tbl>
      <w:tblPr>
        <w:tblW w:type="auto" w:w="0"/>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2498"/>
        <w:gridCol w:w="2498"/>
        <w:gridCol w:w="2498"/>
        <w:gridCol w:w="2498"/>
      </w:tblGrid>
      <w:tr>
        <w:tc>
          <w:tcPr>
            <w:tcW w:type="dxa" w:w="2498"/>
            <w:shd w:fill="172554"/>
          </w:tcPr>
          <w:p>
            <w:r>
              <w:rPr>
                <w:b/>
                <w:color w:val="FFFFFF"/>
              </w:rPr>
              <w:t>Hidden protein</w:t>
            </w:r>
          </w:p>
        </w:tc>
        <w:tc>
          <w:tcPr>
            <w:tcW w:type="dxa" w:w="2498"/>
            <w:shd w:fill="172554"/>
          </w:tcPr>
          <w:p>
            <w:r>
              <w:rPr>
                <w:b/>
                <w:color w:val="FFFFFF"/>
              </w:rPr>
              <w:t>totalVI</w:t>
            </w:r>
          </w:p>
        </w:tc>
        <w:tc>
          <w:tcPr>
            <w:tcW w:type="dxa" w:w="2498"/>
            <w:shd w:fill="172554"/>
          </w:tcPr>
          <w:p>
            <w:r>
              <w:rPr>
                <w:b/>
                <w:color w:val="FFFFFF"/>
              </w:rPr>
              <w:t>FusionVI</w:t>
            </w:r>
          </w:p>
        </w:tc>
        <w:tc>
          <w:tcPr>
            <w:tcW w:type="dxa" w:w="2498"/>
            <w:shd w:fill="172554"/>
          </w:tcPr>
          <w:p>
            <w:r>
              <w:rPr>
                <w:b/>
                <w:color w:val="FFFFFF"/>
              </w:rPr>
              <w:t>Difference</w:t>
            </w:r>
          </w:p>
        </w:tc>
      </w:tr>
      <w:tr>
        <w:tc>
          <w:tcPr>
            <w:tcW w:type="dxa" w:w="2498"/>
          </w:tcPr>
          <w:p>
            <w:r>
              <w:t>CD20</w:t>
            </w:r>
          </w:p>
        </w:tc>
        <w:tc>
          <w:tcPr>
            <w:tcW w:type="dxa" w:w="2498"/>
          </w:tcPr>
          <w:p>
            <w:r>
              <w:t>0.624</w:t>
            </w:r>
          </w:p>
        </w:tc>
        <w:tc>
          <w:tcPr>
            <w:tcW w:type="dxa" w:w="2498"/>
          </w:tcPr>
          <w:p>
            <w:r>
              <w:t>0.738</w:t>
            </w:r>
          </w:p>
        </w:tc>
        <w:tc>
          <w:tcPr>
            <w:tcW w:type="dxa" w:w="2498"/>
          </w:tcPr>
          <w:p>
            <w:r>
              <w:t>+0.115</w:t>
            </w:r>
          </w:p>
        </w:tc>
      </w:tr>
      <w:tr>
        <w:tc>
          <w:tcPr>
            <w:tcW w:type="dxa" w:w="2498"/>
            <w:shd w:fill="F8FAFC"/>
          </w:tcPr>
          <w:p>
            <w:r>
              <w:t>CD28</w:t>
            </w:r>
          </w:p>
        </w:tc>
        <w:tc>
          <w:tcPr>
            <w:tcW w:type="dxa" w:w="2498"/>
            <w:shd w:fill="F8FAFC"/>
          </w:tcPr>
          <w:p>
            <w:r>
              <w:t>0.542</w:t>
            </w:r>
          </w:p>
        </w:tc>
        <w:tc>
          <w:tcPr>
            <w:tcW w:type="dxa" w:w="2498"/>
            <w:shd w:fill="F8FAFC"/>
          </w:tcPr>
          <w:p>
            <w:r>
              <w:t>0.613</w:t>
            </w:r>
          </w:p>
        </w:tc>
        <w:tc>
          <w:tcPr>
            <w:tcW w:type="dxa" w:w="2498"/>
            <w:shd w:fill="F8FAFC"/>
          </w:tcPr>
          <w:p>
            <w:r>
              <w:t>+0.072</w:t>
            </w:r>
          </w:p>
        </w:tc>
      </w:tr>
      <w:tr>
        <w:tc>
          <w:tcPr>
            <w:tcW w:type="dxa" w:w="2498"/>
          </w:tcPr>
          <w:p>
            <w:r>
              <w:t>CD4</w:t>
            </w:r>
          </w:p>
        </w:tc>
        <w:tc>
          <w:tcPr>
            <w:tcW w:type="dxa" w:w="2498"/>
          </w:tcPr>
          <w:p>
            <w:r>
              <w:t>0.640</w:t>
            </w:r>
          </w:p>
        </w:tc>
        <w:tc>
          <w:tcPr>
            <w:tcW w:type="dxa" w:w="2498"/>
          </w:tcPr>
          <w:p>
            <w:r>
              <w:t>0.725</w:t>
            </w:r>
          </w:p>
        </w:tc>
        <w:tc>
          <w:tcPr>
            <w:tcW w:type="dxa" w:w="2498"/>
          </w:tcPr>
          <w:p>
            <w:r>
              <w:t>+0.084</w:t>
            </w:r>
          </w:p>
        </w:tc>
      </w:tr>
      <w:tr>
        <w:tc>
          <w:tcPr>
            <w:tcW w:type="dxa" w:w="2498"/>
            <w:shd w:fill="F8FAFC"/>
          </w:tcPr>
          <w:p>
            <w:r>
              <w:t>CD8a</w:t>
            </w:r>
          </w:p>
        </w:tc>
        <w:tc>
          <w:tcPr>
            <w:tcW w:type="dxa" w:w="2498"/>
            <w:shd w:fill="F8FAFC"/>
          </w:tcPr>
          <w:p>
            <w:r>
              <w:t>0.505</w:t>
            </w:r>
          </w:p>
        </w:tc>
        <w:tc>
          <w:tcPr>
            <w:tcW w:type="dxa" w:w="2498"/>
            <w:shd w:fill="F8FAFC"/>
          </w:tcPr>
          <w:p>
            <w:r>
              <w:t>0.615</w:t>
            </w:r>
          </w:p>
        </w:tc>
        <w:tc>
          <w:tcPr>
            <w:tcW w:type="dxa" w:w="2498"/>
            <w:shd w:fill="F8FAFC"/>
          </w:tcPr>
          <w:p>
            <w:r>
              <w:t>+0.110</w:t>
            </w:r>
          </w:p>
        </w:tc>
      </w:tr>
      <w:tr>
        <w:tc>
          <w:tcPr>
            <w:tcW w:type="dxa" w:w="2498"/>
            <w:shd w:fill="FFF7ED"/>
          </w:tcPr>
          <w:p>
            <w:r>
              <w:rPr>
                <w:b/>
              </w:rPr>
              <w:t>Mean</w:t>
            </w:r>
          </w:p>
        </w:tc>
        <w:tc>
          <w:tcPr>
            <w:tcW w:type="dxa" w:w="2498"/>
            <w:shd w:fill="FFF7ED"/>
          </w:tcPr>
          <w:p>
            <w:r>
              <w:rPr>
                <w:b/>
              </w:rPr>
              <w:t>0.578</w:t>
            </w:r>
          </w:p>
        </w:tc>
        <w:tc>
          <w:tcPr>
            <w:tcW w:type="dxa" w:w="2498"/>
            <w:shd w:fill="FFF7ED"/>
          </w:tcPr>
          <w:p>
            <w:r>
              <w:rPr>
                <w:b/>
              </w:rPr>
              <w:t>0.673</w:t>
            </w:r>
          </w:p>
        </w:tc>
        <w:tc>
          <w:tcPr>
            <w:tcW w:type="dxa" w:w="2498"/>
            <w:shd w:fill="FFF7ED"/>
          </w:tcPr>
          <w:p>
            <w:r>
              <w:rPr>
                <w:b/>
              </w:rPr>
              <w:t>+0.095</w:t>
            </w:r>
          </w:p>
        </w:tc>
      </w:tr>
    </w:tbl>
    <w:p>
      <w:pPr>
        <w:jc w:val="center"/>
      </w:pPr>
      <w:r>
        <w:drawing>
          <wp:inline xmlns:a="http://schemas.openxmlformats.org/drawingml/2006/main" xmlns:pic="http://schemas.openxmlformats.org/drawingml/2006/picture">
            <wp:extent cx="6126480" cy="2888127"/>
            <wp:docPr id="1" name="Picture 1"/>
            <wp:cNvGraphicFramePr>
              <a:graphicFrameLocks noChangeAspect="1"/>
            </wp:cNvGraphicFramePr>
            <a:graphic>
              <a:graphicData uri="http://schemas.openxmlformats.org/drawingml/2006/picture">
                <pic:pic>
                  <pic:nvPicPr>
                    <pic:cNvPr id="0" name="totalvi_vs_fusionvi.png"/>
                    <pic:cNvPicPr/>
                  </pic:nvPicPr>
                  <pic:blipFill>
                    <a:blip r:embed="rId10"/>
                    <a:stretch>
                      <a:fillRect/>
                    </a:stretch>
                  </pic:blipFill>
                  <pic:spPr>
                    <a:xfrm>
                      <a:off x="0" y="0"/>
                      <a:ext cx="6126480" cy="2888127"/>
                    </a:xfrm>
                    <a:prstGeom prst="rect"/>
                  </pic:spPr>
                </pic:pic>
              </a:graphicData>
            </a:graphic>
          </wp:inline>
        </w:drawing>
      </w:r>
    </w:p>
    <w:p>
      <w:pPr>
        <w:jc w:val="center"/>
      </w:pPr>
      <w:r>
        <w:rPr>
          <w:i/>
          <w:sz w:val="17"/>
        </w:rPr>
        <w:t>Figure 1. Cross-mouse hidden-marker recovery. Bars show the mean of two folds; dots show individual held-out mice.</w:t>
      </w:r>
    </w:p>
    <w:p>
      <w:pPr>
        <w:pStyle w:val="Heading2"/>
        <w:keepLines/>
        <w:keepNext/>
      </w:pPr>
      <w:r>
        <w:t>Biological interpretation</w:t>
      </w:r>
    </w:p>
    <w:p>
      <w:pPr>
        <w:keepLines/>
      </w:pPr>
      <w:r>
        <w:t>FusionVI improved every marker in both transfer directions. CD20 and CD8a gained the most. These lineage markers are strongly associated with broader protein-panel patterns, so the remaining ADTs provide useful information when the target measurement is hidden. CD28 improved less, consistent with a costimulatory state marker being less tightly determined by cell lineage alone.</w:t>
      </w:r>
    </w:p>
    <w:p>
      <w:r>
        <w:br w:type="page"/>
      </w:r>
    </w:p>
    <w:p>
      <w:pPr>
        <w:pStyle w:val="Heading1"/>
        <w:keepLines/>
        <w:keepNext/>
      </w:pPr>
      <w:r>
        <w:t>6 Conclusions and limitations</w:t>
      </w:r>
    </w:p>
    <w:p>
      <w:pPr>
        <w:keepLines/>
      </w:pPr>
      <w:r>
        <w:t>The final project supports one clear statement: a dual-branch multimodal representation with a targeted cross-modal readout recovers missing immune surface markers in an unseen mouse more accurately than the paper totalVI decoder on the original totalVI dataset. The average gain is 0.095 Spearman across four markers.</w:t>
      </w:r>
    </w:p>
    <w:p>
      <w:pPr>
        <w:keepLines/>
      </w:pPr>
      <w:r>
        <w:t>The model comparison evaluates complete prediction pipelines. FusionVI includes a supervised Ridge readout, while totalVI uses its native generative decoder. The result therefore supports the FusionVI pipeline rather than proving that the dual-branch encoder alone accounts for the full improvement.</w:t>
      </w:r>
    </w:p>
    <w:p>
      <w:pPr>
        <w:pStyle w:val="ListBullet"/>
        <w:keepLines/>
      </w:pPr>
      <w:r>
        <w:t>Only two independent mice are available, so population-level inference is not justified.</w:t>
      </w:r>
    </w:p>
    <w:p>
      <w:pPr>
        <w:pStyle w:val="ListBullet"/>
        <w:keepLines/>
      </w:pPr>
      <w:r>
        <w:t>The task hides measured proteins retrospectively; it does not validate prospective assay failure.</w:t>
      </w:r>
    </w:p>
    <w:p>
      <w:pPr>
        <w:pStyle w:val="ListBullet"/>
        <w:keepLines/>
      </w:pPr>
      <w:r>
        <w:t>The study evaluates immune-marker recovery rather than drug response or clinical outcomes.</w:t>
      </w:r>
    </w:p>
    <w:p>
      <w:pPr>
        <w:pStyle w:val="ListBullet"/>
        <w:keepLines/>
      </w:pPr>
      <w:r>
        <w:t>A larger follow-up should use more animals and prespecified missing-marker panels.</w:t>
      </w:r>
    </w:p>
    <w:p>
      <w:pPr>
        <w:pStyle w:val="Heading1"/>
        <w:keepLines/>
        <w:keepNext/>
      </w:pPr>
      <w:r>
        <w:t>Reproducibility</w:t>
      </w:r>
    </w:p>
    <w:p>
      <w:pPr>
        <w:keepLines/>
      </w:pPr>
      <w:r>
        <w:t>The repository contains one configuration file and one PowerShell entry point. run_all.ps1 downloads the checksum-verified source object, prepares the matrix, trains four neural folds, evaluates both models and regenerates the figure. Raw data, latent arrays and weights are excluded from Git and recreated locally.</w:t>
      </w:r>
    </w:p>
    <w:p>
      <w:pPr>
        <w:pStyle w:val="Heading1"/>
        <w:keepLines/>
        <w:keepNext/>
      </w:pPr>
      <w:r>
        <w:t>References</w:t>
      </w:r>
    </w:p>
    <w:p>
      <w:pPr>
        <w:keepLines/>
      </w:pPr>
      <w:r>
        <w:t>Gayoso A, Steier Z, Lopez R, et al. Joint probabilistic modeling of single-cell multi-omic data with totalVI. Nature Methods. 2021;18:272-282. doi:10.1038/s41592-020-01050-x.</w:t>
      </w:r>
    </w:p>
    <w:p>
      <w:pPr>
        <w:keepLines/>
      </w:pPr>
      <w:r>
        <w:t>Source code and data object: https://github.com/YosefLab/totalVI_reproducibility</w:t>
      </w:r>
    </w:p>
    <w:sectPr w:rsidR="00FC693F" w:rsidRPr="0006063C" w:rsidSect="00034616">
      <w:footerReference w:type="default" r:id="rId9"/>
      <w:pgSz w:w="12240" w:h="15840"/>
      <w:pgMar w:top="936"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7"/>
      </w:rPr>
      <w:t>FusionVI technical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172554"/>
      <w:sz w:val="3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172554"/>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2554"/>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