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four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Four completed experiments cover held-out human donors, held-out CRISPR targets, cross-mouse transfer and the full missing-protein-panel benchmark from the totalVI paper. The evidence is deliberately mixed: multimodal context is useful in the PD-L1 perturbation task, while targeted marker studies show that measured protein context often matters more than the learned latent. In the complete-panel benchmark, FusionVI has a small advantage only under the original log1p-of-mean readout. A D1-only calibration removes that advantage, while residual and within-cell-type metrics slightly favour totalVI.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Protein context + RNA reached 0.670; either latent added no more than 0.003</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16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Raw RMSLE lead vanished after D1-only calibration; information metrics did not improve</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r>
        <w:br w:type="page"/>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250960"/>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250960"/>
                    </a:xfrm>
                    <a:prstGeom prst="rect"/>
                  </pic:spPr>
                </pic:pic>
              </a:graphicData>
            </a:graphic>
          </wp:inline>
        </w:drawing>
      </w:r>
    </w:p>
    <w:p>
      <w:pPr>
        <w:spacing w:after="140"/>
        <w:jc w:val="center"/>
      </w:pPr>
      <w:r>
        <w:rPr>
          <w:i/>
          <w:sz w:val="17"/>
        </w:rPr>
        <w:t>Figure 1. Aggregate hidden-marker recovery across 10 donor-held-out folds.</w:t>
      </w:r>
    </w:p>
    <w:p>
      <w:r>
        <w:br w:type="page"/>
      </w:r>
    </w:p>
    <w:p>
      <w:pPr>
        <w:pStyle w:val="Heading1"/>
      </w:pPr>
      <w:r>
        <w:t>Experiment 2 Papalexi unseen CRISPR targets</w:t>
      </w:r>
    </w:p>
    <w:p>
      <w:pPr>
        <w:pStyle w:val="Heading2"/>
      </w:pPr>
      <w:r>
        <w:t>Biological question and design</w:t>
      </w:r>
    </w:p>
    <w:p>
      <w:r>
        <w:t>Given a held-out perturbation cell's RNA and three measured proteins, can its hidden PD-L1 response be recovered? The ECCITE-seq screen contains 20,729 IFN-gamma-treated THP-1 cells, 25 perturbation targets, three biological replicates and four surface proteins. Five outer folds held out complete CRISPR targets. At test time, each cell's RNA and the other three measured proteins remain inputs; only PD-L1 is hidden, and the perturbation-target label is not used.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per-target PD-L1 effect absolute error by 0.0042 relative to totalVI-X after replicate averaging (paired Wilcoxon p=0.042, 25 targets). A 5,000-sample target-cluster bootstrap estimated FusionVI-X effect Spearman at 0.879 (95% CI 0.728 to 0.967) and its difference from totalVI-X at +0.038 (95% CI +0.011 to +0.083). The MAE-difference interval included zero.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8813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8813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Protein context + matching RNA</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shared baseline</w:t>
            </w:r>
          </w:p>
        </w:tc>
      </w:tr>
    </w:tbl>
    <w:p>
      <w:pPr>
        <w:spacing w:after="20"/>
      </w:pPr>
    </w:p>
    <w:p>
      <w:pPr>
        <w:spacing w:after="140"/>
      </w:pPr>
      <w:r>
        <w:rPr>
          <w:b/>
          <w:color w:val="C2410C"/>
        </w:rPr>
        <w:t>Result  Most cross-mouse performance came from measured protein context, not either latent.</w:t>
      </w:r>
    </w:p>
    <w:p>
      <w:r>
        <w:t>The remaining 106 proteins plus matching transcript reached 0.670. Adding totalVI or FusionVI latents changed mean Spearman by only 0.002 and 0.003.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3275776"/>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3275776"/>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 Sixteen paired seeds were run for FusionVI, totalVI and all three Tier 1 controls.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Encoder comparison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Mean RMSLE</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 vs FusionVI</w:t>
            </w:r>
          </w:p>
        </w:tc>
      </w:tr>
      <w:t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Separate branches and learned gate</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1.0539</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reference</w:t>
            </w:r>
          </w:p>
        </w:tc>
      </w:tr>
      <w:t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Published joint encoder, width 256</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1.0601</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+0.0062</w:t>
            </w:r>
          </w:p>
        </w:tc>
      </w:tr>
      <w:t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Joint same width</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Width 128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1.0645</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+0.0106</w:t>
            </w:r>
          </w:p>
        </w:tc>
      </w:tr>
      <w:t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Joint parameter matched</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Width 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1.0728</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+0.0189</w:t>
            </w:r>
          </w:p>
        </w:tc>
      </w:tr>
      <w:tr>
        <w:tc>
          <w:tcPr>
            <w:tcW w:type="dxa" w:w="216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Joint plus availability</w:t>
            </w:r>
          </w:p>
        </w:tc>
        <w:tc>
          <w:tcPr>
            <w:tcW w:type="dxa" w:w="38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Width 128 and panel indicator</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1.0651</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+0.0112</w:t>
            </w:r>
          </w:p>
        </w:tc>
      </w:tr>
    </w:tbl>
    <w:p>
      <w:pPr>
        <w:spacing w:after="20"/>
      </w:pPr>
    </w:p>
    <w:p>
      <w:pPr>
        <w:spacing w:after="140"/>
      </w:pPr>
      <w:r>
        <w:rPr>
          <w:b/>
          <w:color w:val="C2410C"/>
        </w:rPr>
        <w:t>Result  The original RMSLE lead is principally an output-scale effect.</w:t>
      </w:r>
    </w:p>
    <w:p>
      <w:r>
        <w:t>Against the same-width joint encoder, FusionVI reduced RMSLE by 0.0106 (95% CI -0.0135 to -0.0077; Holm p=3.4e-06) and won 15/16 seeds. Against the parameter-matched encoder, the reduction was 0.0189 (95% CI -0.0216 to -0.0162; Holm p=7.9e-10) with 16/16 wins. Against the missingness-aware joint encoder, the reduction was 0.0112 (95% CI -0.0143 to -0.0081; Holm p=3.4e-06) with 15/16 wins. The availability indicator alone did not help (difference +0.0006; p=0.51).</w:t>
      </w:r>
    </w:p>
    <w:p>
      <w:r>
        <w:t>Every checkpoint was then re-scored without retraining. Posterior E[log1p y] reduced both models' error, and a per-protein affine calibration fitted only on D1 RNA-only predictions reduced mean RMSLE to 0.5745 for totalVI and 0.5831 for FusionVI. The calibrated difference was +0.0085 (95% CI -0.0003 to +0.0173; Holm p=0.218).</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960"/>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 − totalVI</w:t>
            </w:r>
          </w:p>
        </w:tc>
      </w:tr>
      <w:tr>
        <w:tc>
          <w:tcPr>
            <w:tcW w:type="dxa" w:w="396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Original log1p(E[y])</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1.0600</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1.0538</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-0.0062</w:t>
            </w:r>
          </w:p>
        </w:tc>
      </w:tr>
      <w:tr>
        <w:tc>
          <w:tcPr>
            <w:tcW w:type="dxa" w:w="396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Posterior E[log1p y]</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0.9616</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0.9569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-0.0047</w:t>
            </w:r>
          </w:p>
        </w:tc>
      </w:tr>
      <w:tr>
        <w:tc>
          <w:tcPr>
            <w:tcW w:type="dxa" w:w="396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D1-only calibrated</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0.5745</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0.5831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+0.0085</w:t>
            </w:r>
          </w:p>
        </w:tc>
      </w:tr>
      <w:tr>
        <w:tc>
          <w:tcPr>
            <w:tcW w:type="dxa" w:w="396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RNA SVD-ridge</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0.6373</w:t>
            </w:r>
          </w:p>
        </w:tc>
        <w:tc>
          <w:tcPr>
            <w:tcW w:type="dxa" w:w="187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bl>
    <w:p>
      <w:pPr>
        <w:spacing w:after="20"/>
      </w:pPr>
    </w:p>
    <w:p>
      <w:r>
        <w:t>FusionVI's calibrated residual error was higher by +0.0065. Mean within-cell-type Spearman was 0.1640 for FusionVI versus 0.1681 for totalVI; marker AUROC was approximately 0.99 for both. The widened RNA ridge reached 0.6373 RMSLE, so calibrated neural predictions actually outperformed it on aggregate error. The earlier ridge gap was therefore also largely a scale effect.</w:t>
      </w:r>
    </w:p>
    <w:p>
      <w:pPr>
        <w:keepNext/>
        <w:jc w:val="center"/>
      </w:pPr>
      <w:r>
        <w:drawing>
          <wp:inline xmlns:a="http://schemas.openxmlformats.org/drawingml/2006/main" xmlns:pic="http://schemas.openxmlformats.org/drawingml/2006/picture">
            <wp:extent cx="6126480" cy="2059946"/>
            <wp:docPr id="4" name="Picture 4"/>
            <wp:cNvGraphicFramePr>
              <a:graphicFrameLocks noChangeAspect="1"/>
            </wp:cNvGraphicFramePr>
            <a:graphic>
              <a:graphicData uri="http://schemas.openxmlformats.org/drawingml/2006/picture">
                <pic:pic>
                  <pic:nvPicPr>
                    <pic:cNvPr id="0" name="calibration_benchmark.png"/>
                    <pic:cNvPicPr/>
                  </pic:nvPicPr>
                  <pic:blipFill>
                    <a:blip r:embed="rId14"/>
                    <a:stretch>
                      <a:fillRect/>
                    </a:stretch>
                  </pic:blipFill>
                  <pic:spPr>
                    <a:xfrm>
                      <a:off x="0" y="0"/>
                      <a:ext cx="6126480" cy="2059946"/>
                    </a:xfrm>
                    <a:prstGeom prst="rect"/>
                  </pic:spPr>
                </pic:pic>
              </a:graphicData>
            </a:graphic>
          </wp:inline>
        </w:drawing>
      </w:r>
    </w:p>
    <w:p>
      <w:pPr>
        <w:spacing w:after="140"/>
        <w:jc w:val="center"/>
      </w:pPr>
      <w:r>
        <w:rPr>
          <w:i/>
          <w:sz w:val="17"/>
        </w:rPr>
        <w:t>Figure 4. Scale-matched complete-panel evaluation across 16 paired seeds.</w:t>
      </w:r>
    </w:p>
    <w:p>
      <w:pPr>
        <w:pStyle w:val="Heading1"/>
      </w:pPr>
      <w:r>
        <w:t>Combined interpretation</w:t>
      </w:r>
    </w:p>
    <w:p>
      <w:r>
        <w:t>The experiments support a narrow and biologically coherent contribution. The complete-panel experiment shows that FusionVI's original RMSLE lead is mainly calibration, while scale-free and residual metrics do not support stronger biological recovery. When other proteins remain available, measured protein context often contributes more than the learned latent. The Papalexi result shows that multimodal context can rank unseen PD-L1 perturbation effects, while the CMTM6 failure exposes a post-transcriptional boundary.</w:t>
      </w:r>
    </w:p>
    <w:p>
      <w:pPr>
        <w:pStyle w:val="ListBullet"/>
      </w:pPr>
      <w:r>
        <w:t>Controlled benchmark result: the raw FusionVI RMSLE lead disappears after D1-only calibration.</w:t>
      </w:r>
    </w:p>
    <w:p>
      <w:pPr>
        <w:pStyle w:val="ListBullet"/>
      </w:pPr>
      <w:r>
        <w:t>Scale diagnosis: calibration improves both neural models below the RNA ridge aggregate RMSLE.</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16 seeds rather than the paper's 30.</w:t>
      </w:r>
    </w:p>
    <w:p>
      <w:pPr>
        <w:pStyle w:val="ListBullet"/>
      </w:pPr>
      <w:r>
        <w:t>Same-width, parameter-matched and missingness-aware controls are complete; modality-dropout arms remain pending.</w:t>
      </w:r>
    </w:p>
    <w:p>
      <w:pPr>
        <w:pStyle w:val="ListBullet"/>
      </w:pPr>
      <w:r>
        <w:t>Seed-level inference is primary; per-protein tests are descriptive repeated-outcome summaries.</w:t>
      </w:r>
    </w:p>
    <w:p>
      <w:pPr>
        <w:pStyle w:val="ListBullet"/>
      </w:pPr>
      <w:r>
        <w:t>Native and X-readout results are separated throughout the report.</w:t>
      </w:r>
    </w:p>
    <w:p>
      <w:pPr>
        <w:pStyle w:val="ListBullet"/>
      </w:pPr>
      <w:r>
        <w:t>Overall, within-cell-type and CD4/CD8/CD19 AUROC metrics are complete for all Tier 0/1 arms; modality-dropout arms remain pending.</w:t>
      </w:r>
    </w:p>
    <w:p>
      <w:pPr>
        <w:pStyle w:val="ListBullet"/>
      </w:pPr>
      <w:r>
        <w:t>Calibration outputs are stored in results/calibration_summary.csv and calibration_contrasts.csv.</w:t>
      </w:r>
    </w:p>
    <w:p>
      <w:r>
        <w:t>The current full-panel benchmark is reproduced with .\run_paper_benchmark.ps1. The original Lawlor and Papalexi training pipelines were not retained, so Experiments 1 and 2 are documented from saved held-out predictions, metrics and figures and are not reproducible from a fresh clone. The versioned Papalexi effect table reproduces the target-cluster bootstrap.</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