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FusionVI</w:t>
      </w:r>
    </w:p>
    <w:p>
      <w:pPr>
        <w:spacing w:after="300"/>
      </w:pPr>
      <w:r>
        <w:rPr>
          <w:rFonts w:ascii="Arial" w:hAnsi="Arial"/>
          <w:color w:val="172554"/>
          <w:sz w:val="34"/>
        </w:rPr>
        <w:t>A paper-aligned benchmark for missing-protein recovery in CITE-seq</w:t>
      </w:r>
    </w:p>
    <w:p>
      <w:pPr>
        <w:spacing w:after="360"/>
      </w:pPr>
      <w:r>
        <w:rPr>
          <w:b/>
        </w:rPr>
        <w:t>Technical report  •  totalVI versus FusionVI  •  October 2026</w:t>
      </w:r>
    </w:p>
    <w:p>
      <w:pPr>
        <w:pStyle w:val="Heading1"/>
      </w:pPr>
      <w:r>
        <w:t>Abstract</w:t>
      </w:r>
    </w:p>
    <w:p>
      <w:r>
        <w:t>Therapeutic biomarker studies often combine sparse transcript counts with surface-protein measurements, but entire protein panels may be unavailable in a new batch. We reproduced the totalVI paper's Figure 3 missing-protein design on the official SLN111 CITE-seq object and compared the published totalVI architecture with FusionVI, which replaces the joint encoder with separate RNA and protein branches and a learned cell-level gate. When the panel is absent, an availability rule routes the cell through the RNA branch. Across 4 paired random initializations and 110 proteins, FusionVI reduced mean RMSLE from 1.0605 to 1.0544 (0.57% lower) while using 35.0% fewer trainable parameters. This course-scale benchmark estimates algorithmic performance; it does not establish population-level biological generalization.</w:t>
      </w:r>
    </w:p>
    <w:p>
      <w:pPr>
        <w:pStyle w:val="Heading1"/>
      </w:pPr>
      <w:r>
        <w:t>1. Biological and technical question</w:t>
      </w:r>
    </w:p>
    <w:p>
      <w:r>
        <w:t>Can RNA measured in a new biological batch, together with multimodal structure learned from a reference batch, recover an entirely unmeasured surface-protein panel? This matters for therapeutic discovery because surface proteins define immune populations, pharmacodynamic states and drug targets, while antibody panels can fail or differ between experiments.</w:t>
      </w:r>
    </w:p>
    <w:p>
      <w:r>
        <w:t>The model question was narrower: does modality-specific encoding improve the original totalVI decoder under the exact missing-panel stress test used in the paper?</w:t>
      </w:r>
    </w:p>
    <w:p>
      <w:pPr>
        <w:pStyle w:val="Heading1"/>
      </w:pPr>
      <w:r>
        <w:t>2. Dataset and study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2554"/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2554"/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Source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Official SLN111 CITE-seq object released with totalVI (GSE150599)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Cells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16,828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RNA features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4,005 highly variable genes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Protein features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110 biological proteins after HTO removal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Reference batch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SLN111-D1, 9,264 cells, RNA and proteins retained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Target batch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SLN111-D2, 7,564 cells, all protein inputs hidden</w:t>
            </w:r>
          </w:p>
        </w:tc>
      </w:tr>
    </w:tbl>
    <w:p>
      <w:pPr>
        <w:spacing w:after="20"/>
      </w:pPr>
    </w:p>
    <w:p>
      <w:r>
        <w:t>Untouched D2 protein counts were stored only as evaluation truth. During training, totalVI's missing-protein mask removed the entire D2 panel from the protein likelihood. Both models saw the same cells, gene features, batch labels and validation split.</w:t>
      </w:r>
    </w:p>
    <w:p>
      <w:pPr>
        <w:pStyle w:val="Heading1"/>
      </w:pPr>
      <w:r>
        <w:t>3. Models</w:t>
      </w:r>
    </w:p>
    <w:p>
      <w:pPr>
        <w:pStyle w:val="Heading2"/>
      </w:pPr>
      <w:r>
        <w:t>Published totalVI baseline</w:t>
      </w:r>
    </w:p>
    <w:p>
      <w:r>
        <w:t>The baseline uses the scvi-tools totalVI implementation: a joint RNA-protein encoder, a 20-dimensional latent state, a negative-binomial RNA likelihood and the native background/foreground protein mixture decoder.</w:t>
      </w:r>
    </w:p>
    <w:p>
      <w:pPr>
        <w:pStyle w:val="Heading2"/>
      </w:pPr>
      <w:r>
        <w:t>FusionVI</w:t>
      </w:r>
    </w:p>
    <w:p>
      <w:r>
        <w:t>FusionVI keeps totalVI's generative decoder and likelihoods. It changes only the inference network: one branch encodes RNA, a second branch encodes protein measurements, and a learned gate combines their hidden states for each cell before estimating the same 20-dimensional latent distribution. This separates modality-specific representations while preserving the paper's output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2554"/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2554"/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Encoder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2554"/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Decoder and likelihood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2554"/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Trainable parameters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totalVI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Joint RNA-protein encoder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Native totalVI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4,574,975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FusionVI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RNA branch + protein branch + cell gate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Native totalVI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2,971,904</w:t>
            </w:r>
          </w:p>
        </w:tc>
      </w:tr>
    </w:tbl>
    <w:p>
      <w:pPr>
        <w:spacing w:after="20"/>
      </w:pPr>
    </w:p>
    <w:p>
      <w:pPr>
        <w:pStyle w:val="Heading1"/>
      </w:pPr>
      <w:r>
        <w:t>4. Training and evaluation</w:t>
      </w:r>
    </w:p>
    <w:p>
      <w:pPr>
        <w:pStyle w:val="ListBullet"/>
      </w:pPr>
      <w:r>
        <w:t>4 paired seeds. Each seed initializes both models independently.</w:t>
      </w:r>
    </w:p>
    <w:p>
      <w:pPr>
        <w:pStyle w:val="ListBullet"/>
      </w:pPr>
      <w:r>
        <w:t>Maximum 500 epochs, Adam learning rate 0.004, batch size 256, 90/10 train-validation split.</w:t>
      </w:r>
    </w:p>
    <w:p>
      <w:pPr>
        <w:pStyle w:val="ListBullet"/>
      </w:pPr>
      <w:r>
        <w:t>Early stopping patience 45 with learning-rate reduction on validation plateau.</w:t>
      </w:r>
    </w:p>
    <w:p>
      <w:pPr>
        <w:pStyle w:val="ListBullet"/>
      </w:pPr>
      <w:r>
        <w:t>Predictions average 25 posterior samples and decode D2 cells through the D1 batch.</w:t>
      </w:r>
    </w:p>
    <w:p>
      <w:pPr>
        <w:pStyle w:val="ListBullet"/>
      </w:pPr>
      <w:r>
        <w:t>Primary metric: mean per-protein RMSLE across 7,564 D2 cells. Lower values indicate better reconstruction.</w:t>
      </w:r>
    </w:p>
    <w:p>
      <w:r>
        <w:t>The paper used 30 initializations. We used 4 paired initializations to fit the course compute budget, so this is a protocol-aligned reproduction rather than an exact reproduction of the paper's uncertainty analysis.</w:t>
      </w:r>
    </w:p>
    <w:p>
      <w:pPr>
        <w:pStyle w:val="Heading1"/>
      </w:pPr>
      <w:r>
        <w:t>5. Results</w:t>
      </w:r>
    </w:p>
    <w:p>
      <w:r>
        <w:t>FusionVI reduced mean RMSLE from 1.0605 to 1.0544 (0.57% lower) while using 35.0% fewer trainable parameters.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2554"/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Seed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2554"/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totalVI RMSLE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2554"/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FusionVI RMSLE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2554"/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FusionVI − totalVI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2026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1.0639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1.0482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-0.0157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2027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1.0602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1.0619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+0.0018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2028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1.0587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1.0522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-0.0065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2029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1.0590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1.0554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FF6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-0.0037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Mean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1.0605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1.0544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-0.0060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13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enchmark_totalvi_vs_fusionv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3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Paired seed means, per-protein errors and the distribution of paired differences. Negative differences favor FusionVI.</w:t>
      </w:r>
    </w:p>
    <w:p>
      <w:r>
        <w:t>FusionVI had lower mean RMSLE for 74 of 110 proteins. A paired Wilcoxon test across protein-level mean errors gave p = 1.04e-05. Proteins and seeds are algorithmic benchmark units, so this test describes the benchmark and must not be interpreted as evidence from independent animals or patients.</w:t>
      </w:r>
    </w:p>
    <w:p>
      <w:pPr>
        <w:pStyle w:val="Heading2"/>
      </w:pPr>
      <w:r>
        <w:t>Secondary four-marker extension</w:t>
      </w:r>
    </w:p>
    <w:p>
      <w:r>
        <w:t>A separate leave-one-mouse-out extension hid CD20, CD28, CD4 and CD8a while retaining the other 106 proteins. FusionVI achieved a mean Spearman correlation of 0.673 versus 0.578 for totalVI. This result tests marker ranking in two held-out mice and uses a different readout, so it complements rather than replaces the paper-aligned benchmark.</w:t>
      </w:r>
    </w:p>
    <w:p>
      <w:pPr>
        <w:pStyle w:val="Heading1"/>
      </w:pPr>
      <w:r>
        <w:t>6. Interpretation</w:t>
      </w:r>
    </w:p>
    <w:p>
      <w:r>
        <w:t>The full-panel result supports the claim that modality-specific encoding can match or modestly improve totalVI's missing-protein reconstruction while reducing the parameter count. The result does not prove that FusionVI is universally better: the effect is small, the benchmark contains only one source-target pair and the paper's 30-initialization analysis was not repeated in full.</w:t>
      </w:r>
    </w:p>
    <w:p>
      <w:r>
        <w:t>Biologically, successful reconstruction means that RNA and the reference donor encode enough shared immune-cell structure to estimate many unmeasured surface markers. The experiment evaluates technical transfer and panel completion. It does not establish therapeutic response prediction, clinical utility or generalization across a population.</w:t>
      </w:r>
    </w:p>
    <w:p>
      <w:pPr>
        <w:pStyle w:val="Heading1"/>
      </w:pPr>
      <w:r>
        <w:t>7. Reproducibility</w:t>
      </w:r>
    </w:p>
    <w:p>
      <w:pPr>
        <w:pStyle w:val="ListBullet"/>
      </w:pPr>
      <w:r>
        <w:t>Primary scripts: prepare_paper_benchmark.py, train_paper_benchmark.py and evaluate_paper_benchmark.py.</w:t>
      </w:r>
    </w:p>
    <w:p>
      <w:pPr>
        <w:pStyle w:val="ListBullet"/>
      </w:pPr>
      <w:r>
        <w:t>Configuration: config/paper_benchmark.yaml records data dimensions, training settings, seeds and the paper's 30-run reference.</w:t>
      </w:r>
    </w:p>
    <w:p>
      <w:pPr>
        <w:pStyle w:val="ListBullet"/>
      </w:pPr>
      <w:r>
        <w:t>Saved outputs include every per-protein metric, seed summary, paired differences, figures and completion metadata.</w:t>
      </w:r>
    </w:p>
    <w:p>
      <w:pPr>
        <w:pStyle w:val="ListBullet"/>
      </w:pPr>
      <w:r>
        <w:t>Raw data and model weights are regenerated locally and excluded from Git; source code and compact results are versioned.</w:t>
      </w:r>
    </w:p>
    <w:p>
      <w:r>
        <w:t>Run from PowerShell:</w:t>
      </w:r>
    </w:p>
    <w:p>
      <w:pPr>
        <w:ind w:left="432"/>
      </w:pPr>
      <w:r>
        <w:rPr>
          <w:rFonts w:ascii="Consolas" w:hAnsi="Consolas"/>
          <w:sz w:val="19"/>
        </w:rPr>
        <w:t>.\run_paper_benchmark.ps1</w:t>
      </w:r>
    </w:p>
    <w:p>
      <w:pPr>
        <w:pStyle w:val="Heading1"/>
      </w:pPr>
      <w:r>
        <w:t>References</w:t>
      </w:r>
    </w:p>
    <w:p>
      <w:r>
        <w:t>Gayoso A, Steier Z, Lopez R, et al. Joint probabilistic modeling of single-cell multi-omic data with totalVI. Nature Methods. 2021;18:272–282. https://doi.org/10.1038/s41592-020-01050-x</w:t>
      </w:r>
    </w:p>
    <w:p>
      <w:r>
        <w:t>Yosef Lab. totalVI reproducibility repository. https://github.com/YosefLab/totalVI_reproducibility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Multimodal AI for therapeutic discovery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475569"/>
        <w:sz w:val="17"/>
      </w:rPr>
      <w:t>FusionVI  |  Paper-aligned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