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2B45"/>
          <w:sz w:val="52"/>
        </w:rPr>
        <w:t>Chief of Staff — Feature Build Scope</w:t>
      </w:r>
    </w:p>
    <w:p>
      <w:pPr>
        <w:spacing w:after="200"/>
      </w:pPr>
      <w:r>
        <w:rPr>
          <w:color w:val="5F6B7A"/>
          <w:sz w:val="22"/>
        </w:rPr>
        <w:t>Social Media Automation · Integration Marketplace · File System Access · Browser Automation · Safe Advanced Execution  |  March 2026</w:t>
      </w:r>
    </w:p>
    <w:p>
      <w:pPr>
        <w:spacing w:before="400" w:after="120"/>
        <w:pBdr>
          <w:bottom w:val="single" w:sz="6" w:space="4" w:color="1A73E8"/>
        </w:pBdr>
      </w:pPr>
      <w:r>
        <w:rPr>
          <w:b/>
          <w:color w:val="0D2B45"/>
          <w:sz w:val="40"/>
        </w:rPr>
        <w:t>Overview</w:t>
      </w:r>
    </w:p>
    <w:p>
      <w:pPr>
        <w:spacing w:after="100"/>
      </w:pPr>
      <w:r>
        <w:rPr>
          <w:sz w:val="21"/>
        </w:rPr>
        <w:t>This document covers the scope, delivery plan, and security strategy for five capability areas identified through the OpenClaw competitive analysis. Features are grouped by implementation complexity.</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D2B45"/>
          </w:tcPr>
          <w:p>
            <w:pPr>
              <w:spacing w:before="60" w:after="60"/>
            </w:pPr>
            <w:r>
              <w:rPr>
                <w:b/>
                <w:color w:val="FFFFFF"/>
                <w:sz w:val="19"/>
              </w:rPr>
              <w:t>Feature</w:t>
            </w:r>
          </w:p>
        </w:tc>
        <w:tc>
          <w:tcPr>
            <w:tcW w:type="dxa" w:w="1814"/>
            <w:shd w:val="clear" w:color="auto" w:fill="0D2B45"/>
          </w:tcPr>
          <w:p>
            <w:pPr>
              <w:spacing w:before="60" w:after="60"/>
            </w:pPr>
            <w:r>
              <w:rPr>
                <w:b/>
                <w:color w:val="FFFFFF"/>
                <w:sz w:val="19"/>
              </w:rPr>
              <w:t>Complexity</w:t>
            </w:r>
          </w:p>
        </w:tc>
        <w:tc>
          <w:tcPr>
            <w:tcW w:type="dxa" w:w="1814"/>
            <w:shd w:val="clear" w:color="auto" w:fill="0D2B45"/>
          </w:tcPr>
          <w:p>
            <w:pPr>
              <w:spacing w:before="60" w:after="60"/>
            </w:pPr>
            <w:r>
              <w:rPr>
                <w:b/>
                <w:color w:val="FFFFFF"/>
                <w:sz w:val="19"/>
              </w:rPr>
              <w:t>Effort</w:t>
            </w:r>
          </w:p>
        </w:tc>
        <w:tc>
          <w:tcPr>
            <w:tcW w:type="dxa" w:w="1814"/>
            <w:shd w:val="clear" w:color="auto" w:fill="0D2B45"/>
          </w:tcPr>
          <w:p>
            <w:pPr>
              <w:spacing w:before="60" w:after="60"/>
            </w:pPr>
            <w:r>
              <w:rPr>
                <w:b/>
                <w:color w:val="FFFFFF"/>
                <w:sz w:val="19"/>
              </w:rPr>
              <w:t>Priority</w:t>
            </w:r>
          </w:p>
        </w:tc>
        <w:tc>
          <w:tcPr>
            <w:tcW w:type="dxa" w:w="1814"/>
            <w:shd w:val="clear" w:color="auto" w:fill="0D2B45"/>
          </w:tcPr>
          <w:p>
            <w:pPr>
              <w:spacing w:before="60" w:after="60"/>
            </w:pPr>
            <w:r>
              <w:rPr>
                <w:b/>
                <w:color w:val="FFFFFF"/>
                <w:sz w:val="19"/>
              </w:rPr>
              <w:t>Risk</w:t>
            </w:r>
          </w:p>
        </w:tc>
      </w:tr>
      <w:tr>
        <w:tc>
          <w:tcPr>
            <w:tcW w:type="dxa" w:w="1814"/>
            <w:shd w:val="clear" w:color="auto" w:fill="F0FAF4"/>
          </w:tcPr>
          <w:p>
            <w:pPr>
              <w:spacing w:before="60" w:after="60"/>
            </w:pPr>
            <w:r>
              <w:rPr>
                <w:b/>
                <w:sz w:val="19"/>
              </w:rPr>
              <w:t>Social Media Automation</w:t>
            </w:r>
          </w:p>
        </w:tc>
        <w:tc>
          <w:tcPr>
            <w:tcW w:type="dxa" w:w="1814"/>
            <w:shd w:val="clear" w:color="auto" w:fill="F0FAF4"/>
          </w:tcPr>
          <w:p>
            <w:pPr>
              <w:spacing w:before="60" w:after="60"/>
            </w:pPr>
            <w:r>
              <w:rPr>
                <w:sz w:val="19"/>
              </w:rPr>
              <w:t>Straightforward</w:t>
            </w:r>
          </w:p>
        </w:tc>
        <w:tc>
          <w:tcPr>
            <w:tcW w:type="dxa" w:w="1814"/>
            <w:shd w:val="clear" w:color="auto" w:fill="F0FAF4"/>
          </w:tcPr>
          <w:p>
            <w:pPr>
              <w:spacing w:before="60" w:after="60"/>
            </w:pPr>
            <w:r>
              <w:rPr>
                <w:sz w:val="19"/>
              </w:rPr>
              <w:t>2–3 weeks</w:t>
            </w:r>
          </w:p>
        </w:tc>
        <w:tc>
          <w:tcPr>
            <w:tcW w:type="dxa" w:w="1814"/>
            <w:shd w:val="clear" w:color="auto" w:fill="F0FAF4"/>
          </w:tcPr>
          <w:p>
            <w:pPr>
              <w:spacing w:before="60" w:after="60"/>
            </w:pPr>
            <w:r>
              <w:rPr>
                <w:sz w:val="19"/>
              </w:rPr>
              <w:t>High</w:t>
            </w:r>
          </w:p>
        </w:tc>
        <w:tc>
          <w:tcPr>
            <w:tcW w:type="dxa" w:w="1814"/>
            <w:shd w:val="clear" w:color="auto" w:fill="F0FAF4"/>
          </w:tcPr>
          <w:p>
            <w:pPr>
              <w:spacing w:before="60" w:after="60"/>
            </w:pPr>
            <w:r>
              <w:rPr>
                <w:sz w:val="19"/>
              </w:rPr>
              <w:t>Low</w:t>
            </w:r>
          </w:p>
        </w:tc>
      </w:tr>
      <w:tr>
        <w:tc>
          <w:tcPr>
            <w:tcW w:type="dxa" w:w="1814"/>
            <w:shd w:val="clear" w:color="auto" w:fill="F0FAF4"/>
          </w:tcPr>
          <w:p>
            <w:pPr>
              <w:spacing w:before="60" w:after="60"/>
            </w:pPr>
            <w:r>
              <w:rPr>
                <w:b/>
                <w:sz w:val="19"/>
              </w:rPr>
              <w:t>Integration Marketplace</w:t>
            </w:r>
          </w:p>
        </w:tc>
        <w:tc>
          <w:tcPr>
            <w:tcW w:type="dxa" w:w="1814"/>
            <w:shd w:val="clear" w:color="auto" w:fill="F0FAF4"/>
          </w:tcPr>
          <w:p>
            <w:pPr>
              <w:spacing w:before="60" w:after="60"/>
            </w:pPr>
            <w:r>
              <w:rPr>
                <w:sz w:val="19"/>
              </w:rPr>
              <w:t>Straightforward</w:t>
            </w:r>
          </w:p>
        </w:tc>
        <w:tc>
          <w:tcPr>
            <w:tcW w:type="dxa" w:w="1814"/>
            <w:shd w:val="clear" w:color="auto" w:fill="F0FAF4"/>
          </w:tcPr>
          <w:p>
            <w:pPr>
              <w:spacing w:before="60" w:after="60"/>
            </w:pPr>
            <w:r>
              <w:rPr>
                <w:sz w:val="19"/>
              </w:rPr>
              <w:t>1–2 weeks</w:t>
            </w:r>
          </w:p>
        </w:tc>
        <w:tc>
          <w:tcPr>
            <w:tcW w:type="dxa" w:w="1814"/>
            <w:shd w:val="clear" w:color="auto" w:fill="F0FAF4"/>
          </w:tcPr>
          <w:p>
            <w:pPr>
              <w:spacing w:before="60" w:after="60"/>
            </w:pPr>
            <w:r>
              <w:rPr>
                <w:sz w:val="19"/>
              </w:rPr>
              <w:t>Medium</w:t>
            </w:r>
          </w:p>
        </w:tc>
        <w:tc>
          <w:tcPr>
            <w:tcW w:type="dxa" w:w="1814"/>
            <w:shd w:val="clear" w:color="auto" w:fill="F0FAF4"/>
          </w:tcPr>
          <w:p>
            <w:pPr>
              <w:spacing w:before="60" w:after="60"/>
            </w:pPr>
            <w:r>
              <w:rPr>
                <w:sz w:val="19"/>
              </w:rPr>
              <w:t>Low</w:t>
            </w:r>
          </w:p>
        </w:tc>
      </w:tr>
      <w:tr>
        <w:tc>
          <w:tcPr>
            <w:tcW w:type="dxa" w:w="1814"/>
            <w:shd w:val="clear" w:color="auto" w:fill="FFF8EC"/>
          </w:tcPr>
          <w:p>
            <w:pPr>
              <w:spacing w:before="60" w:after="60"/>
            </w:pPr>
            <w:r>
              <w:rPr>
                <w:b/>
                <w:sz w:val="19"/>
              </w:rPr>
              <w:t>Local File System Access</w:t>
            </w:r>
          </w:p>
        </w:tc>
        <w:tc>
          <w:tcPr>
            <w:tcW w:type="dxa" w:w="1814"/>
            <w:shd w:val="clear" w:color="auto" w:fill="FFF8EC"/>
          </w:tcPr>
          <w:p>
            <w:pPr>
              <w:spacing w:before="60" w:after="60"/>
            </w:pPr>
            <w:r>
              <w:rPr>
                <w:sz w:val="19"/>
              </w:rPr>
              <w:t>Moderate</w:t>
            </w:r>
          </w:p>
        </w:tc>
        <w:tc>
          <w:tcPr>
            <w:tcW w:type="dxa" w:w="1814"/>
            <w:shd w:val="clear" w:color="auto" w:fill="FFF8EC"/>
          </w:tcPr>
          <w:p>
            <w:pPr>
              <w:spacing w:before="60" w:after="60"/>
            </w:pPr>
            <w:r>
              <w:rPr>
                <w:sz w:val="19"/>
              </w:rPr>
              <w:t>4–6 weeks</w:t>
            </w:r>
          </w:p>
        </w:tc>
        <w:tc>
          <w:tcPr>
            <w:tcW w:type="dxa" w:w="1814"/>
            <w:shd w:val="clear" w:color="auto" w:fill="FFF8EC"/>
          </w:tcPr>
          <w:p>
            <w:pPr>
              <w:spacing w:before="60" w:after="60"/>
            </w:pPr>
            <w:r>
              <w:rPr>
                <w:sz w:val="19"/>
              </w:rPr>
              <w:t>Medium</w:t>
            </w:r>
          </w:p>
        </w:tc>
        <w:tc>
          <w:tcPr>
            <w:tcW w:type="dxa" w:w="1814"/>
            <w:shd w:val="clear" w:color="auto" w:fill="FFF8EC"/>
          </w:tcPr>
          <w:p>
            <w:pPr>
              <w:spacing w:before="60" w:after="60"/>
            </w:pPr>
            <w:r>
              <w:rPr>
                <w:sz w:val="19"/>
              </w:rPr>
              <w:t>Medium</w:t>
            </w:r>
          </w:p>
        </w:tc>
      </w:tr>
      <w:tr>
        <w:tc>
          <w:tcPr>
            <w:tcW w:type="dxa" w:w="1814"/>
            <w:shd w:val="clear" w:color="auto" w:fill="FFF8EC"/>
          </w:tcPr>
          <w:p>
            <w:pPr>
              <w:spacing w:before="60" w:after="60"/>
            </w:pPr>
            <w:r>
              <w:rPr>
                <w:b/>
                <w:sz w:val="19"/>
              </w:rPr>
              <w:t>Browser Automation</w:t>
            </w:r>
          </w:p>
        </w:tc>
        <w:tc>
          <w:tcPr>
            <w:tcW w:type="dxa" w:w="1814"/>
            <w:shd w:val="clear" w:color="auto" w:fill="FFF8EC"/>
          </w:tcPr>
          <w:p>
            <w:pPr>
              <w:spacing w:before="60" w:after="60"/>
            </w:pPr>
            <w:r>
              <w:rPr>
                <w:sz w:val="19"/>
              </w:rPr>
              <w:t>Moderate</w:t>
            </w:r>
          </w:p>
        </w:tc>
        <w:tc>
          <w:tcPr>
            <w:tcW w:type="dxa" w:w="1814"/>
            <w:shd w:val="clear" w:color="auto" w:fill="FFF8EC"/>
          </w:tcPr>
          <w:p>
            <w:pPr>
              <w:spacing w:before="60" w:after="60"/>
            </w:pPr>
            <w:r>
              <w:rPr>
                <w:sz w:val="19"/>
              </w:rPr>
              <w:t>4–6 weeks</w:t>
            </w:r>
          </w:p>
        </w:tc>
        <w:tc>
          <w:tcPr>
            <w:tcW w:type="dxa" w:w="1814"/>
            <w:shd w:val="clear" w:color="auto" w:fill="FFF8EC"/>
          </w:tcPr>
          <w:p>
            <w:pPr>
              <w:spacing w:before="60" w:after="60"/>
            </w:pPr>
            <w:r>
              <w:rPr>
                <w:sz w:val="19"/>
              </w:rPr>
              <w:t>Low</w:t>
            </w:r>
          </w:p>
        </w:tc>
        <w:tc>
          <w:tcPr>
            <w:tcW w:type="dxa" w:w="1814"/>
            <w:shd w:val="clear" w:color="auto" w:fill="FFF8EC"/>
          </w:tcPr>
          <w:p>
            <w:pPr>
              <w:spacing w:before="60" w:after="60"/>
            </w:pPr>
            <w:r>
              <w:rPr>
                <w:sz w:val="19"/>
              </w:rPr>
              <w:t>Medium</w:t>
            </w:r>
          </w:p>
        </w:tc>
      </w:tr>
      <w:tr>
        <w:tc>
          <w:tcPr>
            <w:tcW w:type="dxa" w:w="1814"/>
            <w:shd w:val="clear" w:color="auto" w:fill="FEF0EE"/>
          </w:tcPr>
          <w:p>
            <w:pPr>
              <w:spacing w:before="60" w:after="60"/>
            </w:pPr>
            <w:r>
              <w:rPr>
                <w:b/>
                <w:sz w:val="19"/>
              </w:rPr>
              <w:t>Safe Shell / Code Execution</w:t>
            </w:r>
          </w:p>
        </w:tc>
        <w:tc>
          <w:tcPr>
            <w:tcW w:type="dxa" w:w="1814"/>
            <w:shd w:val="clear" w:color="auto" w:fill="FEF0EE"/>
          </w:tcPr>
          <w:p>
            <w:pPr>
              <w:spacing w:before="60" w:after="60"/>
            </w:pPr>
            <w:r>
              <w:rPr>
                <w:sz w:val="19"/>
              </w:rPr>
              <w:t>Advanced</w:t>
            </w:r>
          </w:p>
        </w:tc>
        <w:tc>
          <w:tcPr>
            <w:tcW w:type="dxa" w:w="1814"/>
            <w:shd w:val="clear" w:color="auto" w:fill="FEF0EE"/>
          </w:tcPr>
          <w:p>
            <w:pPr>
              <w:spacing w:before="60" w:after="60"/>
            </w:pPr>
            <w:r>
              <w:rPr>
                <w:sz w:val="19"/>
              </w:rPr>
              <w:t>6–8 weeks</w:t>
            </w:r>
          </w:p>
        </w:tc>
        <w:tc>
          <w:tcPr>
            <w:tcW w:type="dxa" w:w="1814"/>
            <w:shd w:val="clear" w:color="auto" w:fill="FEF0EE"/>
          </w:tcPr>
          <w:p>
            <w:pPr>
              <w:spacing w:before="60" w:after="60"/>
            </w:pPr>
            <w:r>
              <w:rPr>
                <w:sz w:val="19"/>
              </w:rPr>
              <w:t>Low</w:t>
            </w:r>
          </w:p>
        </w:tc>
        <w:tc>
          <w:tcPr>
            <w:tcW w:type="dxa" w:w="1814"/>
            <w:shd w:val="clear" w:color="auto" w:fill="FEF0EE"/>
          </w:tcPr>
          <w:p>
            <w:pPr>
              <w:spacing w:before="60" w:after="60"/>
            </w:pPr>
            <w:r>
              <w:rPr>
                <w:sz w:val="19"/>
              </w:rPr>
              <w:t>High</w:t>
            </w:r>
          </w:p>
        </w:tc>
      </w:tr>
    </w:tbl>
    <w:p/>
    <w:p>
      <w:pPr>
        <w:spacing w:before="400" w:after="120"/>
        <w:pBdr>
          <w:bottom w:val="single" w:sz="6" w:space="4" w:color="1A73E8"/>
        </w:pBdr>
      </w:pPr>
      <w:r>
        <w:rPr>
          <w:b/>
          <w:color w:val="0D2B45"/>
          <w:sz w:val="40"/>
        </w:rPr>
        <w:t>1. Social Media Automation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0FAF4"/>
          </w:tcPr>
          <w:p>
            <w:pPr>
              <w:spacing w:before="60" w:after="60"/>
              <w:jc w:val="center"/>
            </w:pPr>
            <w:r>
              <w:rPr>
                <w:b/>
                <w:color w:val="1A8A44"/>
                <w:sz w:val="18"/>
              </w:rPr>
              <w:t>STRAIGHTFORWARD</w:t>
            </w:r>
          </w:p>
        </w:tc>
        <w:tc>
          <w:tcPr>
            <w:tcW w:type="dxa" w:w="3024"/>
            <w:shd w:val="clear" w:color="auto" w:fill="F0FAF4"/>
          </w:tcPr>
          <w:p>
            <w:pPr>
              <w:spacing w:before="60" w:after="60"/>
              <w:jc w:val="center"/>
            </w:pPr>
            <w:r>
              <w:rPr>
                <w:b/>
                <w:color w:val="1A8A44"/>
                <w:sz w:val="18"/>
              </w:rPr>
              <w:t>2–3 WEEKS</w:t>
            </w:r>
          </w:p>
        </w:tc>
        <w:tc>
          <w:tcPr>
            <w:tcW w:type="dxa" w:w="3024"/>
            <w:shd w:val="clear" w:color="auto" w:fill="E8F0FE"/>
          </w:tcPr>
          <w:p>
            <w:pPr>
              <w:spacing w:before="60" w:after="60"/>
              <w:jc w:val="center"/>
            </w:pPr>
            <w:r>
              <w:rPr>
                <w:b/>
                <w:color w:val="1A73E8"/>
                <w:sz w:val="18"/>
              </w:rPr>
              <w:t>HIGH PRIORITY</w:t>
            </w:r>
          </w:p>
        </w:tc>
      </w:tr>
    </w:tbl>
    <w:p>
      <w:pPr>
        <w:spacing w:after="80"/>
      </w:pPr>
    </w:p>
    <w:p>
      <w:pPr>
        <w:spacing w:after="100"/>
      </w:pPr>
      <w:r>
        <w:rPr>
          <w:sz w:val="21"/>
        </w:rPr>
        <w:t>Enable Chief of Staff to monitor social media mentions and conversations as signals in the daily briefing, and to draft and schedule posts on behalf of the user across major platforms — all with mandatory confirmation before anything is published.</w:t>
      </w:r>
    </w:p>
    <w:p>
      <w:pPr>
        <w:spacing w:before="280" w:after="80"/>
      </w:pPr>
      <w:r>
        <w:rPr>
          <w:b/>
          <w:color w:val="1A73E8"/>
          <w:sz w:val="26"/>
        </w:rPr>
        <w:t>What We Build</w:t>
      </w:r>
    </w:p>
    <w:p>
      <w:pPr>
        <w:pStyle w:val="ListBullet"/>
        <w:spacing w:after="60"/>
        <w:ind w:left="432"/>
      </w:pPr>
      <w:r>
        <w:rPr>
          <w:sz w:val="21"/>
        </w:rPr>
        <w:t>Nango OAuth connections for X/Twitter, LinkedIn, Instagram (Meta Graph API), and TikTok.</w:t>
      </w:r>
    </w:p>
    <w:p>
      <w:pPr>
        <w:pStyle w:val="ListBullet"/>
        <w:spacing w:after="60"/>
        <w:ind w:left="432"/>
      </w:pPr>
      <w:r>
        <w:rPr>
          <w:sz w:val="21"/>
        </w:rPr>
        <w:t>Ingestion agent reads mentions, DMs, and engagement signals and surfaces them in the daily briefing as ranked items with source citations.</w:t>
      </w:r>
    </w:p>
    <w:p>
      <w:pPr>
        <w:pStyle w:val="ListBullet"/>
        <w:spacing w:after="60"/>
        <w:ind w:left="432"/>
      </w:pPr>
      <w:r>
        <w:rPr>
          <w:sz w:val="21"/>
        </w:rPr>
        <w:t>social-content.ts agent (uses claude-haiku-4-5-20251001) drafts posts based on context from the briefing or user prompt.</w:t>
      </w:r>
    </w:p>
    <w:p>
      <w:pPr>
        <w:pStyle w:val="ListBullet"/>
        <w:spacing w:after="60"/>
        <w:ind w:left="432"/>
      </w:pPr>
      <w:r>
        <w:rPr>
          <w:sz w:val="21"/>
        </w:rPr>
        <w:t>Scheduling UI: user reviews draft, picks publish time, approves — then a Trigger.dev job handles posting.</w:t>
      </w:r>
    </w:p>
    <w:p>
      <w:pPr>
        <w:pStyle w:val="ListBullet"/>
        <w:spacing w:after="60"/>
        <w:ind w:left="432"/>
      </w:pPr>
      <w:r>
        <w:rPr>
          <w:sz w:val="21"/>
        </w:rPr>
        <w:t>Social accounts settings page under /settings/integrations.</w:t>
      </w:r>
    </w:p>
    <w:p>
      <w:pPr>
        <w:spacing w:before="280" w:after="80"/>
      </w:pPr>
      <w:r>
        <w:rPr>
          <w:b/>
          <w:color w:val="1A73E8"/>
          <w:sz w:val="26"/>
        </w:rPr>
        <w:t>What We Do NOT Build</w:t>
      </w:r>
    </w:p>
    <w:p>
      <w:pPr>
        <w:pStyle w:val="ListBullet"/>
        <w:spacing w:after="60"/>
        <w:ind w:left="432"/>
      </w:pPr>
      <w:r>
        <w:rPr>
          <w:color w:val="C0392B"/>
          <w:sz w:val="21"/>
        </w:rPr>
        <w:t>Autonomous posting without confirmation. Every publish action goes through ConfirmActionModal.</w:t>
      </w:r>
    </w:p>
    <w:p>
      <w:pPr>
        <w:pStyle w:val="ListBullet"/>
        <w:spacing w:after="60"/>
        <w:ind w:left="432"/>
      </w:pPr>
      <w:r>
        <w:rPr>
          <w:color w:val="C0392B"/>
          <w:sz w:val="21"/>
        </w:rPr>
        <w:t>Engagement automation (auto-like, auto-follow, auto-reply). Outside scope and violates platform ToS.</w:t>
      </w:r>
    </w:p>
    <w:p>
      <w:pPr>
        <w:pStyle w:val="ListBullet"/>
        <w:spacing w:after="60"/>
        <w:ind w:left="432"/>
      </w:pPr>
      <w:r>
        <w:rPr>
          <w:color w:val="C0392B"/>
          <w:sz w:val="21"/>
        </w:rPr>
        <w:t>Social analytics dashboard. Out of scope for v1.</w:t>
      </w:r>
    </w:p>
    <w:p>
      <w:pPr>
        <w:spacing w:before="280" w:after="80"/>
      </w:pPr>
      <w:r>
        <w:rPr>
          <w:b/>
          <w:color w:val="1A73E8"/>
          <w:sz w:val="26"/>
        </w:rPr>
        <w:t>Database Changes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2B45"/>
          </w:tcPr>
          <w:p>
            <w:pPr>
              <w:spacing w:before="60" w:after="60"/>
            </w:pPr>
            <w:r>
              <w:rPr>
                <w:b/>
                <w:color w:val="FFFFFF"/>
                <w:sz w:val="19"/>
              </w:rPr>
              <w:t>Deliverable</w:t>
            </w:r>
          </w:p>
        </w:tc>
        <w:tc>
          <w:tcPr>
            <w:tcW w:type="dxa" w:w="3024"/>
            <w:shd w:val="clear" w:color="auto" w:fill="0D2B45"/>
          </w:tcPr>
          <w:p>
            <w:pPr>
              <w:spacing w:before="60" w:after="60"/>
            </w:pPr>
            <w:r>
              <w:rPr>
                <w:b/>
                <w:color w:val="FFFFFF"/>
                <w:sz w:val="19"/>
              </w:rPr>
              <w:t>Description</w:t>
            </w:r>
          </w:p>
        </w:tc>
        <w:tc>
          <w:tcPr>
            <w:tcW w:type="dxa" w:w="3024"/>
            <w:shd w:val="clear" w:color="auto" w:fill="0D2B45"/>
          </w:tcPr>
          <w:p>
            <w:pPr>
              <w:spacing w:before="60" w:after="60"/>
            </w:pPr>
            <w:r>
              <w:rPr>
                <w:b/>
                <w:color w:val="FFFFFF"/>
                <w:sz w:val="19"/>
              </w:rPr>
              <w:t>File / Location</w:t>
            </w:r>
          </w:p>
        </w:tc>
      </w:tr>
      <w:tr>
        <w:tc>
          <w:tcPr>
            <w:tcW w:type="dxa" w:w="3024"/>
          </w:tcPr>
          <w:p>
            <w:pPr>
              <w:spacing w:before="60" w:after="60"/>
            </w:pPr>
            <w:r>
              <w:rPr>
                <w:sz w:val="19"/>
              </w:rPr>
              <w:t>social_accounts</w:t>
            </w:r>
          </w:p>
        </w:tc>
        <w:tc>
          <w:tcPr>
            <w:tcW w:type="dxa" w:w="3024"/>
          </w:tcPr>
          <w:p>
            <w:pPr>
              <w:spacing w:before="60" w:after="60"/>
            </w:pPr>
            <w:r>
              <w:rPr>
                <w:sz w:val="19"/>
              </w:rPr>
              <w:t>Stores connected social profiles per user. RLS enforced.</w:t>
            </w:r>
          </w:p>
        </w:tc>
        <w:tc>
          <w:tcPr>
            <w:tcW w:type="dxa" w:w="3024"/>
          </w:tcPr>
          <w:p>
            <w:pPr>
              <w:spacing w:before="60" w:after="60"/>
            </w:pPr>
            <w:r>
              <w:rPr>
                <w:color w:val="5F6B7A"/>
                <w:sz w:val="19"/>
              </w:rPr>
              <w:t>supabase/migrations/002_social.sql</w:t>
            </w:r>
          </w:p>
        </w:tc>
      </w:tr>
      <w:tr>
        <w:tc>
          <w:tcPr>
            <w:tcW w:type="dxa" w:w="3024"/>
          </w:tcPr>
          <w:p>
            <w:pPr>
              <w:spacing w:before="60" w:after="60"/>
            </w:pPr>
            <w:r>
              <w:rPr>
                <w:sz w:val="19"/>
              </w:rPr>
              <w:t>social_posts</w:t>
            </w:r>
          </w:p>
        </w:tc>
        <w:tc>
          <w:tcPr>
            <w:tcW w:type="dxa" w:w="3024"/>
          </w:tcPr>
          <w:p>
            <w:pPr>
              <w:spacing w:before="60" w:after="60"/>
            </w:pPr>
            <w:r>
              <w:rPr>
                <w:sz w:val="19"/>
              </w:rPr>
              <w:t>Drafted and scheduled posts. Status: draft | scheduled | published.</w:t>
            </w:r>
          </w:p>
        </w:tc>
        <w:tc>
          <w:tcPr>
            <w:tcW w:type="dxa" w:w="3024"/>
          </w:tcPr>
          <w:p>
            <w:pPr>
              <w:spacing w:before="60" w:after="60"/>
            </w:pPr>
            <w:r>
              <w:rPr>
                <w:color w:val="5F6B7A"/>
                <w:sz w:val="19"/>
              </w:rPr>
              <w:t>supabase/migrations/002_social.sql</w:t>
            </w:r>
          </w:p>
        </w:tc>
      </w:tr>
      <w:tr>
        <w:tc>
          <w:tcPr>
            <w:tcW w:type="dxa" w:w="3024"/>
          </w:tcPr>
          <w:p>
            <w:pPr>
              <w:spacing w:before="60" w:after="60"/>
            </w:pPr>
            <w:r>
              <w:rPr>
                <w:sz w:val="19"/>
              </w:rPr>
              <w:t>social_signals</w:t>
            </w:r>
          </w:p>
        </w:tc>
        <w:tc>
          <w:tcPr>
            <w:tcW w:type="dxa" w:w="3024"/>
          </w:tcPr>
          <w:p>
            <w:pPr>
              <w:spacing w:before="60" w:after="60"/>
            </w:pPr>
            <w:r>
              <w:rPr>
                <w:sz w:val="19"/>
              </w:rPr>
              <w:t>Incoming mentions/DMs ingested as briefing signal sources.</w:t>
            </w:r>
          </w:p>
        </w:tc>
        <w:tc>
          <w:tcPr>
            <w:tcW w:type="dxa" w:w="3024"/>
          </w:tcPr>
          <w:p>
            <w:pPr>
              <w:spacing w:before="60" w:after="60"/>
            </w:pPr>
            <w:r>
              <w:rPr>
                <w:color w:val="5F6B7A"/>
                <w:sz w:val="19"/>
              </w:rPr>
              <w:t>supabase/migrations/002_social.sql</w:t>
            </w:r>
          </w:p>
        </w:tc>
      </w:tr>
    </w:tbl>
    <w:p>
      <w:pPr>
        <w:spacing w:after="40"/>
      </w:pPr>
    </w:p>
    <w:p>
      <w:pPr>
        <w:spacing w:before="280" w:after="80"/>
      </w:pPr>
      <w:r>
        <w:rPr>
          <w:b/>
          <w:color w:val="1A73E8"/>
          <w:sz w:val="26"/>
        </w:rPr>
        <w:t>New Files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2B45"/>
          </w:tcPr>
          <w:p>
            <w:pPr>
              <w:spacing w:before="60" w:after="60"/>
            </w:pPr>
            <w:r>
              <w:rPr>
                <w:b/>
                <w:color w:val="FFFFFF"/>
                <w:sz w:val="19"/>
              </w:rPr>
              <w:t>Deliverable</w:t>
            </w:r>
          </w:p>
        </w:tc>
        <w:tc>
          <w:tcPr>
            <w:tcW w:type="dxa" w:w="3024"/>
            <w:shd w:val="clear" w:color="auto" w:fill="0D2B45"/>
          </w:tcPr>
          <w:p>
            <w:pPr>
              <w:spacing w:before="60" w:after="60"/>
            </w:pPr>
            <w:r>
              <w:rPr>
                <w:b/>
                <w:color w:val="FFFFFF"/>
                <w:sz w:val="19"/>
              </w:rPr>
              <w:t>Description</w:t>
            </w:r>
          </w:p>
        </w:tc>
        <w:tc>
          <w:tcPr>
            <w:tcW w:type="dxa" w:w="3024"/>
            <w:shd w:val="clear" w:color="auto" w:fill="0D2B45"/>
          </w:tcPr>
          <w:p>
            <w:pPr>
              <w:spacing w:before="60" w:after="60"/>
            </w:pPr>
            <w:r>
              <w:rPr>
                <w:b/>
                <w:color w:val="FFFFFF"/>
                <w:sz w:val="19"/>
              </w:rPr>
              <w:t>File / Location</w:t>
            </w:r>
          </w:p>
        </w:tc>
      </w:tr>
      <w:tr>
        <w:tc>
          <w:tcPr>
            <w:tcW w:type="dxa" w:w="3024"/>
          </w:tcPr>
          <w:p>
            <w:pPr>
              <w:spacing w:before="60" w:after="60"/>
            </w:pPr>
            <w:r>
              <w:rPr>
                <w:sz w:val="19"/>
              </w:rPr>
              <w:t>social-content.ts</w:t>
            </w:r>
          </w:p>
        </w:tc>
        <w:tc>
          <w:tcPr>
            <w:tcW w:type="dxa" w:w="3024"/>
          </w:tcPr>
          <w:p>
            <w:pPr>
              <w:spacing w:before="60" w:after="60"/>
            </w:pPr>
            <w:r>
              <w:rPr>
                <w:sz w:val="19"/>
              </w:rPr>
              <w:t>AI agent for drafting posts (haiku model)</w:t>
            </w:r>
          </w:p>
        </w:tc>
        <w:tc>
          <w:tcPr>
            <w:tcW w:type="dxa" w:w="3024"/>
          </w:tcPr>
          <w:p>
            <w:pPr>
              <w:spacing w:before="60" w:after="60"/>
            </w:pPr>
            <w:r>
              <w:rPr>
                <w:color w:val="5F6B7A"/>
                <w:sz w:val="19"/>
              </w:rPr>
              <w:t>lib/ai/agents/social-content.ts</w:t>
            </w:r>
          </w:p>
        </w:tc>
      </w:tr>
      <w:tr>
        <w:tc>
          <w:tcPr>
            <w:tcW w:type="dxa" w:w="3024"/>
          </w:tcPr>
          <w:p>
            <w:pPr>
              <w:spacing w:before="60" w:after="60"/>
            </w:pPr>
            <w:r>
              <w:rPr>
                <w:sz w:val="19"/>
              </w:rPr>
              <w:t>social.ts</w:t>
            </w:r>
          </w:p>
        </w:tc>
        <w:tc>
          <w:tcPr>
            <w:tcW w:type="dxa" w:w="3024"/>
          </w:tcPr>
          <w:p>
            <w:pPr>
              <w:spacing w:before="60" w:after="60"/>
            </w:pPr>
            <w:r>
              <w:rPr>
                <w:sz w:val="19"/>
              </w:rPr>
              <w:t>Social platform API wrappers</w:t>
            </w:r>
          </w:p>
        </w:tc>
        <w:tc>
          <w:tcPr>
            <w:tcW w:type="dxa" w:w="3024"/>
          </w:tcPr>
          <w:p>
            <w:pPr>
              <w:spacing w:before="60" w:after="60"/>
            </w:pPr>
            <w:r>
              <w:rPr>
                <w:color w:val="5F6B7A"/>
                <w:sz w:val="19"/>
              </w:rPr>
              <w:t>lib/integrations/social.ts</w:t>
            </w:r>
          </w:p>
        </w:tc>
      </w:tr>
      <w:tr>
        <w:tc>
          <w:tcPr>
            <w:tcW w:type="dxa" w:w="3024"/>
          </w:tcPr>
          <w:p>
            <w:pPr>
              <w:spacing w:before="60" w:after="60"/>
            </w:pPr>
            <w:r>
              <w:rPr>
                <w:sz w:val="19"/>
              </w:rPr>
              <w:t>social-scan.ts</w:t>
            </w:r>
          </w:p>
        </w:tc>
        <w:tc>
          <w:tcPr>
            <w:tcW w:type="dxa" w:w="3024"/>
          </w:tcPr>
          <w:p>
            <w:pPr>
              <w:spacing w:before="60" w:after="60"/>
            </w:pPr>
            <w:r>
              <w:rPr>
                <w:sz w:val="19"/>
              </w:rPr>
              <w:t>Trigger.dev job — ingests social signals on heartbeat</w:t>
            </w:r>
          </w:p>
        </w:tc>
        <w:tc>
          <w:tcPr>
            <w:tcW w:type="dxa" w:w="3024"/>
          </w:tcPr>
          <w:p>
            <w:pPr>
              <w:spacing w:before="60" w:after="60"/>
            </w:pPr>
            <w:r>
              <w:rPr>
                <w:color w:val="5F6B7A"/>
                <w:sz w:val="19"/>
              </w:rPr>
              <w:t>trigger/heartbeat/social-scan.ts</w:t>
            </w:r>
          </w:p>
        </w:tc>
      </w:tr>
      <w:tr>
        <w:tc>
          <w:tcPr>
            <w:tcW w:type="dxa" w:w="3024"/>
          </w:tcPr>
          <w:p>
            <w:pPr>
              <w:spacing w:before="60" w:after="60"/>
            </w:pPr>
            <w:r>
              <w:rPr>
                <w:sz w:val="19"/>
              </w:rPr>
              <w:t>social-publisher.ts</w:t>
            </w:r>
          </w:p>
        </w:tc>
        <w:tc>
          <w:tcPr>
            <w:tcW w:type="dxa" w:w="3024"/>
          </w:tcPr>
          <w:p>
            <w:pPr>
              <w:spacing w:before="60" w:after="60"/>
            </w:pPr>
            <w:r>
              <w:rPr>
                <w:sz w:val="19"/>
              </w:rPr>
              <w:t>Trigger.dev job — executes confirmed scheduled posts</w:t>
            </w:r>
          </w:p>
        </w:tc>
        <w:tc>
          <w:tcPr>
            <w:tcW w:type="dxa" w:w="3024"/>
          </w:tcPr>
          <w:p>
            <w:pPr>
              <w:spacing w:before="60" w:after="60"/>
            </w:pPr>
            <w:r>
              <w:rPr>
                <w:color w:val="5F6B7A"/>
                <w:sz w:val="19"/>
              </w:rPr>
              <w:t>trigger/heartbeat/social-publisher.ts</w:t>
            </w:r>
          </w:p>
        </w:tc>
      </w:tr>
      <w:tr>
        <w:tc>
          <w:tcPr>
            <w:tcW w:type="dxa" w:w="3024"/>
          </w:tcPr>
          <w:p>
            <w:pPr>
              <w:spacing w:before="60" w:after="60"/>
            </w:pPr>
            <w:r>
              <w:rPr>
                <w:sz w:val="19"/>
              </w:rPr>
              <w:t>social/route.ts</w:t>
            </w:r>
          </w:p>
        </w:tc>
        <w:tc>
          <w:tcPr>
            <w:tcW w:type="dxa" w:w="3024"/>
          </w:tcPr>
          <w:p>
            <w:pPr>
              <w:spacing w:before="60" w:after="60"/>
            </w:pPr>
            <w:r>
              <w:rPr>
                <w:sz w:val="19"/>
              </w:rPr>
              <w:t>GET list of connected accounts, POST new post (draft)</w:t>
            </w:r>
          </w:p>
        </w:tc>
        <w:tc>
          <w:tcPr>
            <w:tcW w:type="dxa" w:w="3024"/>
          </w:tcPr>
          <w:p>
            <w:pPr>
              <w:spacing w:before="60" w:after="60"/>
            </w:pPr>
            <w:r>
              <w:rPr>
                <w:color w:val="5F6B7A"/>
                <w:sz w:val="19"/>
              </w:rPr>
              <w:t>app/api/social/route.ts</w:t>
            </w:r>
          </w:p>
        </w:tc>
      </w:tr>
      <w:tr>
        <w:tc>
          <w:tcPr>
            <w:tcW w:type="dxa" w:w="3024"/>
          </w:tcPr>
          <w:p>
            <w:pPr>
              <w:spacing w:before="60" w:after="60"/>
            </w:pPr>
            <w:r>
              <w:rPr>
                <w:sz w:val="19"/>
              </w:rPr>
              <w:t>social/schedule/route.ts</w:t>
            </w:r>
          </w:p>
        </w:tc>
        <w:tc>
          <w:tcPr>
            <w:tcW w:type="dxa" w:w="3024"/>
          </w:tcPr>
          <w:p>
            <w:pPr>
              <w:spacing w:before="60" w:after="60"/>
            </w:pPr>
            <w:r>
              <w:rPr>
                <w:sz w:val="19"/>
              </w:rPr>
              <w:t>POST: schedule confirmed post</w:t>
            </w:r>
          </w:p>
        </w:tc>
        <w:tc>
          <w:tcPr>
            <w:tcW w:type="dxa" w:w="3024"/>
          </w:tcPr>
          <w:p>
            <w:pPr>
              <w:spacing w:before="60" w:after="60"/>
            </w:pPr>
            <w:r>
              <w:rPr>
                <w:color w:val="5F6B7A"/>
                <w:sz w:val="19"/>
              </w:rPr>
              <w:t>app/api/social/schedule/route.ts</w:t>
            </w:r>
          </w:p>
        </w:tc>
      </w:tr>
      <w:tr>
        <w:tc>
          <w:tcPr>
            <w:tcW w:type="dxa" w:w="3024"/>
          </w:tcPr>
          <w:p>
            <w:pPr>
              <w:spacing w:before="60" w:after="60"/>
            </w:pPr>
            <w:r>
              <w:rPr>
                <w:sz w:val="19"/>
              </w:rPr>
              <w:t>SocialDraftModal.tsx</w:t>
            </w:r>
          </w:p>
        </w:tc>
        <w:tc>
          <w:tcPr>
            <w:tcW w:type="dxa" w:w="3024"/>
          </w:tcPr>
          <w:p>
            <w:pPr>
              <w:spacing w:before="60" w:after="60"/>
            </w:pPr>
            <w:r>
              <w:rPr>
                <w:sz w:val="19"/>
              </w:rPr>
              <w:t>Draft review + confirm modal before any publish</w:t>
            </w:r>
          </w:p>
        </w:tc>
        <w:tc>
          <w:tcPr>
            <w:tcW w:type="dxa" w:w="3024"/>
          </w:tcPr>
          <w:p>
            <w:pPr>
              <w:spacing w:before="60" w:after="60"/>
            </w:pPr>
            <w:r>
              <w:rPr>
                <w:color w:val="5F6B7A"/>
                <w:sz w:val="19"/>
              </w:rPr>
              <w:t>components/social/SocialDraftModal.tsx</w:t>
            </w:r>
          </w:p>
        </w:tc>
      </w:tr>
      <w:tr>
        <w:tc>
          <w:tcPr>
            <w:tcW w:type="dxa" w:w="3024"/>
          </w:tcPr>
          <w:p>
            <w:pPr>
              <w:spacing w:before="60" w:after="60"/>
            </w:pPr>
            <w:r>
              <w:rPr>
                <w:sz w:val="19"/>
              </w:rPr>
              <w:t>SocialFeedPreview.tsx</w:t>
            </w:r>
          </w:p>
        </w:tc>
        <w:tc>
          <w:tcPr>
            <w:tcW w:type="dxa" w:w="3024"/>
          </w:tcPr>
          <w:p>
            <w:pPr>
              <w:spacing w:before="60" w:after="60"/>
            </w:pPr>
            <w:r>
              <w:rPr>
                <w:sz w:val="19"/>
              </w:rPr>
              <w:t>Previews how post will appear on each platform</w:t>
            </w:r>
          </w:p>
        </w:tc>
        <w:tc>
          <w:tcPr>
            <w:tcW w:type="dxa" w:w="3024"/>
          </w:tcPr>
          <w:p>
            <w:pPr>
              <w:spacing w:before="60" w:after="60"/>
            </w:pPr>
            <w:r>
              <w:rPr>
                <w:color w:val="5F6B7A"/>
                <w:sz w:val="19"/>
              </w:rPr>
              <w:t>components/social/SocialFeedPreview.tsx</w:t>
            </w:r>
          </w:p>
        </w:tc>
      </w:tr>
      <w:tr>
        <w:tc>
          <w:tcPr>
            <w:tcW w:type="dxa" w:w="3024"/>
          </w:tcPr>
          <w:p>
            <w:pPr>
              <w:spacing w:before="60" w:after="60"/>
            </w:pPr>
            <w:r>
              <w:rPr>
                <w:sz w:val="19"/>
              </w:rPr>
              <w:t>social/page.tsx</w:t>
            </w:r>
          </w:p>
        </w:tc>
        <w:tc>
          <w:tcPr>
            <w:tcW w:type="dxa" w:w="3024"/>
          </w:tcPr>
          <w:p>
            <w:pPr>
              <w:spacing w:before="60" w:after="60"/>
            </w:pPr>
            <w:r>
              <w:rPr>
                <w:sz w:val="19"/>
              </w:rPr>
              <w:t>Social management dashboard page</w:t>
            </w:r>
          </w:p>
        </w:tc>
        <w:tc>
          <w:tcPr>
            <w:tcW w:type="dxa" w:w="3024"/>
          </w:tcPr>
          <w:p>
            <w:pPr>
              <w:spacing w:before="60" w:after="60"/>
            </w:pPr>
            <w:r>
              <w:rPr>
                <w:color w:val="5F6B7A"/>
                <w:sz w:val="19"/>
              </w:rPr>
              <w:t>app/(dashboard)/social/page.tsx</w:t>
            </w:r>
          </w:p>
        </w:tc>
      </w:tr>
    </w:tbl>
    <w:p>
      <w:pPr>
        <w:spacing w:after="40"/>
      </w:pPr>
    </w:p>
    <w:p>
      <w:pPr>
        <w:spacing w:before="280" w:after="80"/>
      </w:pPr>
      <w:r>
        <w:rPr>
          <w:b/>
          <w:color w:val="1A73E8"/>
          <w:sz w:val="26"/>
        </w:rPr>
        <w:t>Security Checklist</w:t>
      </w:r>
    </w:p>
    <w:p>
      <w:pPr>
        <w:pStyle w:val="ListBullet"/>
        <w:spacing w:after="60"/>
        <w:ind w:left="432"/>
      </w:pPr>
      <w:r>
        <w:rPr>
          <w:sz w:val="21"/>
        </w:rPr>
        <w:t>All tokens stored in Nango — never in plaintext.</w:t>
      </w:r>
    </w:p>
    <w:p>
      <w:pPr>
        <w:pStyle w:val="ListBullet"/>
        <w:spacing w:after="60"/>
        <w:ind w:left="432"/>
      </w:pPr>
      <w:r>
        <w:rPr>
          <w:sz w:val="21"/>
        </w:rPr>
        <w:t>withAuth middleware on all social API routes.</w:t>
      </w:r>
    </w:p>
    <w:p>
      <w:pPr>
        <w:pStyle w:val="ListBullet"/>
        <w:spacing w:after="60"/>
        <w:ind w:left="432"/>
      </w:pPr>
      <w:r>
        <w:rPr>
          <w:sz w:val="21"/>
        </w:rPr>
        <w:t>sanitiseContent() on all ingested social content before AI prompts.</w:t>
      </w:r>
    </w:p>
    <w:p>
      <w:pPr>
        <w:pStyle w:val="ListBullet"/>
        <w:spacing w:after="60"/>
        <w:ind w:left="432"/>
      </w:pPr>
      <w:r>
        <w:rPr>
          <w:sz w:val="21"/>
        </w:rPr>
        <w:t>source_ref required on every social signal surfaced in briefing.</w:t>
      </w:r>
    </w:p>
    <w:p>
      <w:pPr>
        <w:pStyle w:val="ListBullet"/>
        <w:spacing w:after="60"/>
        <w:ind w:left="432"/>
      </w:pPr>
      <w:r>
        <w:rPr>
          <w:sz w:val="21"/>
        </w:rPr>
        <w:t>Mandatory ConfirmActionModal before any post is published.</w:t>
      </w:r>
    </w:p>
    <w:p>
      <w:pPr>
        <w:pStyle w:val="ListBullet"/>
        <w:spacing w:after="60"/>
        <w:ind w:left="432"/>
      </w:pPr>
      <w:r>
        <w:rPr>
          <w:sz w:val="21"/>
        </w:rPr>
        <w:t>RLS on social_accounts, social_posts, social_signals.</w:t>
      </w:r>
    </w:p>
    <w:p>
      <w:pPr>
        <w:pStyle w:val="ListBullet"/>
        <w:spacing w:after="60"/>
        <w:ind w:left="432"/>
      </w:pPr>
      <w:r>
        <w:rPr>
          <w:sz w:val="21"/>
        </w:rPr>
        <w:t>Rate limiting via withRateLimit middleware on schedule route.</w:t>
      </w:r>
    </w:p>
    <w:p>
      <w:pPr>
        <w:pStyle w:val="ListBullet"/>
        <w:spacing w:after="60"/>
        <w:ind w:left="432"/>
      </w:pPr>
      <w:r>
        <w:rPr>
          <w:sz w:val="21"/>
        </w:rPr>
        <w:t>Add all new env vars to .env.example and lib/config.ts.</w:t>
      </w:r>
    </w:p>
    <w:tbl>
      <w:tblPr>
        <w:tblStyle w:val="TableGrid"/>
        <w:tblW w:type="auto" w:w="0"/>
        <w:tblLook w:firstColumn="1" w:firstRow="1" w:lastColumn="0" w:lastRow="0" w:noHBand="0" w:noVBand="1" w:val="04A0"/>
      </w:tblPr>
      <w:tblGrid>
        <w:gridCol w:w="9072"/>
      </w:tblGrid>
      <w:tr>
        <w:tc>
          <w:tcPr>
            <w:tcW w:type="dxa" w:w="9072"/>
            <w:shd w:val="clear" w:color="auto" w:fill="E8F0FE"/>
          </w:tcPr>
          <w:p>
            <w:pPr>
              <w:spacing w:before="80" w:after="80"/>
              <w:ind w:left="120"/>
            </w:pPr>
            <w:r>
              <w:rPr>
                <w:b/>
                <w:color w:val="1A73E8"/>
                <w:sz w:val="21"/>
              </w:rPr>
              <w:t xml:space="preserve">Model rule:  </w:t>
            </w:r>
            <w:r>
              <w:rPr>
                <w:sz w:val="21"/>
              </w:rPr>
              <w:t>All social draft generation uses claude-haiku-4-5-20251001. Never claude-sonnet for this task.</w:t>
            </w:r>
          </w:p>
        </w:tc>
      </w:tr>
    </w:tbl>
    <w:p>
      <w:pPr>
        <w:spacing w:after="40"/>
      </w:pPr>
    </w:p>
    <w:p>
      <w:pPr>
        <w:spacing w:before="400" w:after="120"/>
        <w:pBdr>
          <w:bottom w:val="single" w:sz="6" w:space="4" w:color="1A73E8"/>
        </w:pBdr>
      </w:pPr>
      <w:r>
        <w:rPr>
          <w:b/>
          <w:color w:val="0D2B45"/>
          <w:sz w:val="40"/>
        </w:rPr>
        <w:t>2. Integration Marketplace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0FAF4"/>
          </w:tcPr>
          <w:p>
            <w:pPr>
              <w:spacing w:before="60" w:after="60"/>
              <w:jc w:val="center"/>
            </w:pPr>
            <w:r>
              <w:rPr>
                <w:b/>
                <w:color w:val="1A8A44"/>
                <w:sz w:val="18"/>
              </w:rPr>
              <w:t>STRAIGHTFORWARD</w:t>
            </w:r>
          </w:p>
        </w:tc>
        <w:tc>
          <w:tcPr>
            <w:tcW w:type="dxa" w:w="3024"/>
            <w:shd w:val="clear" w:color="auto" w:fill="F0FAF4"/>
          </w:tcPr>
          <w:p>
            <w:pPr>
              <w:spacing w:before="60" w:after="60"/>
              <w:jc w:val="center"/>
            </w:pPr>
            <w:r>
              <w:rPr>
                <w:b/>
                <w:color w:val="1A8A44"/>
                <w:sz w:val="18"/>
              </w:rPr>
              <w:t>1–2 WEEKS</w:t>
            </w:r>
          </w:p>
        </w:tc>
        <w:tc>
          <w:tcPr>
            <w:tcW w:type="dxa" w:w="3024"/>
            <w:shd w:val="clear" w:color="auto" w:fill="E8F0FE"/>
          </w:tcPr>
          <w:p>
            <w:pPr>
              <w:spacing w:before="60" w:after="60"/>
              <w:jc w:val="center"/>
            </w:pPr>
            <w:r>
              <w:rPr>
                <w:b/>
                <w:color w:val="1A73E8"/>
                <w:sz w:val="18"/>
              </w:rPr>
              <w:t>MEDIUM PRIORITY</w:t>
            </w:r>
          </w:p>
        </w:tc>
      </w:tr>
    </w:tbl>
    <w:p>
      <w:pPr>
        <w:spacing w:after="80"/>
      </w:pPr>
    </w:p>
    <w:p>
      <w:pPr>
        <w:spacing w:after="100"/>
      </w:pPr>
      <w:r>
        <w:rPr>
          <w:sz w:val="21"/>
        </w:rPr>
        <w:t>Expand the integrations settings page into a browsable catalogue of available connections. Nango already handles OAuth and token management — this is primarily a UI and metadata layer on top of what already exists.</w:t>
      </w:r>
    </w:p>
    <w:p>
      <w:pPr>
        <w:spacing w:before="280" w:after="80"/>
      </w:pPr>
      <w:r>
        <w:rPr>
          <w:b/>
          <w:color w:val="1A73E8"/>
          <w:sz w:val="26"/>
        </w:rPr>
        <w:t>What We Build</w:t>
      </w:r>
    </w:p>
    <w:p>
      <w:pPr>
        <w:pStyle w:val="ListBullet"/>
        <w:spacing w:after="60"/>
        <w:ind w:left="432"/>
      </w:pPr>
      <w:r>
        <w:rPr>
          <w:sz w:val="21"/>
        </w:rPr>
        <w:t>Catalogue UI at /settings/integrations showing all available integrations grouped by category (Email, Calendar, Messaging, Documents, Social, Productivity).</w:t>
      </w:r>
    </w:p>
    <w:p>
      <w:pPr>
        <w:pStyle w:val="ListBullet"/>
        <w:spacing w:after="60"/>
        <w:ind w:left="432"/>
      </w:pPr>
      <w:r>
        <w:rPr>
          <w:sz w:val="21"/>
        </w:rPr>
        <w:t>Each integration card shows: name, description, connection status, health indicator, and connect/disconnect CTA.</w:t>
      </w:r>
    </w:p>
    <w:p>
      <w:pPr>
        <w:pStyle w:val="ListBullet"/>
        <w:spacing w:after="60"/>
        <w:ind w:left="432"/>
      </w:pPr>
      <w:r>
        <w:rPr>
          <w:sz w:val="21"/>
        </w:rPr>
        <w:t>Integration health endpoint polls Nango for token validity and last-sync timestamp.</w:t>
      </w:r>
    </w:p>
    <w:p>
      <w:pPr>
        <w:pStyle w:val="ListBullet"/>
        <w:spacing w:after="60"/>
        <w:ind w:left="432"/>
      </w:pPr>
      <w:r>
        <w:rPr>
          <w:sz w:val="21"/>
        </w:rPr>
        <w:t>Admin-controlled available_integrations table — new integrations can be added without code deploys.</w:t>
      </w:r>
    </w:p>
    <w:p>
      <w:pPr>
        <w:pStyle w:val="ListBullet"/>
        <w:spacing w:after="60"/>
        <w:ind w:left="432"/>
      </w:pPr>
      <w:r>
        <w:rPr>
          <w:sz w:val="21"/>
        </w:rPr>
        <w:t>Onboarding flow updated to surface the catalogue during initial setup.</w:t>
      </w:r>
    </w:p>
    <w:p>
      <w:pPr>
        <w:spacing w:before="280" w:after="80"/>
      </w:pPr>
      <w:r>
        <w:rPr>
          <w:b/>
          <w:color w:val="1A73E8"/>
          <w:sz w:val="26"/>
        </w:rPr>
        <w:t>Database Changes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2B45"/>
          </w:tcPr>
          <w:p>
            <w:pPr>
              <w:spacing w:before="60" w:after="60"/>
            </w:pPr>
            <w:r>
              <w:rPr>
                <w:b/>
                <w:color w:val="FFFFFF"/>
                <w:sz w:val="19"/>
              </w:rPr>
              <w:t>Deliverable</w:t>
            </w:r>
          </w:p>
        </w:tc>
        <w:tc>
          <w:tcPr>
            <w:tcW w:type="dxa" w:w="3024"/>
            <w:shd w:val="clear" w:color="auto" w:fill="0D2B45"/>
          </w:tcPr>
          <w:p>
            <w:pPr>
              <w:spacing w:before="60" w:after="60"/>
            </w:pPr>
            <w:r>
              <w:rPr>
                <w:b/>
                <w:color w:val="FFFFFF"/>
                <w:sz w:val="19"/>
              </w:rPr>
              <w:t>Description</w:t>
            </w:r>
          </w:p>
        </w:tc>
        <w:tc>
          <w:tcPr>
            <w:tcW w:type="dxa" w:w="3024"/>
            <w:shd w:val="clear" w:color="auto" w:fill="0D2B45"/>
          </w:tcPr>
          <w:p>
            <w:pPr>
              <w:spacing w:before="60" w:after="60"/>
            </w:pPr>
            <w:r>
              <w:rPr>
                <w:b/>
                <w:color w:val="FFFFFF"/>
                <w:sz w:val="19"/>
              </w:rPr>
              <w:t>File / Location</w:t>
            </w:r>
          </w:p>
        </w:tc>
      </w:tr>
      <w:tr>
        <w:tc>
          <w:tcPr>
            <w:tcW w:type="dxa" w:w="3024"/>
          </w:tcPr>
          <w:p>
            <w:pPr>
              <w:spacing w:before="60" w:after="60"/>
            </w:pPr>
            <w:r>
              <w:rPr>
                <w:sz w:val="19"/>
              </w:rPr>
              <w:t>available_integrations</w:t>
            </w:r>
          </w:p>
        </w:tc>
        <w:tc>
          <w:tcPr>
            <w:tcW w:type="dxa" w:w="3024"/>
          </w:tcPr>
          <w:p>
            <w:pPr>
              <w:spacing w:before="60" w:after="60"/>
            </w:pPr>
            <w:r>
              <w:rPr>
                <w:sz w:val="19"/>
              </w:rPr>
              <w:t>Master list of integrations with metadata, categories, logos, docs URLs. Not user-scoped.</w:t>
            </w:r>
          </w:p>
        </w:tc>
        <w:tc>
          <w:tcPr>
            <w:tcW w:type="dxa" w:w="3024"/>
          </w:tcPr>
          <w:p>
            <w:pPr>
              <w:spacing w:before="60" w:after="60"/>
            </w:pPr>
            <w:r>
              <w:rPr>
                <w:color w:val="5F6B7A"/>
                <w:sz w:val="19"/>
              </w:rPr>
              <w:t>supabase/migrations/003_integrations.sql</w:t>
            </w:r>
          </w:p>
        </w:tc>
      </w:tr>
    </w:tbl>
    <w:p>
      <w:pPr>
        <w:spacing w:after="40"/>
      </w:pPr>
    </w:p>
    <w:p>
      <w:pPr>
        <w:spacing w:before="280" w:after="80"/>
      </w:pPr>
      <w:r>
        <w:rPr>
          <w:b/>
          <w:color w:val="1A73E8"/>
          <w:sz w:val="26"/>
        </w:rPr>
        <w:t>New / Updated Files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2B45"/>
          </w:tcPr>
          <w:p>
            <w:pPr>
              <w:spacing w:before="60" w:after="60"/>
            </w:pPr>
            <w:r>
              <w:rPr>
                <w:b/>
                <w:color w:val="FFFFFF"/>
                <w:sz w:val="19"/>
              </w:rPr>
              <w:t>Deliverable</w:t>
            </w:r>
          </w:p>
        </w:tc>
        <w:tc>
          <w:tcPr>
            <w:tcW w:type="dxa" w:w="3024"/>
            <w:shd w:val="clear" w:color="auto" w:fill="0D2B45"/>
          </w:tcPr>
          <w:p>
            <w:pPr>
              <w:spacing w:before="60" w:after="60"/>
            </w:pPr>
            <w:r>
              <w:rPr>
                <w:b/>
                <w:color w:val="FFFFFF"/>
                <w:sz w:val="19"/>
              </w:rPr>
              <w:t>Description</w:t>
            </w:r>
          </w:p>
        </w:tc>
        <w:tc>
          <w:tcPr>
            <w:tcW w:type="dxa" w:w="3024"/>
            <w:shd w:val="clear" w:color="auto" w:fill="0D2B45"/>
          </w:tcPr>
          <w:p>
            <w:pPr>
              <w:spacing w:before="60" w:after="60"/>
            </w:pPr>
            <w:r>
              <w:rPr>
                <w:b/>
                <w:color w:val="FFFFFF"/>
                <w:sz w:val="19"/>
              </w:rPr>
              <w:t>File / Location</w:t>
            </w:r>
          </w:p>
        </w:tc>
      </w:tr>
      <w:tr>
        <w:tc>
          <w:tcPr>
            <w:tcW w:type="dxa" w:w="3024"/>
          </w:tcPr>
          <w:p>
            <w:pPr>
              <w:spacing w:before="60" w:after="60"/>
            </w:pPr>
            <w:r>
              <w:rPr>
                <w:sz w:val="19"/>
              </w:rPr>
              <w:t>integrations/page.tsx</w:t>
            </w:r>
          </w:p>
        </w:tc>
        <w:tc>
          <w:tcPr>
            <w:tcW w:type="dxa" w:w="3024"/>
          </w:tcPr>
          <w:p>
            <w:pPr>
              <w:spacing w:before="60" w:after="60"/>
            </w:pPr>
            <w:r>
              <w:rPr>
                <w:sz w:val="19"/>
              </w:rPr>
              <w:t>Rebuilt as full catalogue with category filters and status badges</w:t>
            </w:r>
          </w:p>
        </w:tc>
        <w:tc>
          <w:tcPr>
            <w:tcW w:type="dxa" w:w="3024"/>
          </w:tcPr>
          <w:p>
            <w:pPr>
              <w:spacing w:before="60" w:after="60"/>
            </w:pPr>
            <w:r>
              <w:rPr>
                <w:color w:val="5F6B7A"/>
                <w:sz w:val="19"/>
              </w:rPr>
              <w:t>app/(dashboard)/settings/integrations/page.tsx</w:t>
            </w:r>
          </w:p>
        </w:tc>
      </w:tr>
      <w:tr>
        <w:tc>
          <w:tcPr>
            <w:tcW w:type="dxa" w:w="3024"/>
          </w:tcPr>
          <w:p>
            <w:pPr>
              <w:spacing w:before="60" w:after="60"/>
            </w:pPr>
            <w:r>
              <w:rPr>
                <w:sz w:val="19"/>
              </w:rPr>
              <w:t>IntegrationCard.tsx</w:t>
            </w:r>
          </w:p>
        </w:tc>
        <w:tc>
          <w:tcPr>
            <w:tcW w:type="dxa" w:w="3024"/>
          </w:tcPr>
          <w:p>
            <w:pPr>
              <w:spacing w:before="60" w:after="60"/>
            </w:pPr>
            <w:r>
              <w:rPr>
                <w:sz w:val="19"/>
              </w:rPr>
              <w:t>Card component: logo, name, status badge, connect/disconnect CTA</w:t>
            </w:r>
          </w:p>
        </w:tc>
        <w:tc>
          <w:tcPr>
            <w:tcW w:type="dxa" w:w="3024"/>
          </w:tcPr>
          <w:p>
            <w:pPr>
              <w:spacing w:before="60" w:after="60"/>
            </w:pPr>
            <w:r>
              <w:rPr>
                <w:color w:val="5F6B7A"/>
                <w:sz w:val="19"/>
              </w:rPr>
              <w:t>components/integrations/IntegrationCard.tsx</w:t>
            </w:r>
          </w:p>
        </w:tc>
      </w:tr>
      <w:tr>
        <w:tc>
          <w:tcPr>
            <w:tcW w:type="dxa" w:w="3024"/>
          </w:tcPr>
          <w:p>
            <w:pPr>
              <w:spacing w:before="60" w:after="60"/>
            </w:pPr>
            <w:r>
              <w:rPr>
                <w:sz w:val="19"/>
              </w:rPr>
              <w:t>IntegrationCatalogue.tsx</w:t>
            </w:r>
          </w:p>
        </w:tc>
        <w:tc>
          <w:tcPr>
            <w:tcW w:type="dxa" w:w="3024"/>
          </w:tcPr>
          <w:p>
            <w:pPr>
              <w:spacing w:before="60" w:after="60"/>
            </w:pPr>
            <w:r>
              <w:rPr>
                <w:sz w:val="19"/>
              </w:rPr>
              <w:t>Filterable grid of all available integrations</w:t>
            </w:r>
          </w:p>
        </w:tc>
        <w:tc>
          <w:tcPr>
            <w:tcW w:type="dxa" w:w="3024"/>
          </w:tcPr>
          <w:p>
            <w:pPr>
              <w:spacing w:before="60" w:after="60"/>
            </w:pPr>
            <w:r>
              <w:rPr>
                <w:color w:val="5F6B7A"/>
                <w:sz w:val="19"/>
              </w:rPr>
              <w:t>components/integrations/IntegrationCatalogue.tsx</w:t>
            </w:r>
          </w:p>
        </w:tc>
      </w:tr>
      <w:tr>
        <w:tc>
          <w:tcPr>
            <w:tcW w:type="dxa" w:w="3024"/>
          </w:tcPr>
          <w:p>
            <w:pPr>
              <w:spacing w:before="60" w:after="60"/>
            </w:pPr>
            <w:r>
              <w:rPr>
                <w:sz w:val="19"/>
              </w:rPr>
              <w:t>[provider]/status/route.ts</w:t>
            </w:r>
          </w:p>
        </w:tc>
        <w:tc>
          <w:tcPr>
            <w:tcW w:type="dxa" w:w="3024"/>
          </w:tcPr>
          <w:p>
            <w:pPr>
              <w:spacing w:before="60" w:after="60"/>
            </w:pPr>
            <w:r>
              <w:rPr>
                <w:sz w:val="19"/>
              </w:rPr>
              <w:t>Extended to return health score and last-sync time</w:t>
            </w:r>
          </w:p>
        </w:tc>
        <w:tc>
          <w:tcPr>
            <w:tcW w:type="dxa" w:w="3024"/>
          </w:tcPr>
          <w:p>
            <w:pPr>
              <w:spacing w:before="60" w:after="60"/>
            </w:pPr>
            <w:r>
              <w:rPr>
                <w:color w:val="5F6B7A"/>
                <w:sz w:val="19"/>
              </w:rPr>
              <w:t>app/api/integrations/[provider]/status/route.ts</w:t>
            </w:r>
          </w:p>
        </w:tc>
      </w:tr>
      <w:tr>
        <w:tc>
          <w:tcPr>
            <w:tcW w:type="dxa" w:w="3024"/>
          </w:tcPr>
          <w:p>
            <w:pPr>
              <w:spacing w:before="60" w:after="60"/>
            </w:pPr>
            <w:r>
              <w:rPr>
                <w:sz w:val="19"/>
              </w:rPr>
              <w:t>integrations.ts (queries)</w:t>
            </w:r>
          </w:p>
        </w:tc>
        <w:tc>
          <w:tcPr>
            <w:tcW w:type="dxa" w:w="3024"/>
          </w:tcPr>
          <w:p>
            <w:pPr>
              <w:spacing w:before="60" w:after="60"/>
            </w:pPr>
            <w:r>
              <w:rPr>
                <w:sz w:val="19"/>
              </w:rPr>
              <w:t>Add getAvailableIntegrations() and getIntegrationHealth() queries</w:t>
            </w:r>
          </w:p>
        </w:tc>
        <w:tc>
          <w:tcPr>
            <w:tcW w:type="dxa" w:w="3024"/>
          </w:tcPr>
          <w:p>
            <w:pPr>
              <w:spacing w:before="60" w:after="60"/>
            </w:pPr>
            <w:r>
              <w:rPr>
                <w:color w:val="5F6B7A"/>
                <w:sz w:val="19"/>
              </w:rPr>
              <w:t>lib/db/queries/integrations.ts</w:t>
            </w:r>
          </w:p>
        </w:tc>
      </w:tr>
    </w:tbl>
    <w:p>
      <w:pPr>
        <w:spacing w:after="40"/>
      </w:pPr>
    </w:p>
    <w:p>
      <w:pPr>
        <w:spacing w:before="280" w:after="80"/>
      </w:pPr>
      <w:r>
        <w:rPr>
          <w:b/>
          <w:color w:val="1A73E8"/>
          <w:sz w:val="26"/>
        </w:rPr>
        <w:t>Security Checklist</w:t>
      </w:r>
    </w:p>
    <w:p>
      <w:pPr>
        <w:pStyle w:val="ListBullet"/>
        <w:spacing w:after="60"/>
        <w:ind w:left="432"/>
      </w:pPr>
      <w:r>
        <w:rPr>
          <w:sz w:val="21"/>
        </w:rPr>
        <w:t>available_integrations is read-only to end users — no RLS write access for non-admins.</w:t>
      </w:r>
    </w:p>
    <w:p>
      <w:pPr>
        <w:pStyle w:val="ListBullet"/>
        <w:spacing w:after="60"/>
        <w:ind w:left="432"/>
      </w:pPr>
      <w:r>
        <w:rPr>
          <w:sz w:val="21"/>
        </w:rPr>
        <w:t>withAuth on all status and connect/disconnect routes.</w:t>
      </w:r>
    </w:p>
    <w:p>
      <w:pPr>
        <w:pStyle w:val="ListBullet"/>
        <w:spacing w:after="60"/>
        <w:ind w:left="432"/>
      </w:pPr>
      <w:r>
        <w:rPr>
          <w:sz w:val="21"/>
        </w:rPr>
        <w:t>No OAuth tokens ever returned to the client — only connection status.</w:t>
      </w:r>
    </w:p>
    <w:p>
      <w:pPr>
        <w:pStyle w:val="ListBullet"/>
        <w:spacing w:after="60"/>
        <w:ind w:left="432"/>
      </w:pPr>
      <w:r>
        <w:rPr>
          <w:sz w:val="21"/>
        </w:rPr>
        <w:t>All new env vars documented in .env.example.</w:t>
      </w:r>
    </w:p>
    <w:p>
      <w:pPr>
        <w:spacing w:before="400" w:after="120"/>
        <w:pBdr>
          <w:bottom w:val="single" w:sz="6" w:space="4" w:color="1A73E8"/>
        </w:pBdr>
      </w:pPr>
      <w:r>
        <w:rPr>
          <w:b/>
          <w:color w:val="0D2B45"/>
          <w:sz w:val="40"/>
        </w:rPr>
        <w:t>3. Local File System Access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FF8EC"/>
          </w:tcPr>
          <w:p>
            <w:pPr>
              <w:spacing w:before="60" w:after="60"/>
              <w:jc w:val="center"/>
            </w:pPr>
            <w:r>
              <w:rPr>
                <w:b/>
                <w:color w:val="B86E00"/>
                <w:sz w:val="18"/>
              </w:rPr>
              <w:t>MODERATE</w:t>
            </w:r>
          </w:p>
        </w:tc>
        <w:tc>
          <w:tcPr>
            <w:tcW w:type="dxa" w:w="3024"/>
            <w:shd w:val="clear" w:color="auto" w:fill="FFF8EC"/>
          </w:tcPr>
          <w:p>
            <w:pPr>
              <w:spacing w:before="60" w:after="60"/>
              <w:jc w:val="center"/>
            </w:pPr>
            <w:r>
              <w:rPr>
                <w:b/>
                <w:color w:val="B86E00"/>
                <w:sz w:val="18"/>
              </w:rPr>
              <w:t>4–6 WEEKS</w:t>
            </w:r>
          </w:p>
        </w:tc>
        <w:tc>
          <w:tcPr>
            <w:tcW w:type="dxa" w:w="3024"/>
            <w:shd w:val="clear" w:color="auto" w:fill="E8F0FE"/>
          </w:tcPr>
          <w:p>
            <w:pPr>
              <w:spacing w:before="60" w:after="60"/>
              <w:jc w:val="center"/>
            </w:pPr>
            <w:r>
              <w:rPr>
                <w:b/>
                <w:color w:val="1A73E8"/>
                <w:sz w:val="18"/>
              </w:rPr>
              <w:t>MEDIUM PRIORITY</w:t>
            </w:r>
          </w:p>
        </w:tc>
      </w:tr>
    </w:tbl>
    <w:p>
      <w:pPr>
        <w:spacing w:after="80"/>
      </w:pPr>
    </w:p>
    <w:p>
      <w:pPr>
        <w:spacing w:after="100"/>
      </w:pPr>
      <w:r>
        <w:rPr>
          <w:sz w:val="21"/>
        </w:rPr>
        <w:t>Allow Chief of Staff to index and search documents on the user's local machine (and connected cloud drives) so they can be surfaced in briefings and commitment extraction — without requiring users to manually upload files. This is read-only in v1.</w:t>
      </w:r>
    </w:p>
    <w:p>
      <w:pPr>
        <w:spacing w:before="280" w:after="80"/>
      </w:pPr>
      <w:r>
        <w:rPr>
          <w:b/>
          <w:color w:val="1A73E8"/>
          <w:sz w:val="26"/>
        </w:rPr>
        <w:t>Architecture</w:t>
      </w:r>
    </w:p>
    <w:p>
      <w:pPr>
        <w:spacing w:after="100"/>
      </w:pPr>
      <w:r>
        <w:rPr>
          <w:sz w:val="21"/>
        </w:rPr>
        <w:t>A lightweight local desktop agent (Electron-based, cross-platform) runs as a menubar daemon. It watches user-specified folders, indexes new/changed files into a local SQLite cache, and syncs document metadata and embeddings to the user's Supabase instance via the Chief of Staff API. Raw file content never leaves the device unless the user explicitly enables cloud summarisation.</w:t>
      </w:r>
    </w:p>
    <w:p>
      <w:pPr>
        <w:spacing w:before="280" w:after="80"/>
      </w:pPr>
      <w:r>
        <w:rPr>
          <w:b/>
          <w:color w:val="1A73E8"/>
          <w:sz w:val="26"/>
        </w:rPr>
        <w:t>What We Build</w:t>
      </w:r>
    </w:p>
    <w:p>
      <w:pPr>
        <w:pStyle w:val="ListBullet"/>
        <w:spacing w:after="60"/>
        <w:ind w:left="432"/>
      </w:pPr>
      <w:r>
        <w:rPr>
          <w:sz w:val="21"/>
        </w:rPr>
        <w:t>Desktop agent installer for macOS (and later Windows/Linux) — menubar app using Electron.</w:t>
      </w:r>
    </w:p>
    <w:p>
      <w:pPr>
        <w:pStyle w:val="ListBullet"/>
        <w:spacing w:after="60"/>
        <w:ind w:left="432"/>
      </w:pPr>
      <w:r>
        <w:rPr>
          <w:sz w:val="21"/>
        </w:rPr>
        <w:t>Folder permission UI: user selects which folders to watch. No access outside approved paths.</w:t>
      </w:r>
    </w:p>
    <w:p>
      <w:pPr>
        <w:pStyle w:val="ListBullet"/>
        <w:spacing w:after="60"/>
        <w:ind w:left="432"/>
      </w:pPr>
      <w:r>
        <w:rPr>
          <w:sz w:val="21"/>
        </w:rPr>
        <w:t>Local file watcher using chokidar — monitors for new/modified documents (PDF, DOCX, TXT, MD).</w:t>
      </w:r>
    </w:p>
    <w:p>
      <w:pPr>
        <w:pStyle w:val="ListBullet"/>
        <w:spacing w:after="60"/>
        <w:ind w:left="432"/>
      </w:pPr>
      <w:r>
        <w:rPr>
          <w:sz w:val="21"/>
        </w:rPr>
        <w:t>Local embedding pass using a small local model (or optional cloud) — embeddings synced to pgvector.</w:t>
      </w:r>
    </w:p>
    <w:p>
      <w:pPr>
        <w:pStyle w:val="ListBullet"/>
        <w:spacing w:after="60"/>
        <w:ind w:left="432"/>
      </w:pPr>
      <w:r>
        <w:rPr>
          <w:sz w:val="21"/>
        </w:rPr>
        <w:t>document-index.ts Trigger.dev job extended to query local-agent-synced documents.</w:t>
      </w:r>
    </w:p>
    <w:p>
      <w:pPr>
        <w:pStyle w:val="ListBullet"/>
        <w:spacing w:after="60"/>
        <w:ind w:left="432"/>
      </w:pPr>
      <w:r>
        <w:rPr>
          <w:sz w:val="21"/>
        </w:rPr>
        <w:t>Document results surfaced as source citations in briefing items and commitment extraction.</w:t>
      </w:r>
    </w:p>
    <w:p>
      <w:pPr>
        <w:spacing w:before="280" w:after="80"/>
      </w:pPr>
      <w:r>
        <w:rPr>
          <w:b/>
          <w:color w:val="1A73E8"/>
          <w:sz w:val="26"/>
        </w:rPr>
        <w:t>What v1 Deliberately Excludes</w:t>
      </w:r>
    </w:p>
    <w:p>
      <w:pPr>
        <w:pStyle w:val="ListBullet"/>
        <w:spacing w:after="60"/>
        <w:ind w:left="432"/>
      </w:pPr>
      <w:r>
        <w:rPr>
          <w:color w:val="C0392B"/>
          <w:sz w:val="21"/>
        </w:rPr>
        <w:t>Write access to local files — read-only in v1.</w:t>
      </w:r>
    </w:p>
    <w:p>
      <w:pPr>
        <w:pStyle w:val="ListBullet"/>
        <w:spacing w:after="60"/>
        <w:ind w:left="432"/>
      </w:pPr>
      <w:r>
        <w:rPr>
          <w:color w:val="C0392B"/>
          <w:sz w:val="21"/>
        </w:rPr>
        <w:t>Shell command execution — completely separate concern.</w:t>
      </w:r>
    </w:p>
    <w:p>
      <w:pPr>
        <w:pStyle w:val="ListBullet"/>
        <w:spacing w:after="60"/>
        <w:ind w:left="432"/>
      </w:pPr>
      <w:r>
        <w:rPr>
          <w:color w:val="C0392B"/>
          <w:sz w:val="21"/>
        </w:rPr>
        <w:t>Indexing outside user-approved folders.</w:t>
      </w:r>
    </w:p>
    <w:p>
      <w:pPr>
        <w:pStyle w:val="ListBullet"/>
        <w:spacing w:after="60"/>
        <w:ind w:left="432"/>
      </w:pPr>
      <w:r>
        <w:rPr>
          <w:color w:val="C0392B"/>
          <w:sz w:val="21"/>
        </w:rPr>
        <w:t>Auto-sync of raw file content to cloud without explicit user opt-in.</w:t>
      </w:r>
    </w:p>
    <w:p>
      <w:pPr>
        <w:spacing w:before="280" w:after="80"/>
      </w:pPr>
      <w:r>
        <w:rPr>
          <w:b/>
          <w:color w:val="1A73E8"/>
          <w:sz w:val="26"/>
        </w:rPr>
        <w:t>Key Technical Risks</w:t>
      </w:r>
    </w:p>
    <w:tbl>
      <w:tblPr>
        <w:tblStyle w:val="TableGrid"/>
        <w:tblW w:type="auto" w:w="0"/>
        <w:tblLook w:firstColumn="1" w:firstRow="1" w:lastColumn="0" w:lastRow="0" w:noHBand="0" w:noVBand="1" w:val="04A0"/>
      </w:tblPr>
      <w:tblGrid>
        <w:gridCol w:w="9072"/>
      </w:tblGrid>
      <w:tr>
        <w:tc>
          <w:tcPr>
            <w:tcW w:type="dxa" w:w="9072"/>
            <w:shd w:val="clear" w:color="auto" w:fill="FFF8EC"/>
          </w:tcPr>
          <w:p>
            <w:pPr>
              <w:spacing w:before="80" w:after="80"/>
              <w:ind w:left="120"/>
            </w:pPr>
            <w:r>
              <w:rPr>
                <w:b/>
                <w:color w:val="B86E00"/>
                <w:sz w:val="21"/>
              </w:rPr>
              <w:t xml:space="preserve">Risk 1:  </w:t>
            </w:r>
            <w:r>
              <w:rPr>
                <w:sz w:val="21"/>
              </w:rPr>
              <w:t>Electron app distribution, code signing, and auto-update pipeline add significant DevOps overhead. macOS notarisation alone can take several days for first submission.</w:t>
            </w:r>
          </w:p>
        </w:tc>
      </w:tr>
    </w:tbl>
    <w:p>
      <w:pPr>
        <w:spacing w:after="40"/>
      </w:pPr>
    </w:p>
    <w:tbl>
      <w:tblPr>
        <w:tblStyle w:val="TableGrid"/>
        <w:tblW w:type="auto" w:w="0"/>
        <w:tblLook w:firstColumn="1" w:firstRow="1" w:lastColumn="0" w:lastRow="0" w:noHBand="0" w:noVBand="1" w:val="04A0"/>
      </w:tblPr>
      <w:tblGrid>
        <w:gridCol w:w="9072"/>
      </w:tblGrid>
      <w:tr>
        <w:tc>
          <w:tcPr>
            <w:tcW w:type="dxa" w:w="9072"/>
            <w:shd w:val="clear" w:color="auto" w:fill="FEF0EE"/>
          </w:tcPr>
          <w:p>
            <w:pPr>
              <w:spacing w:before="80" w:after="80"/>
              <w:ind w:left="120"/>
            </w:pPr>
            <w:r>
              <w:rPr>
                <w:b/>
                <w:color w:val="C0392B"/>
                <w:sz w:val="21"/>
              </w:rPr>
              <w:t xml:space="preserve">Risk 2:  </w:t>
            </w:r>
            <w:r>
              <w:rPr>
                <w:sz w:val="21"/>
              </w:rPr>
              <w:t>Prompt injection via malicious file content. A user might open a document containing 'Ignore previous instructions and...' — sanitiseContent() must be enforced on ALL local file content before it reaches any AI prompt.</w:t>
            </w:r>
          </w:p>
        </w:tc>
      </w:tr>
    </w:tbl>
    <w:p>
      <w:pPr>
        <w:spacing w:after="40"/>
      </w:pPr>
    </w:p>
    <w:p>
      <w:pPr>
        <w:spacing w:before="280" w:after="80"/>
      </w:pPr>
      <w:r>
        <w:rPr>
          <w:b/>
          <w:color w:val="1A73E8"/>
          <w:sz w:val="26"/>
        </w:rPr>
        <w:t>New Files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2B45"/>
          </w:tcPr>
          <w:p>
            <w:pPr>
              <w:spacing w:before="60" w:after="60"/>
            </w:pPr>
            <w:r>
              <w:rPr>
                <w:b/>
                <w:color w:val="FFFFFF"/>
                <w:sz w:val="19"/>
              </w:rPr>
              <w:t>Deliverable</w:t>
            </w:r>
          </w:p>
        </w:tc>
        <w:tc>
          <w:tcPr>
            <w:tcW w:type="dxa" w:w="3024"/>
            <w:shd w:val="clear" w:color="auto" w:fill="0D2B45"/>
          </w:tcPr>
          <w:p>
            <w:pPr>
              <w:spacing w:before="60" w:after="60"/>
            </w:pPr>
            <w:r>
              <w:rPr>
                <w:b/>
                <w:color w:val="FFFFFF"/>
                <w:sz w:val="19"/>
              </w:rPr>
              <w:t>Description</w:t>
            </w:r>
          </w:p>
        </w:tc>
        <w:tc>
          <w:tcPr>
            <w:tcW w:type="dxa" w:w="3024"/>
            <w:shd w:val="clear" w:color="auto" w:fill="0D2B45"/>
          </w:tcPr>
          <w:p>
            <w:pPr>
              <w:spacing w:before="60" w:after="60"/>
            </w:pPr>
            <w:r>
              <w:rPr>
                <w:b/>
                <w:color w:val="FFFFFF"/>
                <w:sz w:val="19"/>
              </w:rPr>
              <w:t>File / Location</w:t>
            </w:r>
          </w:p>
        </w:tc>
      </w:tr>
      <w:tr>
        <w:tc>
          <w:tcPr>
            <w:tcW w:type="dxa" w:w="3024"/>
          </w:tcPr>
          <w:p>
            <w:pPr>
              <w:spacing w:before="60" w:after="60"/>
            </w:pPr>
            <w:r>
              <w:rPr>
                <w:sz w:val="19"/>
              </w:rPr>
              <w:t>desktop-agent/</w:t>
            </w:r>
          </w:p>
        </w:tc>
        <w:tc>
          <w:tcPr>
            <w:tcW w:type="dxa" w:w="3024"/>
          </w:tcPr>
          <w:p>
            <w:pPr>
              <w:spacing w:before="60" w:after="60"/>
            </w:pPr>
            <w:r>
              <w:rPr>
                <w:sz w:val="19"/>
              </w:rPr>
              <w:t>Electron app — file watcher, local embeddings, sync client</w:t>
            </w:r>
          </w:p>
        </w:tc>
        <w:tc>
          <w:tcPr>
            <w:tcW w:type="dxa" w:w="3024"/>
          </w:tcPr>
          <w:p>
            <w:pPr>
              <w:spacing w:before="60" w:after="60"/>
            </w:pPr>
            <w:r>
              <w:rPr>
                <w:color w:val="5F6B7A"/>
                <w:sz w:val="19"/>
              </w:rPr>
              <w:t>desktop-agent/ (new top-level package)</w:t>
            </w:r>
          </w:p>
        </w:tc>
      </w:tr>
      <w:tr>
        <w:tc>
          <w:tcPr>
            <w:tcW w:type="dxa" w:w="3024"/>
          </w:tcPr>
          <w:p>
            <w:pPr>
              <w:spacing w:before="60" w:after="60"/>
            </w:pPr>
            <w:r>
              <w:rPr>
                <w:sz w:val="19"/>
              </w:rPr>
              <w:t>documents/route.ts</w:t>
            </w:r>
          </w:p>
        </w:tc>
        <w:tc>
          <w:tcPr>
            <w:tcW w:type="dxa" w:w="3024"/>
          </w:tcPr>
          <w:p>
            <w:pPr>
              <w:spacing w:before="60" w:after="60"/>
            </w:pPr>
            <w:r>
              <w:rPr>
                <w:sz w:val="19"/>
              </w:rPr>
              <w:t>POST: receive synced document metadata from desktop agent</w:t>
            </w:r>
          </w:p>
        </w:tc>
        <w:tc>
          <w:tcPr>
            <w:tcW w:type="dxa" w:w="3024"/>
          </w:tcPr>
          <w:p>
            <w:pPr>
              <w:spacing w:before="60" w:after="60"/>
            </w:pPr>
            <w:r>
              <w:rPr>
                <w:color w:val="5F6B7A"/>
                <w:sz w:val="19"/>
              </w:rPr>
              <w:t>app/api/documents/route.ts</w:t>
            </w:r>
          </w:p>
        </w:tc>
      </w:tr>
      <w:tr>
        <w:tc>
          <w:tcPr>
            <w:tcW w:type="dxa" w:w="3024"/>
          </w:tcPr>
          <w:p>
            <w:pPr>
              <w:spacing w:before="60" w:after="60"/>
            </w:pPr>
            <w:r>
              <w:rPr>
                <w:sz w:val="19"/>
              </w:rPr>
              <w:t>document-index.ts</w:t>
            </w:r>
          </w:p>
        </w:tc>
        <w:tc>
          <w:tcPr>
            <w:tcW w:type="dxa" w:w="3024"/>
          </w:tcPr>
          <w:p>
            <w:pPr>
              <w:spacing w:before="60" w:after="60"/>
            </w:pPr>
            <w:r>
              <w:rPr>
                <w:sz w:val="19"/>
              </w:rPr>
              <w:t>Extended to query pgvector for locally-synced documents</w:t>
            </w:r>
          </w:p>
        </w:tc>
        <w:tc>
          <w:tcPr>
            <w:tcW w:type="dxa" w:w="3024"/>
          </w:tcPr>
          <w:p>
            <w:pPr>
              <w:spacing w:before="60" w:after="60"/>
            </w:pPr>
            <w:r>
              <w:rPr>
                <w:color w:val="5F6B7A"/>
                <w:sz w:val="19"/>
              </w:rPr>
              <w:t>trigger/heartbeat/document-index.ts</w:t>
            </w:r>
          </w:p>
        </w:tc>
      </w:tr>
      <w:tr>
        <w:tc>
          <w:tcPr>
            <w:tcW w:type="dxa" w:w="3024"/>
          </w:tcPr>
          <w:p>
            <w:pPr>
              <w:spacing w:before="60" w:after="60"/>
            </w:pPr>
            <w:r>
              <w:rPr>
                <w:sz w:val="19"/>
              </w:rPr>
              <w:t>LocalFileSettings.tsx</w:t>
            </w:r>
          </w:p>
        </w:tc>
        <w:tc>
          <w:tcPr>
            <w:tcW w:type="dxa" w:w="3024"/>
          </w:tcPr>
          <w:p>
            <w:pPr>
              <w:spacing w:before="60" w:after="60"/>
            </w:pPr>
            <w:r>
              <w:rPr>
                <w:sz w:val="19"/>
              </w:rPr>
              <w:t>UI for folder permissions, sync status, and opt-in cloud toggle</w:t>
            </w:r>
          </w:p>
        </w:tc>
        <w:tc>
          <w:tcPr>
            <w:tcW w:type="dxa" w:w="3024"/>
          </w:tcPr>
          <w:p>
            <w:pPr>
              <w:spacing w:before="60" w:after="60"/>
            </w:pPr>
            <w:r>
              <w:rPr>
                <w:color w:val="5F6B7A"/>
                <w:sz w:val="19"/>
              </w:rPr>
              <w:t>components/settings/LocalFileSettings.tsx</w:t>
            </w:r>
          </w:p>
        </w:tc>
      </w:tr>
      <w:tr>
        <w:tc>
          <w:tcPr>
            <w:tcW w:type="dxa" w:w="3024"/>
          </w:tcPr>
          <w:p>
            <w:pPr>
              <w:spacing w:before="60" w:after="60"/>
            </w:pPr>
            <w:r>
              <w:rPr>
                <w:sz w:val="19"/>
              </w:rPr>
              <w:t>004_documents.sql</w:t>
            </w:r>
          </w:p>
        </w:tc>
        <w:tc>
          <w:tcPr>
            <w:tcW w:type="dxa" w:w="3024"/>
          </w:tcPr>
          <w:p>
            <w:pPr>
              <w:spacing w:before="60" w:after="60"/>
            </w:pPr>
            <w:r>
              <w:rPr>
                <w:sz w:val="19"/>
              </w:rPr>
              <w:t>documents table with pgvector embedding column. RLS enforced.</w:t>
            </w:r>
          </w:p>
        </w:tc>
        <w:tc>
          <w:tcPr>
            <w:tcW w:type="dxa" w:w="3024"/>
          </w:tcPr>
          <w:p>
            <w:pPr>
              <w:spacing w:before="60" w:after="60"/>
            </w:pPr>
            <w:r>
              <w:rPr>
                <w:color w:val="5F6B7A"/>
                <w:sz w:val="19"/>
              </w:rPr>
              <w:t>supabase/migrations/004_documents.sql</w:t>
            </w:r>
          </w:p>
        </w:tc>
      </w:tr>
    </w:tbl>
    <w:p>
      <w:pPr>
        <w:spacing w:after="40"/>
      </w:pPr>
    </w:p>
    <w:p>
      <w:pPr>
        <w:spacing w:before="280" w:after="80"/>
      </w:pPr>
      <w:r>
        <w:rPr>
          <w:b/>
          <w:color w:val="1A73E8"/>
          <w:sz w:val="26"/>
        </w:rPr>
        <w:t>Security Checklist</w:t>
      </w:r>
    </w:p>
    <w:p>
      <w:pPr>
        <w:pStyle w:val="ListBullet"/>
        <w:spacing w:after="60"/>
        <w:ind w:left="432"/>
      </w:pPr>
      <w:r>
        <w:rPr>
          <w:sz w:val="21"/>
        </w:rPr>
        <w:t>Desktop agent only reads files within user-approved folder paths. Hard sandbox — no access elsewhere.</w:t>
      </w:r>
    </w:p>
    <w:p>
      <w:pPr>
        <w:pStyle w:val="ListBullet"/>
        <w:spacing w:after="60"/>
        <w:ind w:left="432"/>
      </w:pPr>
      <w:r>
        <w:rPr>
          <w:sz w:val="21"/>
        </w:rPr>
        <w:t>sanitiseContent() on ALL file content before any AI prompt. No exceptions.</w:t>
      </w:r>
    </w:p>
    <w:p>
      <w:pPr>
        <w:pStyle w:val="ListBullet"/>
        <w:spacing w:after="60"/>
        <w:ind w:left="432"/>
      </w:pPr>
      <w:r>
        <w:rPr>
          <w:sz w:val="21"/>
        </w:rPr>
        <w:t>API route for document sync uses withAuth + HMAC signature from desktop agent.</w:t>
      </w:r>
    </w:p>
    <w:p>
      <w:pPr>
        <w:pStyle w:val="ListBullet"/>
        <w:spacing w:after="60"/>
        <w:ind w:left="432"/>
      </w:pPr>
      <w:r>
        <w:rPr>
          <w:sz w:val="21"/>
        </w:rPr>
        <w:t>Raw content never stored in Supabase by default — only embeddings and metadata.</w:t>
      </w:r>
    </w:p>
    <w:p>
      <w:pPr>
        <w:pStyle w:val="ListBullet"/>
        <w:spacing w:after="60"/>
        <w:ind w:left="432"/>
      </w:pPr>
      <w:r>
        <w:rPr>
          <w:sz w:val="21"/>
        </w:rPr>
        <w:t>RLS on documents table.</w:t>
      </w:r>
    </w:p>
    <w:p>
      <w:pPr>
        <w:pStyle w:val="ListBullet"/>
        <w:spacing w:after="60"/>
        <w:ind w:left="432"/>
      </w:pPr>
      <w:r>
        <w:rPr>
          <w:sz w:val="21"/>
        </w:rPr>
        <w:t>User can revoke folder access or delete all indexed data from settings at any time.</w:t>
      </w:r>
    </w:p>
    <w:p>
      <w:pPr>
        <w:spacing w:before="400" w:after="120"/>
        <w:pBdr>
          <w:bottom w:val="single" w:sz="6" w:space="4" w:color="1A73E8"/>
        </w:pBdr>
      </w:pPr>
      <w:r>
        <w:rPr>
          <w:b/>
          <w:color w:val="0D2B45"/>
          <w:sz w:val="40"/>
        </w:rPr>
        <w:t>4. Browser Automation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FF8EC"/>
          </w:tcPr>
          <w:p>
            <w:pPr>
              <w:spacing w:before="60" w:after="60"/>
              <w:jc w:val="center"/>
            </w:pPr>
            <w:r>
              <w:rPr>
                <w:b/>
                <w:color w:val="B86E00"/>
                <w:sz w:val="18"/>
              </w:rPr>
              <w:t>MODERATE</w:t>
            </w:r>
          </w:p>
        </w:tc>
        <w:tc>
          <w:tcPr>
            <w:tcW w:type="dxa" w:w="3024"/>
            <w:shd w:val="clear" w:color="auto" w:fill="FFF8EC"/>
          </w:tcPr>
          <w:p>
            <w:pPr>
              <w:spacing w:before="60" w:after="60"/>
              <w:jc w:val="center"/>
            </w:pPr>
            <w:r>
              <w:rPr>
                <w:b/>
                <w:color w:val="B86E00"/>
                <w:sz w:val="18"/>
              </w:rPr>
              <w:t>4–6 WEEKS</w:t>
            </w:r>
          </w:p>
        </w:tc>
        <w:tc>
          <w:tcPr>
            <w:tcW w:type="dxa" w:w="3024"/>
            <w:shd w:val="clear" w:color="auto" w:fill="E8F0FE"/>
          </w:tcPr>
          <w:p>
            <w:pPr>
              <w:spacing w:before="60" w:after="60"/>
              <w:jc w:val="center"/>
            </w:pPr>
            <w:r>
              <w:rPr>
                <w:b/>
                <w:color w:val="1A73E8"/>
                <w:sz w:val="18"/>
              </w:rPr>
              <w:t>LOW PRIORITY</w:t>
            </w:r>
          </w:p>
        </w:tc>
      </w:tr>
    </w:tbl>
    <w:p>
      <w:pPr>
        <w:spacing w:after="80"/>
      </w:pPr>
    </w:p>
    <w:p>
      <w:pPr>
        <w:spacing w:after="100"/>
      </w:pPr>
      <w:r>
        <w:rPr>
          <w:sz w:val="21"/>
        </w:rPr>
        <w:t>Allow the AI to perform targeted web research and form-filling tasks on behalf of the user — triggered by explicit user instruction, with a preview and confirmation step before any form submission or navigation that results in a state change.</w:t>
      </w:r>
    </w:p>
    <w:p>
      <w:pPr>
        <w:spacing w:before="280" w:after="80"/>
      </w:pPr>
      <w:r>
        <w:rPr>
          <w:b/>
          <w:color w:val="1A73E8"/>
          <w:sz w:val="26"/>
        </w:rPr>
        <w:t>Architecture</w:t>
      </w:r>
    </w:p>
    <w:p>
      <w:pPr>
        <w:spacing w:after="100"/>
      </w:pPr>
      <w:r>
        <w:rPr>
          <w:sz w:val="21"/>
        </w:rPr>
        <w:t>A serverless Playwright pool runs in a managed cloud environment (e.g. Browserless.io or a dedicated EC2 cluster). Tasks are queued via Trigger.dev. Each browser session is isolated, short-lived, and scoped to a single task. Screenshots are returned to the user for review before any submission action.</w:t>
      </w:r>
    </w:p>
    <w:p>
      <w:pPr>
        <w:spacing w:before="280" w:after="80"/>
      </w:pPr>
      <w:r>
        <w:rPr>
          <w:b/>
          <w:color w:val="1A73E8"/>
          <w:sz w:val="26"/>
        </w:rPr>
        <w:t>What We Build</w:t>
      </w:r>
    </w:p>
    <w:p>
      <w:pPr>
        <w:pStyle w:val="ListBullet"/>
        <w:spacing w:after="60"/>
        <w:ind w:left="432"/>
      </w:pPr>
      <w:r>
        <w:rPr>
          <w:sz w:val="21"/>
        </w:rPr>
        <w:t>Browser task queue backed by Trigger.dev — tasks enqueued by user instruction, executed asynchronously.</w:t>
      </w:r>
    </w:p>
    <w:p>
      <w:pPr>
        <w:pStyle w:val="ListBullet"/>
        <w:spacing w:after="60"/>
        <w:ind w:left="432"/>
      </w:pPr>
      <w:r>
        <w:rPr>
          <w:sz w:val="21"/>
        </w:rPr>
        <w:t>Playwright runner with hard limits: max 5 minute session, max 10 page navigations, no downloads without confirmation.</w:t>
      </w:r>
    </w:p>
    <w:p>
      <w:pPr>
        <w:pStyle w:val="ListBullet"/>
        <w:spacing w:after="60"/>
        <w:ind w:left="432"/>
      </w:pPr>
      <w:r>
        <w:rPr>
          <w:sz w:val="21"/>
        </w:rPr>
        <w:t>Screenshot-before-action pattern: before any click, form submit, or navigation, a screenshot is sent to the user for approval via Telegram.</w:t>
      </w:r>
    </w:p>
    <w:p>
      <w:pPr>
        <w:pStyle w:val="ListBullet"/>
        <w:spacing w:after="60"/>
        <w:ind w:left="432"/>
      </w:pPr>
      <w:r>
        <w:rPr>
          <w:sz w:val="21"/>
        </w:rPr>
        <w:t>Read-only mode by default: browsing and research tasks execute autonomously. Any write action (form submit, login) requires explicit confirmation.</w:t>
      </w:r>
    </w:p>
    <w:p>
      <w:pPr>
        <w:pStyle w:val="ListBullet"/>
        <w:spacing w:after="60"/>
        <w:ind w:left="432"/>
      </w:pPr>
      <w:r>
        <w:rPr>
          <w:sz w:val="21"/>
        </w:rPr>
        <w:t>browser-task.ts agent (uses claude-haiku-4-5-20251001) for task planning and page interpretation.</w:t>
      </w:r>
    </w:p>
    <w:p>
      <w:pPr>
        <w:spacing w:before="280" w:after="80"/>
      </w:pPr>
      <w:r>
        <w:rPr>
          <w:b/>
          <w:color w:val="1A73E8"/>
          <w:sz w:val="26"/>
        </w:rPr>
        <w:t>What v1 Deliberately Excludes</w:t>
      </w:r>
    </w:p>
    <w:p>
      <w:pPr>
        <w:pStyle w:val="ListBullet"/>
        <w:spacing w:after="60"/>
        <w:ind w:left="432"/>
      </w:pPr>
      <w:r>
        <w:rPr>
          <w:color w:val="C0392B"/>
          <w:sz w:val="21"/>
        </w:rPr>
        <w:t>Persistent browser sessions or saved login states.</w:t>
      </w:r>
    </w:p>
    <w:p>
      <w:pPr>
        <w:pStyle w:val="ListBullet"/>
        <w:spacing w:after="60"/>
        <w:ind w:left="432"/>
      </w:pPr>
      <w:r>
        <w:rPr>
          <w:color w:val="C0392B"/>
          <w:sz w:val="21"/>
        </w:rPr>
        <w:t>Downloading files without explicit per-file user confirmation.</w:t>
      </w:r>
    </w:p>
    <w:p>
      <w:pPr>
        <w:pStyle w:val="ListBullet"/>
        <w:spacing w:after="60"/>
        <w:ind w:left="432"/>
      </w:pPr>
      <w:r>
        <w:rPr>
          <w:color w:val="C0392B"/>
          <w:sz w:val="21"/>
        </w:rPr>
        <w:t>Access to banking, payment, or credential entry forms.</w:t>
      </w:r>
    </w:p>
    <w:p>
      <w:pPr>
        <w:pStyle w:val="ListBullet"/>
        <w:spacing w:after="60"/>
        <w:ind w:left="432"/>
      </w:pPr>
      <w:r>
        <w:rPr>
          <w:color w:val="C0392B"/>
          <w:sz w:val="21"/>
        </w:rPr>
        <w:t>Unlimited session time or page depth.</w:t>
      </w:r>
    </w:p>
    <w:p>
      <w:pPr>
        <w:spacing w:before="280" w:after="80"/>
      </w:pPr>
      <w:r>
        <w:rPr>
          <w:b/>
          <w:color w:val="1A73E8"/>
          <w:sz w:val="26"/>
        </w:rPr>
        <w:t>Key Technical Risks</w:t>
      </w:r>
    </w:p>
    <w:tbl>
      <w:tblPr>
        <w:tblStyle w:val="TableGrid"/>
        <w:tblW w:type="auto" w:w="0"/>
        <w:tblLook w:firstColumn="1" w:firstRow="1" w:lastColumn="0" w:lastRow="0" w:noHBand="0" w:noVBand="1" w:val="04A0"/>
      </w:tblPr>
      <w:tblGrid>
        <w:gridCol w:w="9072"/>
      </w:tblGrid>
      <w:tr>
        <w:tc>
          <w:tcPr>
            <w:tcW w:type="dxa" w:w="9072"/>
            <w:shd w:val="clear" w:color="auto" w:fill="FFF8EC"/>
          </w:tcPr>
          <w:p>
            <w:pPr>
              <w:spacing w:before="80" w:after="80"/>
              <w:ind w:left="120"/>
            </w:pPr>
            <w:r>
              <w:rPr>
                <w:b/>
                <w:color w:val="B86E00"/>
                <w:sz w:val="21"/>
              </w:rPr>
              <w:t xml:space="preserve">Risk 1:  </w:t>
            </w:r>
            <w:r>
              <w:rPr>
                <w:sz w:val="21"/>
              </w:rPr>
              <w:t>Cost at scale. Running headless browsers per user request is significantly more expensive than API calls. Budget for Browserless.io or EC2 costs carefully, and implement per-user rate limits from day one.</w:t>
            </w:r>
          </w:p>
        </w:tc>
      </w:tr>
    </w:tbl>
    <w:p>
      <w:pPr>
        <w:spacing w:after="40"/>
      </w:pPr>
    </w:p>
    <w:tbl>
      <w:tblPr>
        <w:tblStyle w:val="TableGrid"/>
        <w:tblW w:type="auto" w:w="0"/>
        <w:tblLook w:firstColumn="1" w:firstRow="1" w:lastColumn="0" w:lastRow="0" w:noHBand="0" w:noVBand="1" w:val="04A0"/>
      </w:tblPr>
      <w:tblGrid>
        <w:gridCol w:w="9072"/>
      </w:tblGrid>
      <w:tr>
        <w:tc>
          <w:tcPr>
            <w:tcW w:type="dxa" w:w="9072"/>
            <w:shd w:val="clear" w:color="auto" w:fill="FEF0EE"/>
          </w:tcPr>
          <w:p>
            <w:pPr>
              <w:spacing w:before="80" w:after="80"/>
              <w:ind w:left="120"/>
            </w:pPr>
            <w:r>
              <w:rPr>
                <w:b/>
                <w:color w:val="C0392B"/>
                <w:sz w:val="21"/>
              </w:rPr>
              <w:t xml:space="preserve">Risk 2:  </w:t>
            </w:r>
            <w:r>
              <w:rPr>
                <w:sz w:val="21"/>
              </w:rPr>
              <w:t>Prompt injection via web page content. A malicious page could embed instructions in its text to manipulate the agent. All page content must pass through sanitiseContent() before reaching the AI, and the agent must never treat page text as instructions.</w:t>
            </w:r>
          </w:p>
        </w:tc>
      </w:tr>
    </w:tbl>
    <w:p>
      <w:pPr>
        <w:spacing w:after="40"/>
      </w:pPr>
    </w:p>
    <w:p>
      <w:pPr>
        <w:spacing w:before="280" w:after="80"/>
      </w:pPr>
      <w:r>
        <w:rPr>
          <w:b/>
          <w:color w:val="1A73E8"/>
          <w:sz w:val="26"/>
        </w:rPr>
        <w:t>New Files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2B45"/>
          </w:tcPr>
          <w:p>
            <w:pPr>
              <w:spacing w:before="60" w:after="60"/>
            </w:pPr>
            <w:r>
              <w:rPr>
                <w:b/>
                <w:color w:val="FFFFFF"/>
                <w:sz w:val="19"/>
              </w:rPr>
              <w:t>Deliverable</w:t>
            </w:r>
          </w:p>
        </w:tc>
        <w:tc>
          <w:tcPr>
            <w:tcW w:type="dxa" w:w="3024"/>
            <w:shd w:val="clear" w:color="auto" w:fill="0D2B45"/>
          </w:tcPr>
          <w:p>
            <w:pPr>
              <w:spacing w:before="60" w:after="60"/>
            </w:pPr>
            <w:r>
              <w:rPr>
                <w:b/>
                <w:color w:val="FFFFFF"/>
                <w:sz w:val="19"/>
              </w:rPr>
              <w:t>Description</w:t>
            </w:r>
          </w:p>
        </w:tc>
        <w:tc>
          <w:tcPr>
            <w:tcW w:type="dxa" w:w="3024"/>
            <w:shd w:val="clear" w:color="auto" w:fill="0D2B45"/>
          </w:tcPr>
          <w:p>
            <w:pPr>
              <w:spacing w:before="60" w:after="60"/>
            </w:pPr>
            <w:r>
              <w:rPr>
                <w:b/>
                <w:color w:val="FFFFFF"/>
                <w:sz w:val="19"/>
              </w:rPr>
              <w:t>File / Location</w:t>
            </w:r>
          </w:p>
        </w:tc>
      </w:tr>
      <w:tr>
        <w:tc>
          <w:tcPr>
            <w:tcW w:type="dxa" w:w="3024"/>
          </w:tcPr>
          <w:p>
            <w:pPr>
              <w:spacing w:before="60" w:after="60"/>
            </w:pPr>
            <w:r>
              <w:rPr>
                <w:sz w:val="19"/>
              </w:rPr>
              <w:t>browser-task.ts</w:t>
            </w:r>
          </w:p>
        </w:tc>
        <w:tc>
          <w:tcPr>
            <w:tcW w:type="dxa" w:w="3024"/>
          </w:tcPr>
          <w:p>
            <w:pPr>
              <w:spacing w:before="60" w:after="60"/>
            </w:pPr>
            <w:r>
              <w:rPr>
                <w:sz w:val="19"/>
              </w:rPr>
              <w:t>Trigger.dev job — Playwright session runner with hard limits</w:t>
            </w:r>
          </w:p>
        </w:tc>
        <w:tc>
          <w:tcPr>
            <w:tcW w:type="dxa" w:w="3024"/>
          </w:tcPr>
          <w:p>
            <w:pPr>
              <w:spacing w:before="60" w:after="60"/>
            </w:pPr>
            <w:r>
              <w:rPr>
                <w:color w:val="5F6B7A"/>
                <w:sz w:val="19"/>
              </w:rPr>
              <w:t>trigger/browser/browser-task.ts</w:t>
            </w:r>
          </w:p>
        </w:tc>
      </w:tr>
      <w:tr>
        <w:tc>
          <w:tcPr>
            <w:tcW w:type="dxa" w:w="3024"/>
          </w:tcPr>
          <w:p>
            <w:pPr>
              <w:spacing w:before="60" w:after="60"/>
            </w:pPr>
            <w:r>
              <w:rPr>
                <w:sz w:val="19"/>
              </w:rPr>
              <w:t>browser-agent.ts</w:t>
            </w:r>
          </w:p>
        </w:tc>
        <w:tc>
          <w:tcPr>
            <w:tcW w:type="dxa" w:w="3024"/>
          </w:tcPr>
          <w:p>
            <w:pPr>
              <w:spacing w:before="60" w:after="60"/>
            </w:pPr>
            <w:r>
              <w:rPr>
                <w:sz w:val="19"/>
              </w:rPr>
              <w:t>AI agent for task planning and page interpretation (haiku)</w:t>
            </w:r>
          </w:p>
        </w:tc>
        <w:tc>
          <w:tcPr>
            <w:tcW w:type="dxa" w:w="3024"/>
          </w:tcPr>
          <w:p>
            <w:pPr>
              <w:spacing w:before="60" w:after="60"/>
            </w:pPr>
            <w:r>
              <w:rPr>
                <w:color w:val="5F6B7A"/>
                <w:sz w:val="19"/>
              </w:rPr>
              <w:t>lib/ai/agents/browser-agent.ts</w:t>
            </w:r>
          </w:p>
        </w:tc>
      </w:tr>
      <w:tr>
        <w:tc>
          <w:tcPr>
            <w:tcW w:type="dxa" w:w="3024"/>
          </w:tcPr>
          <w:p>
            <w:pPr>
              <w:spacing w:before="60" w:after="60"/>
            </w:pPr>
            <w:r>
              <w:rPr>
                <w:sz w:val="19"/>
              </w:rPr>
              <w:t>browser/route.ts</w:t>
            </w:r>
          </w:p>
        </w:tc>
        <w:tc>
          <w:tcPr>
            <w:tcW w:type="dxa" w:w="3024"/>
          </w:tcPr>
          <w:p>
            <w:pPr>
              <w:spacing w:before="60" w:after="60"/>
            </w:pPr>
            <w:r>
              <w:rPr>
                <w:sz w:val="19"/>
              </w:rPr>
              <w:t>POST: enqueue a browser task</w:t>
            </w:r>
          </w:p>
        </w:tc>
        <w:tc>
          <w:tcPr>
            <w:tcW w:type="dxa" w:w="3024"/>
          </w:tcPr>
          <w:p>
            <w:pPr>
              <w:spacing w:before="60" w:after="60"/>
            </w:pPr>
            <w:r>
              <w:rPr>
                <w:color w:val="5F6B7A"/>
                <w:sz w:val="19"/>
              </w:rPr>
              <w:t>app/api/browser/route.ts</w:t>
            </w:r>
          </w:p>
        </w:tc>
      </w:tr>
      <w:tr>
        <w:tc>
          <w:tcPr>
            <w:tcW w:type="dxa" w:w="3024"/>
          </w:tcPr>
          <w:p>
            <w:pPr>
              <w:spacing w:before="60" w:after="60"/>
            </w:pPr>
            <w:r>
              <w:rPr>
                <w:sz w:val="19"/>
              </w:rPr>
              <w:t>browser/status/route.ts</w:t>
            </w:r>
          </w:p>
        </w:tc>
        <w:tc>
          <w:tcPr>
            <w:tcW w:type="dxa" w:w="3024"/>
          </w:tcPr>
          <w:p>
            <w:pPr>
              <w:spacing w:before="60" w:after="60"/>
            </w:pPr>
            <w:r>
              <w:rPr>
                <w:sz w:val="19"/>
              </w:rPr>
              <w:t>GET: task status, screenshot, result</w:t>
            </w:r>
          </w:p>
        </w:tc>
        <w:tc>
          <w:tcPr>
            <w:tcW w:type="dxa" w:w="3024"/>
          </w:tcPr>
          <w:p>
            <w:pPr>
              <w:spacing w:before="60" w:after="60"/>
            </w:pPr>
            <w:r>
              <w:rPr>
                <w:color w:val="5F6B7A"/>
                <w:sz w:val="19"/>
              </w:rPr>
              <w:t>app/api/browser/status/route.ts</w:t>
            </w:r>
          </w:p>
        </w:tc>
      </w:tr>
      <w:tr>
        <w:tc>
          <w:tcPr>
            <w:tcW w:type="dxa" w:w="3024"/>
          </w:tcPr>
          <w:p>
            <w:pPr>
              <w:spacing w:before="60" w:after="60"/>
            </w:pPr>
            <w:r>
              <w:rPr>
                <w:sz w:val="19"/>
              </w:rPr>
              <w:t>BrowserTaskModal.tsx</w:t>
            </w:r>
          </w:p>
        </w:tc>
        <w:tc>
          <w:tcPr>
            <w:tcW w:type="dxa" w:w="3024"/>
          </w:tcPr>
          <w:p>
            <w:pPr>
              <w:spacing w:before="60" w:after="60"/>
            </w:pPr>
            <w:r>
              <w:rPr>
                <w:sz w:val="19"/>
              </w:rPr>
              <w:t>Screenshot preview + confirm/reject before any write action</w:t>
            </w:r>
          </w:p>
        </w:tc>
        <w:tc>
          <w:tcPr>
            <w:tcW w:type="dxa" w:w="3024"/>
          </w:tcPr>
          <w:p>
            <w:pPr>
              <w:spacing w:before="60" w:after="60"/>
            </w:pPr>
            <w:r>
              <w:rPr>
                <w:color w:val="5F6B7A"/>
                <w:sz w:val="19"/>
              </w:rPr>
              <w:t>components/browser/BrowserTaskModal.tsx</w:t>
            </w:r>
          </w:p>
        </w:tc>
      </w:tr>
      <w:tr>
        <w:tc>
          <w:tcPr>
            <w:tcW w:type="dxa" w:w="3024"/>
          </w:tcPr>
          <w:p>
            <w:pPr>
              <w:spacing w:before="60" w:after="60"/>
            </w:pPr>
            <w:r>
              <w:rPr>
                <w:sz w:val="19"/>
              </w:rPr>
              <w:t>005_browser_tasks.sql</w:t>
            </w:r>
          </w:p>
        </w:tc>
        <w:tc>
          <w:tcPr>
            <w:tcW w:type="dxa" w:w="3024"/>
          </w:tcPr>
          <w:p>
            <w:pPr>
              <w:spacing w:before="60" w:after="60"/>
            </w:pPr>
            <w:r>
              <w:rPr>
                <w:sz w:val="19"/>
              </w:rPr>
              <w:t>browser_tasks table. RLS enforced.</w:t>
            </w:r>
          </w:p>
        </w:tc>
        <w:tc>
          <w:tcPr>
            <w:tcW w:type="dxa" w:w="3024"/>
          </w:tcPr>
          <w:p>
            <w:pPr>
              <w:spacing w:before="60" w:after="60"/>
            </w:pPr>
            <w:r>
              <w:rPr>
                <w:color w:val="5F6B7A"/>
                <w:sz w:val="19"/>
              </w:rPr>
              <w:t>supabase/migrations/005_browser_tasks.sql</w:t>
            </w:r>
          </w:p>
        </w:tc>
      </w:tr>
    </w:tbl>
    <w:p>
      <w:pPr>
        <w:spacing w:after="40"/>
      </w:pPr>
    </w:p>
    <w:p>
      <w:pPr>
        <w:spacing w:before="280" w:after="80"/>
      </w:pPr>
      <w:r>
        <w:rPr>
          <w:b/>
          <w:color w:val="1A73E8"/>
          <w:sz w:val="26"/>
        </w:rPr>
        <w:t>Security Checklist</w:t>
      </w:r>
    </w:p>
    <w:p>
      <w:pPr>
        <w:pStyle w:val="ListBullet"/>
        <w:spacing w:after="60"/>
        <w:ind w:left="432"/>
      </w:pPr>
      <w:r>
        <w:rPr>
          <w:sz w:val="21"/>
        </w:rPr>
        <w:t>withAuth on all browser task routes.</w:t>
      </w:r>
    </w:p>
    <w:p>
      <w:pPr>
        <w:pStyle w:val="ListBullet"/>
        <w:spacing w:after="60"/>
        <w:ind w:left="432"/>
      </w:pPr>
      <w:r>
        <w:rPr>
          <w:sz w:val="21"/>
        </w:rPr>
        <w:t>Per-user rate limit: max 10 browser tasks per day.</w:t>
      </w:r>
    </w:p>
    <w:p>
      <w:pPr>
        <w:pStyle w:val="ListBullet"/>
        <w:spacing w:after="60"/>
        <w:ind w:left="432"/>
      </w:pPr>
      <w:r>
        <w:rPr>
          <w:sz w:val="21"/>
        </w:rPr>
        <w:t>Hard session limits enforced in Playwright runner, not just AI instructions.</w:t>
      </w:r>
    </w:p>
    <w:p>
      <w:pPr>
        <w:pStyle w:val="ListBullet"/>
        <w:spacing w:after="60"/>
        <w:ind w:left="432"/>
      </w:pPr>
      <w:r>
        <w:rPr>
          <w:sz w:val="21"/>
        </w:rPr>
        <w:t>sanitiseContent() on all page text before AI prompt.</w:t>
      </w:r>
    </w:p>
    <w:p>
      <w:pPr>
        <w:pStyle w:val="ListBullet"/>
        <w:spacing w:after="60"/>
        <w:ind w:left="432"/>
      </w:pPr>
      <w:r>
        <w:rPr>
          <w:sz w:val="21"/>
        </w:rPr>
        <w:t>Screenshot-before-action mandatory for all write operations — no bypass.</w:t>
      </w:r>
    </w:p>
    <w:p>
      <w:pPr>
        <w:pStyle w:val="ListBullet"/>
        <w:spacing w:after="60"/>
        <w:ind w:left="432"/>
      </w:pPr>
      <w:r>
        <w:rPr>
          <w:sz w:val="21"/>
        </w:rPr>
        <w:t>RLS on browser_tasks table.</w:t>
      </w:r>
    </w:p>
    <w:p>
      <w:pPr>
        <w:pStyle w:val="ListBullet"/>
        <w:spacing w:after="60"/>
        <w:ind w:left="432"/>
      </w:pPr>
      <w:r>
        <w:rPr>
          <w:sz w:val="21"/>
        </w:rPr>
        <w:t>Browser instances run in isolated network context with no access to internal services.</w:t>
      </w:r>
    </w:p>
    <w:p>
      <w:pPr>
        <w:spacing w:before="400" w:after="120"/>
        <w:pBdr>
          <w:bottom w:val="single" w:sz="6" w:space="4" w:color="1A73E8"/>
        </w:pBdr>
      </w:pPr>
      <w:r>
        <w:rPr>
          <w:b/>
          <w:color w:val="0D2B45"/>
          <w:sz w:val="40"/>
        </w:rPr>
        <w:t>5. Safe Shell &amp; Code Execution (Advanced)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EF0EE"/>
          </w:tcPr>
          <w:p>
            <w:pPr>
              <w:spacing w:before="60" w:after="60"/>
              <w:jc w:val="center"/>
            </w:pPr>
            <w:r>
              <w:rPr>
                <w:b/>
                <w:color w:val="C0392B"/>
                <w:sz w:val="18"/>
              </w:rPr>
              <w:t>ADVANCED</w:t>
            </w:r>
          </w:p>
        </w:tc>
        <w:tc>
          <w:tcPr>
            <w:tcW w:type="dxa" w:w="3024"/>
            <w:shd w:val="clear" w:color="auto" w:fill="FEF0EE"/>
          </w:tcPr>
          <w:p>
            <w:pPr>
              <w:spacing w:before="60" w:after="60"/>
              <w:jc w:val="center"/>
            </w:pPr>
            <w:r>
              <w:rPr>
                <w:b/>
                <w:color w:val="C0392B"/>
                <w:sz w:val="18"/>
              </w:rPr>
              <w:t>6–8 WEEKS</w:t>
            </w:r>
          </w:p>
        </w:tc>
        <w:tc>
          <w:tcPr>
            <w:tcW w:type="dxa" w:w="3024"/>
            <w:shd w:val="clear" w:color="auto" w:fill="FFF8EC"/>
          </w:tcPr>
          <w:p>
            <w:pPr>
              <w:spacing w:before="60" w:after="60"/>
              <w:jc w:val="center"/>
            </w:pPr>
            <w:r>
              <w:rPr>
                <w:b/>
                <w:color w:val="B86E00"/>
                <w:sz w:val="18"/>
              </w:rPr>
              <w:t>LOW PRIORITY — PHASE 3</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EF0EE"/>
          </w:tcPr>
          <w:p>
            <w:pPr>
              <w:spacing w:before="80" w:after="80"/>
              <w:ind w:left="120"/>
            </w:pPr>
            <w:r>
              <w:rPr>
                <w:b/>
                <w:color w:val="C0392B"/>
                <w:sz w:val="21"/>
              </w:rPr>
              <w:t xml:space="preserve">Why this is in scope at all:  </w:t>
            </w:r>
            <w:r>
              <w:rPr>
                <w:sz w:val="21"/>
              </w:rPr>
              <w:t>OpenClaw's unrestricted shell access is its biggest security failure. But there is a real user need: running a script to reformat a CSV, automating a one-off terminal task, or executing AI-generated code in a safe environment. The answer is not 'never' — it's a hardened execution sandbox with strict guardrails.</w:t>
            </w:r>
          </w:p>
        </w:tc>
      </w:tr>
    </w:tbl>
    <w:p>
      <w:pPr>
        <w:spacing w:after="40"/>
      </w:pPr>
    </w:p>
    <w:p>
      <w:pPr>
        <w:spacing w:before="280" w:after="80"/>
      </w:pPr>
      <w:r>
        <w:rPr>
          <w:b/>
          <w:color w:val="1A73E8"/>
          <w:sz w:val="26"/>
        </w:rPr>
        <w:t>The Problem with OpenClaw's Approach</w:t>
      </w:r>
    </w:p>
    <w:p>
      <w:pPr>
        <w:pStyle w:val="ListBullet"/>
        <w:spacing w:after="60"/>
        <w:ind w:left="432"/>
      </w:pPr>
      <w:r>
        <w:rPr>
          <w:color w:val="C0392B"/>
          <w:sz w:val="21"/>
        </w:rPr>
        <w:t>Full filesystem access from the AI shell — no sandbox.</w:t>
      </w:r>
    </w:p>
    <w:p>
      <w:pPr>
        <w:pStyle w:val="ListBullet"/>
        <w:spacing w:after="60"/>
        <w:ind w:left="432"/>
      </w:pPr>
      <w:r>
        <w:rPr>
          <w:color w:val="C0392B"/>
          <w:sz w:val="21"/>
        </w:rPr>
        <w:t>No confirmation step — actions execute immediately.</w:t>
      </w:r>
    </w:p>
    <w:p>
      <w:pPr>
        <w:pStyle w:val="ListBullet"/>
        <w:spacing w:after="60"/>
        <w:ind w:left="432"/>
      </w:pPr>
      <w:r>
        <w:rPr>
          <w:color w:val="C0392B"/>
          <w:sz w:val="21"/>
        </w:rPr>
        <w:t>Susceptible to prompt injection from email/calendar content.</w:t>
      </w:r>
    </w:p>
    <w:p>
      <w:pPr>
        <w:pStyle w:val="ListBullet"/>
        <w:spacing w:after="60"/>
        <w:ind w:left="432"/>
      </w:pPr>
      <w:r>
        <w:rPr>
          <w:color w:val="C0392B"/>
          <w:sz w:val="21"/>
        </w:rPr>
        <w:t>No audit trail. No rate limits. No kill switch.</w:t>
      </w:r>
    </w:p>
    <w:p>
      <w:pPr>
        <w:pStyle w:val="ListBullet"/>
        <w:spacing w:after="60"/>
        <w:ind w:left="432"/>
      </w:pPr>
      <w:r>
        <w:rPr>
          <w:color w:val="C0392B"/>
          <w:sz w:val="21"/>
        </w:rPr>
        <w:t>CrowdStrike flagged this as a 'lethal trifecta' of access + autonomy + no confirmation.</w:t>
      </w:r>
    </w:p>
    <w:p>
      <w:pPr>
        <w:spacing w:before="280" w:after="80"/>
      </w:pPr>
      <w:r>
        <w:rPr>
          <w:b/>
          <w:color w:val="1A73E8"/>
          <w:sz w:val="26"/>
        </w:rPr>
        <w:t>Our Approach: Isolated Execution Containers</w:t>
      </w:r>
    </w:p>
    <w:p>
      <w:pPr>
        <w:spacing w:after="100"/>
      </w:pPr>
      <w:r>
        <w:rPr>
          <w:sz w:val="21"/>
        </w:rPr>
        <w:t>Every execution request spins up a fresh, ephemeral Docker container with zero persistence, no network access (unless explicitly granted per-task), and a strict resource ceiling. The container is destroyed after the task completes or times out. The user sees a diff/output preview and must confirm before results are applied to any real file or system.</w:t>
      </w:r>
    </w:p>
    <w:p>
      <w:pPr>
        <w:spacing w:before="280" w:after="80"/>
      </w:pPr>
      <w:r>
        <w:rPr>
          <w:b/>
          <w:color w:val="1A73E8"/>
          <w:sz w:val="26"/>
        </w:rPr>
        <w:t>Security Architecture</w:t>
      </w:r>
    </w:p>
    <w:tbl>
      <w:tblPr>
        <w:tblStyle w:val="TableGrid"/>
        <w:tblW w:type="auto" w:w="0"/>
        <w:tblLook w:firstColumn="1" w:firstRow="1" w:lastColumn="0" w:lastRow="0" w:noHBand="0" w:noVBand="1" w:val="04A0"/>
      </w:tblPr>
      <w:tblGrid>
        <w:gridCol w:w="4536"/>
        <w:gridCol w:w="4536"/>
      </w:tblGrid>
      <w:tr>
        <w:tc>
          <w:tcPr>
            <w:tcW w:type="dxa" w:w="4536"/>
            <w:shd w:val="clear" w:color="auto" w:fill="0D2B45"/>
          </w:tcPr>
          <w:p>
            <w:pPr>
              <w:spacing w:before="60" w:after="60"/>
            </w:pPr>
            <w:r>
              <w:rPr>
                <w:b/>
                <w:color w:val="FFFFFF"/>
                <w:sz w:val="19"/>
              </w:rPr>
              <w:t>Control</w:t>
            </w:r>
          </w:p>
        </w:tc>
        <w:tc>
          <w:tcPr>
            <w:tcW w:type="dxa" w:w="4536"/>
            <w:shd w:val="clear" w:color="auto" w:fill="0D2B45"/>
          </w:tcPr>
          <w:p>
            <w:pPr>
              <w:spacing w:before="60" w:after="60"/>
            </w:pPr>
            <w:r>
              <w:rPr>
                <w:b/>
                <w:color w:val="FFFFFF"/>
                <w:sz w:val="19"/>
              </w:rPr>
              <w:t>Implementation</w:t>
            </w:r>
          </w:p>
        </w:tc>
      </w:tr>
      <w:tr>
        <w:tc>
          <w:tcPr>
            <w:tcW w:type="dxa" w:w="4536"/>
          </w:tcPr>
          <w:p>
            <w:pPr>
              <w:spacing w:before="60" w:after="60"/>
            </w:pPr>
            <w:r>
              <w:rPr>
                <w:b/>
                <w:sz w:val="19"/>
              </w:rPr>
              <w:t>Container isolation</w:t>
            </w:r>
          </w:p>
        </w:tc>
        <w:tc>
          <w:tcPr>
            <w:tcW w:type="dxa" w:w="4536"/>
          </w:tcPr>
          <w:p>
            <w:pPr>
              <w:spacing w:before="60" w:after="60"/>
            </w:pPr>
            <w:r>
              <w:rPr>
                <w:sz w:val="19"/>
              </w:rPr>
              <w:t>Each task runs in a fresh Docker container. No shared state between tasks or users.</w:t>
            </w:r>
          </w:p>
        </w:tc>
      </w:tr>
      <w:tr>
        <w:tc>
          <w:tcPr>
            <w:tcW w:type="dxa" w:w="4536"/>
          </w:tcPr>
          <w:p>
            <w:pPr>
              <w:spacing w:before="60" w:after="60"/>
            </w:pPr>
            <w:r>
              <w:rPr>
                <w:b/>
                <w:sz w:val="19"/>
              </w:rPr>
              <w:t>No persistent filesystem</w:t>
            </w:r>
          </w:p>
        </w:tc>
        <w:tc>
          <w:tcPr>
            <w:tcW w:type="dxa" w:w="4536"/>
          </w:tcPr>
          <w:p>
            <w:pPr>
              <w:spacing w:before="60" w:after="60"/>
            </w:pPr>
            <w:r>
              <w:rPr>
                <w:sz w:val="19"/>
              </w:rPr>
              <w:t>Container has read-only access to a sanitised copy of approved files only. Cannot write to host.</w:t>
            </w:r>
          </w:p>
        </w:tc>
      </w:tr>
      <w:tr>
        <w:tc>
          <w:tcPr>
            <w:tcW w:type="dxa" w:w="4536"/>
          </w:tcPr>
          <w:p>
            <w:pPr>
              <w:spacing w:before="60" w:after="60"/>
            </w:pPr>
            <w:r>
              <w:rPr>
                <w:b/>
                <w:sz w:val="19"/>
              </w:rPr>
              <w:t>Network isolation</w:t>
            </w:r>
          </w:p>
        </w:tc>
        <w:tc>
          <w:tcPr>
            <w:tcW w:type="dxa" w:w="4536"/>
          </w:tcPr>
          <w:p>
            <w:pPr>
              <w:spacing w:before="60" w:after="60"/>
            </w:pPr>
            <w:r>
              <w:rPr>
                <w:sz w:val="19"/>
              </w:rPr>
              <w:t>No network access by default. Explicit per-task allowlist (e.g. allow pip install from PyPI only).</w:t>
            </w:r>
          </w:p>
        </w:tc>
      </w:tr>
      <w:tr>
        <w:tc>
          <w:tcPr>
            <w:tcW w:type="dxa" w:w="4536"/>
          </w:tcPr>
          <w:p>
            <w:pPr>
              <w:spacing w:before="60" w:after="60"/>
            </w:pPr>
            <w:r>
              <w:rPr>
                <w:b/>
                <w:sz w:val="19"/>
              </w:rPr>
              <w:t>Resource ceiling</w:t>
            </w:r>
          </w:p>
        </w:tc>
        <w:tc>
          <w:tcPr>
            <w:tcW w:type="dxa" w:w="4536"/>
          </w:tcPr>
          <w:p>
            <w:pPr>
              <w:spacing w:before="60" w:after="60"/>
            </w:pPr>
            <w:r>
              <w:rPr>
                <w:sz w:val="19"/>
              </w:rPr>
              <w:t>CPU: 0.5 core max. Memory: 256MB max. Timeout: 60 seconds hard kill.</w:t>
            </w:r>
          </w:p>
        </w:tc>
      </w:tr>
      <w:tr>
        <w:tc>
          <w:tcPr>
            <w:tcW w:type="dxa" w:w="4536"/>
          </w:tcPr>
          <w:p>
            <w:pPr>
              <w:spacing w:before="60" w:after="60"/>
            </w:pPr>
            <w:r>
              <w:rPr>
                <w:b/>
                <w:sz w:val="19"/>
              </w:rPr>
              <w:t>Code review before exec</w:t>
            </w:r>
          </w:p>
        </w:tc>
        <w:tc>
          <w:tcPr>
            <w:tcW w:type="dxa" w:w="4536"/>
          </w:tcPr>
          <w:p>
            <w:pPr>
              <w:spacing w:before="60" w:after="60"/>
            </w:pPr>
            <w:r>
              <w:rPr>
                <w:sz w:val="19"/>
              </w:rPr>
              <w:t>AI generates code. User sees full code + simulated output before execution. Explicit confirm required.</w:t>
            </w:r>
          </w:p>
        </w:tc>
      </w:tr>
      <w:tr>
        <w:tc>
          <w:tcPr>
            <w:tcW w:type="dxa" w:w="4536"/>
          </w:tcPr>
          <w:p>
            <w:pPr>
              <w:spacing w:before="60" w:after="60"/>
            </w:pPr>
            <w:r>
              <w:rPr>
                <w:b/>
                <w:sz w:val="19"/>
              </w:rPr>
              <w:t>Output diff preview</w:t>
            </w:r>
          </w:p>
        </w:tc>
        <w:tc>
          <w:tcPr>
            <w:tcW w:type="dxa" w:w="4536"/>
          </w:tcPr>
          <w:p>
            <w:pPr>
              <w:spacing w:before="60" w:after="60"/>
            </w:pPr>
            <w:r>
              <w:rPr>
                <w:sz w:val="19"/>
              </w:rPr>
              <w:t>If task produces file changes, user sees a diff before any write is committed.</w:t>
            </w:r>
          </w:p>
        </w:tc>
      </w:tr>
      <w:tr>
        <w:tc>
          <w:tcPr>
            <w:tcW w:type="dxa" w:w="4536"/>
          </w:tcPr>
          <w:p>
            <w:pPr>
              <w:spacing w:before="60" w:after="60"/>
            </w:pPr>
            <w:r>
              <w:rPr>
                <w:b/>
                <w:sz w:val="19"/>
              </w:rPr>
              <w:t>Prompt injection defence</w:t>
            </w:r>
          </w:p>
        </w:tc>
        <w:tc>
          <w:tcPr>
            <w:tcW w:type="dxa" w:w="4536"/>
          </w:tcPr>
          <w:p>
            <w:pPr>
              <w:spacing w:before="60" w:after="60"/>
            </w:pPr>
            <w:r>
              <w:rPr>
                <w:sz w:val="19"/>
              </w:rPr>
              <w:t>All code generated by AI from ingested content is flagged. User must re-confirm if source is external.</w:t>
            </w:r>
          </w:p>
        </w:tc>
      </w:tr>
      <w:tr>
        <w:tc>
          <w:tcPr>
            <w:tcW w:type="dxa" w:w="4536"/>
          </w:tcPr>
          <w:p>
            <w:pPr>
              <w:spacing w:before="60" w:after="60"/>
            </w:pPr>
            <w:r>
              <w:rPr>
                <w:b/>
                <w:sz w:val="19"/>
              </w:rPr>
              <w:t>Audit log</w:t>
            </w:r>
          </w:p>
        </w:tc>
        <w:tc>
          <w:tcPr>
            <w:tcW w:type="dxa" w:w="4536"/>
          </w:tcPr>
          <w:p>
            <w:pPr>
              <w:spacing w:before="60" w:after="60"/>
            </w:pPr>
            <w:r>
              <w:rPr>
                <w:sz w:val="19"/>
              </w:rPr>
              <w:t>Every execution logged with user ID, task description, generated code, output, and confirmation timestamp.</w:t>
            </w:r>
          </w:p>
        </w:tc>
      </w:tr>
      <w:tr>
        <w:tc>
          <w:tcPr>
            <w:tcW w:type="dxa" w:w="4536"/>
          </w:tcPr>
          <w:p>
            <w:pPr>
              <w:spacing w:before="60" w:after="60"/>
            </w:pPr>
            <w:r>
              <w:rPr>
                <w:b/>
                <w:sz w:val="19"/>
              </w:rPr>
              <w:t>Kill switch</w:t>
            </w:r>
          </w:p>
        </w:tc>
        <w:tc>
          <w:tcPr>
            <w:tcW w:type="dxa" w:w="4536"/>
          </w:tcPr>
          <w:p>
            <w:pPr>
              <w:spacing w:before="60" w:after="60"/>
            </w:pPr>
            <w:r>
              <w:rPr>
                <w:sz w:val="19"/>
              </w:rPr>
              <w:t>User can disable sandbox execution entirely from security settings. Off by default for all accounts.</w:t>
            </w:r>
          </w:p>
        </w:tc>
      </w:tr>
      <w:tr>
        <w:tc>
          <w:tcPr>
            <w:tcW w:type="dxa" w:w="4536"/>
          </w:tcPr>
          <w:p>
            <w:pPr>
              <w:spacing w:before="60" w:after="60"/>
            </w:pPr>
            <w:r>
              <w:rPr>
                <w:b/>
                <w:sz w:val="19"/>
              </w:rPr>
              <w:t>Allowlist of operations</w:t>
            </w:r>
          </w:p>
        </w:tc>
        <w:tc>
          <w:tcPr>
            <w:tcW w:type="dxa" w:w="4536"/>
          </w:tcPr>
          <w:p>
            <w:pPr>
              <w:spacing w:before="60" w:after="60"/>
            </w:pPr>
            <w:r>
              <w:rPr>
                <w:sz w:val="19"/>
              </w:rPr>
              <w:t>No OS-level commands that modify system state (rm -rf, sudo, crontab, etc.) — hard-blocked in container entrypoint.</w:t>
            </w:r>
          </w:p>
        </w:tc>
      </w:tr>
    </w:tbl>
    <w:p/>
    <w:p>
      <w:pPr>
        <w:spacing w:before="280" w:after="80"/>
      </w:pPr>
      <w:r>
        <w:rPr>
          <w:b/>
          <w:color w:val="1A73E8"/>
          <w:sz w:val="26"/>
        </w:rPr>
        <w:t>New Files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2B45"/>
          </w:tcPr>
          <w:p>
            <w:pPr>
              <w:spacing w:before="60" w:after="60"/>
            </w:pPr>
            <w:r>
              <w:rPr>
                <w:b/>
                <w:color w:val="FFFFFF"/>
                <w:sz w:val="19"/>
              </w:rPr>
              <w:t>Deliverable</w:t>
            </w:r>
          </w:p>
        </w:tc>
        <w:tc>
          <w:tcPr>
            <w:tcW w:type="dxa" w:w="3024"/>
            <w:shd w:val="clear" w:color="auto" w:fill="0D2B45"/>
          </w:tcPr>
          <w:p>
            <w:pPr>
              <w:spacing w:before="60" w:after="60"/>
            </w:pPr>
            <w:r>
              <w:rPr>
                <w:b/>
                <w:color w:val="FFFFFF"/>
                <w:sz w:val="19"/>
              </w:rPr>
              <w:t>Description</w:t>
            </w:r>
          </w:p>
        </w:tc>
        <w:tc>
          <w:tcPr>
            <w:tcW w:type="dxa" w:w="3024"/>
            <w:shd w:val="clear" w:color="auto" w:fill="0D2B45"/>
          </w:tcPr>
          <w:p>
            <w:pPr>
              <w:spacing w:before="60" w:after="60"/>
            </w:pPr>
            <w:r>
              <w:rPr>
                <w:b/>
                <w:color w:val="FFFFFF"/>
                <w:sz w:val="19"/>
              </w:rPr>
              <w:t>File / Location</w:t>
            </w:r>
          </w:p>
        </w:tc>
      </w:tr>
      <w:tr>
        <w:tc>
          <w:tcPr>
            <w:tcW w:type="dxa" w:w="3024"/>
          </w:tcPr>
          <w:p>
            <w:pPr>
              <w:spacing w:before="60" w:after="60"/>
            </w:pPr>
            <w:r>
              <w:rPr>
                <w:sz w:val="19"/>
              </w:rPr>
              <w:t>sandbox-runner.ts</w:t>
            </w:r>
          </w:p>
        </w:tc>
        <w:tc>
          <w:tcPr>
            <w:tcW w:type="dxa" w:w="3024"/>
          </w:tcPr>
          <w:p>
            <w:pPr>
              <w:spacing w:before="60" w:after="60"/>
            </w:pPr>
            <w:r>
              <w:rPr>
                <w:sz w:val="19"/>
              </w:rPr>
              <w:t>Trigger.dev job — spins up Docker container, executes, returns output</w:t>
            </w:r>
          </w:p>
        </w:tc>
        <w:tc>
          <w:tcPr>
            <w:tcW w:type="dxa" w:w="3024"/>
          </w:tcPr>
          <w:p>
            <w:pPr>
              <w:spacing w:before="60" w:after="60"/>
            </w:pPr>
            <w:r>
              <w:rPr>
                <w:color w:val="5F6B7A"/>
                <w:sz w:val="19"/>
              </w:rPr>
              <w:t>trigger/sandbox/sandbox-runner.ts</w:t>
            </w:r>
          </w:p>
        </w:tc>
      </w:tr>
      <w:tr>
        <w:tc>
          <w:tcPr>
            <w:tcW w:type="dxa" w:w="3024"/>
          </w:tcPr>
          <w:p>
            <w:pPr>
              <w:spacing w:before="60" w:after="60"/>
            </w:pPr>
            <w:r>
              <w:rPr>
                <w:sz w:val="19"/>
              </w:rPr>
              <w:t>code-gen.ts</w:t>
            </w:r>
          </w:p>
        </w:tc>
        <w:tc>
          <w:tcPr>
            <w:tcW w:type="dxa" w:w="3024"/>
          </w:tcPr>
          <w:p>
            <w:pPr>
              <w:spacing w:before="60" w:after="60"/>
            </w:pPr>
            <w:r>
              <w:rPr>
                <w:sz w:val="19"/>
              </w:rPr>
              <w:t>AI agent for code generation (sonnet — accuracy critical here)</w:t>
            </w:r>
          </w:p>
        </w:tc>
        <w:tc>
          <w:tcPr>
            <w:tcW w:type="dxa" w:w="3024"/>
          </w:tcPr>
          <w:p>
            <w:pPr>
              <w:spacing w:before="60" w:after="60"/>
            </w:pPr>
            <w:r>
              <w:rPr>
                <w:color w:val="5F6B7A"/>
                <w:sz w:val="19"/>
              </w:rPr>
              <w:t>lib/ai/agents/code-gen.ts</w:t>
            </w:r>
          </w:p>
        </w:tc>
      </w:tr>
      <w:tr>
        <w:tc>
          <w:tcPr>
            <w:tcW w:type="dxa" w:w="3024"/>
          </w:tcPr>
          <w:p>
            <w:pPr>
              <w:spacing w:before="60" w:after="60"/>
            </w:pPr>
            <w:r>
              <w:rPr>
                <w:sz w:val="19"/>
              </w:rPr>
              <w:t>sandbox/route.ts</w:t>
            </w:r>
          </w:p>
        </w:tc>
        <w:tc>
          <w:tcPr>
            <w:tcW w:type="dxa" w:w="3024"/>
          </w:tcPr>
          <w:p>
            <w:pPr>
              <w:spacing w:before="60" w:after="60"/>
            </w:pPr>
            <w:r>
              <w:rPr>
                <w:sz w:val="19"/>
              </w:rPr>
              <w:t>POST: submit task for sandbox execution</w:t>
            </w:r>
          </w:p>
        </w:tc>
        <w:tc>
          <w:tcPr>
            <w:tcW w:type="dxa" w:w="3024"/>
          </w:tcPr>
          <w:p>
            <w:pPr>
              <w:spacing w:before="60" w:after="60"/>
            </w:pPr>
            <w:r>
              <w:rPr>
                <w:color w:val="5F6B7A"/>
                <w:sz w:val="19"/>
              </w:rPr>
              <w:t>app/api/sandbox/route.ts</w:t>
            </w:r>
          </w:p>
        </w:tc>
      </w:tr>
      <w:tr>
        <w:tc>
          <w:tcPr>
            <w:tcW w:type="dxa" w:w="3024"/>
          </w:tcPr>
          <w:p>
            <w:pPr>
              <w:spacing w:before="60" w:after="60"/>
            </w:pPr>
            <w:r>
              <w:rPr>
                <w:sz w:val="19"/>
              </w:rPr>
              <w:t>sandbox/confirm/route.ts</w:t>
            </w:r>
          </w:p>
        </w:tc>
        <w:tc>
          <w:tcPr>
            <w:tcW w:type="dxa" w:w="3024"/>
          </w:tcPr>
          <w:p>
            <w:pPr>
              <w:spacing w:before="60" w:after="60"/>
            </w:pPr>
            <w:r>
              <w:rPr>
                <w:sz w:val="19"/>
              </w:rPr>
              <w:t>POST: user confirms execution after reviewing code + preview</w:t>
            </w:r>
          </w:p>
        </w:tc>
        <w:tc>
          <w:tcPr>
            <w:tcW w:type="dxa" w:w="3024"/>
          </w:tcPr>
          <w:p>
            <w:pPr>
              <w:spacing w:before="60" w:after="60"/>
            </w:pPr>
            <w:r>
              <w:rPr>
                <w:color w:val="5F6B7A"/>
                <w:sz w:val="19"/>
              </w:rPr>
              <w:t>app/api/sandbox/confirm/route.ts</w:t>
            </w:r>
          </w:p>
        </w:tc>
      </w:tr>
      <w:tr>
        <w:tc>
          <w:tcPr>
            <w:tcW w:type="dxa" w:w="3024"/>
          </w:tcPr>
          <w:p>
            <w:pPr>
              <w:spacing w:before="60" w:after="60"/>
            </w:pPr>
            <w:r>
              <w:rPr>
                <w:sz w:val="19"/>
              </w:rPr>
              <w:t>SandboxPreviewModal.tsx</w:t>
            </w:r>
          </w:p>
        </w:tc>
        <w:tc>
          <w:tcPr>
            <w:tcW w:type="dxa" w:w="3024"/>
          </w:tcPr>
          <w:p>
            <w:pPr>
              <w:spacing w:before="60" w:after="60"/>
            </w:pPr>
            <w:r>
              <w:rPr>
                <w:sz w:val="19"/>
              </w:rPr>
              <w:t>Shows generated code, simulated output, diff. Confirm/reject buttons.</w:t>
            </w:r>
          </w:p>
        </w:tc>
        <w:tc>
          <w:tcPr>
            <w:tcW w:type="dxa" w:w="3024"/>
          </w:tcPr>
          <w:p>
            <w:pPr>
              <w:spacing w:before="60" w:after="60"/>
            </w:pPr>
            <w:r>
              <w:rPr>
                <w:color w:val="5F6B7A"/>
                <w:sz w:val="19"/>
              </w:rPr>
              <w:t>components/sandbox/SandboxPreviewModal.tsx</w:t>
            </w:r>
          </w:p>
        </w:tc>
      </w:tr>
      <w:tr>
        <w:tc>
          <w:tcPr>
            <w:tcW w:type="dxa" w:w="3024"/>
          </w:tcPr>
          <w:p>
            <w:pPr>
              <w:spacing w:before="60" w:after="60"/>
            </w:pPr>
            <w:r>
              <w:rPr>
                <w:sz w:val="19"/>
              </w:rPr>
              <w:t>006_sandbox_tasks.sql</w:t>
            </w:r>
          </w:p>
        </w:tc>
        <w:tc>
          <w:tcPr>
            <w:tcW w:type="dxa" w:w="3024"/>
          </w:tcPr>
          <w:p>
            <w:pPr>
              <w:spacing w:before="60" w:after="60"/>
            </w:pPr>
            <w:r>
              <w:rPr>
                <w:sz w:val="19"/>
              </w:rPr>
              <w:t>sandbox_tasks + sandbox_audit_log tables. RLS enforced.</w:t>
            </w:r>
          </w:p>
        </w:tc>
        <w:tc>
          <w:tcPr>
            <w:tcW w:type="dxa" w:w="3024"/>
          </w:tcPr>
          <w:p>
            <w:pPr>
              <w:spacing w:before="60" w:after="60"/>
            </w:pPr>
            <w:r>
              <w:rPr>
                <w:color w:val="5F6B7A"/>
                <w:sz w:val="19"/>
              </w:rPr>
              <w:t>supabase/migrations/006_sandbox_tasks.sql</w:t>
            </w:r>
          </w:p>
        </w:tc>
      </w:tr>
      <w:tr>
        <w:tc>
          <w:tcPr>
            <w:tcW w:type="dxa" w:w="3024"/>
          </w:tcPr>
          <w:p>
            <w:pPr>
              <w:spacing w:before="60" w:after="60"/>
            </w:pPr>
            <w:r>
              <w:rPr>
                <w:sz w:val="19"/>
              </w:rPr>
              <w:t>sandbox.ts</w:t>
            </w:r>
          </w:p>
        </w:tc>
        <w:tc>
          <w:tcPr>
            <w:tcW w:type="dxa" w:w="3024"/>
          </w:tcPr>
          <w:p>
            <w:pPr>
              <w:spacing w:before="60" w:after="60"/>
            </w:pPr>
            <w:r>
              <w:rPr>
                <w:sz w:val="19"/>
              </w:rPr>
              <w:t>Security settings: enable/disable sandbox per account</w:t>
            </w:r>
          </w:p>
        </w:tc>
        <w:tc>
          <w:tcPr>
            <w:tcW w:type="dxa" w:w="3024"/>
          </w:tcPr>
          <w:p>
            <w:pPr>
              <w:spacing w:before="60" w:after="60"/>
            </w:pPr>
            <w:r>
              <w:rPr>
                <w:color w:val="5F6B7A"/>
                <w:sz w:val="19"/>
              </w:rPr>
              <w:t>lib/db/queries/sandbox.ts</w:t>
            </w:r>
          </w:p>
        </w:tc>
      </w:tr>
    </w:tbl>
    <w:p>
      <w:pPr>
        <w:spacing w:after="40"/>
      </w:pPr>
    </w:p>
    <w:tbl>
      <w:tblPr>
        <w:tblStyle w:val="TableGrid"/>
        <w:tblW w:type="auto" w:w="0"/>
        <w:tblLook w:firstColumn="1" w:firstRow="1" w:lastColumn="0" w:lastRow="0" w:noHBand="0" w:noVBand="1" w:val="04A0"/>
      </w:tblPr>
      <w:tblGrid>
        <w:gridCol w:w="9072"/>
      </w:tblGrid>
      <w:tr>
        <w:tc>
          <w:tcPr>
            <w:tcW w:type="dxa" w:w="9072"/>
            <w:shd w:val="clear" w:color="auto" w:fill="E8F0FE"/>
          </w:tcPr>
          <w:p>
            <w:pPr>
              <w:spacing w:before="80" w:after="80"/>
              <w:ind w:left="120"/>
            </w:pPr>
            <w:r>
              <w:rPr>
                <w:b/>
                <w:color w:val="1A73E8"/>
                <w:sz w:val="21"/>
              </w:rPr>
              <w:t xml:space="preserve">Model rule exception:  </w:t>
            </w:r>
            <w:r>
              <w:rPr>
                <w:sz w:val="21"/>
              </w:rPr>
              <w:t>Code generation uses claude-sonnet-4-6 (not haiku). Accuracy of generated code directly affects what executes in the sandbox — this is not a place to optimise for cost over correctness.</w:t>
            </w:r>
          </w:p>
        </w:tc>
      </w:tr>
    </w:tbl>
    <w:p>
      <w:pPr>
        <w:spacing w:after="40"/>
      </w:pPr>
    </w:p>
    <w:p>
      <w:pPr>
        <w:spacing w:before="400" w:after="120"/>
        <w:pBdr>
          <w:bottom w:val="single" w:sz="6" w:space="4" w:color="1A73E8"/>
        </w:pBdr>
      </w:pPr>
      <w:r>
        <w:rPr>
          <w:b/>
          <w:color w:val="0D2B45"/>
          <w:sz w:val="40"/>
        </w:rPr>
        <w:t>6. Recommended Delivery Sequence</w:t>
      </w:r>
    </w:p>
    <w:p>
      <w:pPr>
        <w:spacing w:after="100"/>
      </w:pPr>
      <w:r>
        <w:rPr>
          <w:sz w:val="21"/>
        </w:rPr>
        <w:t>These features should be sequenced to deliver user value quickly while building security infrastructure incrementally. All features require the standard Chief of Staff security baseline (RLS, withAuth, sanitiseContent, source_ref) to be in place before shipping.</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D2B45"/>
          </w:tcPr>
          <w:p>
            <w:pPr>
              <w:spacing w:before="60" w:after="60"/>
            </w:pPr>
            <w:r>
              <w:rPr>
                <w:b/>
                <w:color w:val="FFFFFF"/>
                <w:sz w:val="19"/>
              </w:rPr>
              <w:t>Phase</w:t>
            </w:r>
          </w:p>
        </w:tc>
        <w:tc>
          <w:tcPr>
            <w:tcW w:type="dxa" w:w="2268"/>
            <w:shd w:val="clear" w:color="auto" w:fill="0D2B45"/>
          </w:tcPr>
          <w:p>
            <w:pPr>
              <w:spacing w:before="60" w:after="60"/>
            </w:pPr>
            <w:r>
              <w:rPr>
                <w:b/>
                <w:color w:val="FFFFFF"/>
                <w:sz w:val="19"/>
              </w:rPr>
              <w:t>Feature</w:t>
            </w:r>
          </w:p>
        </w:tc>
        <w:tc>
          <w:tcPr>
            <w:tcW w:type="dxa" w:w="2268"/>
            <w:shd w:val="clear" w:color="auto" w:fill="0D2B45"/>
          </w:tcPr>
          <w:p>
            <w:pPr>
              <w:spacing w:before="60" w:after="60"/>
            </w:pPr>
            <w:r>
              <w:rPr>
                <w:b/>
                <w:color w:val="FFFFFF"/>
                <w:sz w:val="19"/>
              </w:rPr>
              <w:t>Effort</w:t>
            </w:r>
          </w:p>
        </w:tc>
        <w:tc>
          <w:tcPr>
            <w:tcW w:type="dxa" w:w="2268"/>
            <w:shd w:val="clear" w:color="auto" w:fill="0D2B45"/>
          </w:tcPr>
          <w:p>
            <w:pPr>
              <w:spacing w:before="60" w:after="60"/>
            </w:pPr>
            <w:r>
              <w:rPr>
                <w:b/>
                <w:color w:val="FFFFFF"/>
                <w:sz w:val="19"/>
              </w:rPr>
              <w:t>Rationale</w:t>
            </w:r>
          </w:p>
        </w:tc>
      </w:tr>
      <w:tr>
        <w:tc>
          <w:tcPr>
            <w:tcW w:type="dxa" w:w="2268"/>
            <w:shd w:val="clear" w:color="auto" w:fill="F0FAF4"/>
          </w:tcPr>
          <w:p>
            <w:pPr>
              <w:spacing w:before="60" w:after="60"/>
            </w:pPr>
            <w:r>
              <w:rPr>
                <w:b/>
                <w:sz w:val="19"/>
              </w:rPr>
              <w:t>Phase 1</w:t>
            </w:r>
          </w:p>
        </w:tc>
        <w:tc>
          <w:tcPr>
            <w:tcW w:type="dxa" w:w="2268"/>
            <w:shd w:val="clear" w:color="auto" w:fill="F0FAF4"/>
          </w:tcPr>
          <w:p>
            <w:pPr>
              <w:spacing w:before="60" w:after="60"/>
            </w:pPr>
            <w:r>
              <w:rPr>
                <w:b/>
                <w:sz w:val="19"/>
              </w:rPr>
              <w:t>Integration Marketplace</w:t>
            </w:r>
          </w:p>
        </w:tc>
        <w:tc>
          <w:tcPr>
            <w:tcW w:type="dxa" w:w="2268"/>
            <w:shd w:val="clear" w:color="auto" w:fill="F0FAF4"/>
          </w:tcPr>
          <w:p>
            <w:pPr>
              <w:spacing w:before="60" w:after="60"/>
            </w:pPr>
            <w:r>
              <w:rPr>
                <w:sz w:val="19"/>
              </w:rPr>
              <w:t>1–2 weeks</w:t>
            </w:r>
          </w:p>
        </w:tc>
        <w:tc>
          <w:tcPr>
            <w:tcW w:type="dxa" w:w="2268"/>
            <w:shd w:val="clear" w:color="auto" w:fill="F0FAF4"/>
          </w:tcPr>
          <w:p>
            <w:pPr>
              <w:spacing w:before="60" w:after="60"/>
            </w:pPr>
            <w:r>
              <w:rPr>
                <w:sz w:val="19"/>
              </w:rPr>
              <w:t>Immediate user value. Pure UI on existing infrastructure. No new security surface.</w:t>
            </w:r>
          </w:p>
        </w:tc>
      </w:tr>
      <w:tr>
        <w:tc>
          <w:tcPr>
            <w:tcW w:type="dxa" w:w="2268"/>
            <w:shd w:val="clear" w:color="auto" w:fill="F0FAF4"/>
          </w:tcPr>
          <w:p>
            <w:pPr>
              <w:spacing w:before="60" w:after="60"/>
            </w:pPr>
            <w:r>
              <w:rPr>
                <w:b/>
                <w:sz w:val="19"/>
              </w:rPr>
              <w:t>Phase 1</w:t>
            </w:r>
          </w:p>
        </w:tc>
        <w:tc>
          <w:tcPr>
            <w:tcW w:type="dxa" w:w="2268"/>
            <w:shd w:val="clear" w:color="auto" w:fill="F0FAF4"/>
          </w:tcPr>
          <w:p>
            <w:pPr>
              <w:spacing w:before="60" w:after="60"/>
            </w:pPr>
            <w:r>
              <w:rPr>
                <w:b/>
                <w:sz w:val="19"/>
              </w:rPr>
              <w:t>Social Media Automation</w:t>
            </w:r>
          </w:p>
        </w:tc>
        <w:tc>
          <w:tcPr>
            <w:tcW w:type="dxa" w:w="2268"/>
            <w:shd w:val="clear" w:color="auto" w:fill="F0FAF4"/>
          </w:tcPr>
          <w:p>
            <w:pPr>
              <w:spacing w:before="60" w:after="60"/>
            </w:pPr>
            <w:r>
              <w:rPr>
                <w:sz w:val="19"/>
              </w:rPr>
              <w:t>2–3 weeks</w:t>
            </w:r>
          </w:p>
        </w:tc>
        <w:tc>
          <w:tcPr>
            <w:tcW w:type="dxa" w:w="2268"/>
            <w:shd w:val="clear" w:color="auto" w:fill="F0FAF4"/>
          </w:tcPr>
          <w:p>
            <w:pPr>
              <w:spacing w:before="60" w:after="60"/>
            </w:pPr>
            <w:r>
              <w:rPr>
                <w:sz w:val="19"/>
              </w:rPr>
              <w:t>High demand signal from OpenClaw research. Nango integration follows established patterns.</w:t>
            </w:r>
          </w:p>
        </w:tc>
      </w:tr>
      <w:tr>
        <w:tc>
          <w:tcPr>
            <w:tcW w:type="dxa" w:w="2268"/>
            <w:shd w:val="clear" w:color="auto" w:fill="FFF8EC"/>
          </w:tcPr>
          <w:p>
            <w:pPr>
              <w:spacing w:before="60" w:after="60"/>
            </w:pPr>
            <w:r>
              <w:rPr>
                <w:b/>
                <w:sz w:val="19"/>
              </w:rPr>
              <w:t>Phase 2</w:t>
            </w:r>
          </w:p>
        </w:tc>
        <w:tc>
          <w:tcPr>
            <w:tcW w:type="dxa" w:w="2268"/>
            <w:shd w:val="clear" w:color="auto" w:fill="FFF8EC"/>
          </w:tcPr>
          <w:p>
            <w:pPr>
              <w:spacing w:before="60" w:after="60"/>
            </w:pPr>
            <w:r>
              <w:rPr>
                <w:b/>
                <w:sz w:val="19"/>
              </w:rPr>
              <w:t>Local File System Access</w:t>
            </w:r>
          </w:p>
        </w:tc>
        <w:tc>
          <w:tcPr>
            <w:tcW w:type="dxa" w:w="2268"/>
            <w:shd w:val="clear" w:color="auto" w:fill="FFF8EC"/>
          </w:tcPr>
          <w:p>
            <w:pPr>
              <w:spacing w:before="60" w:after="60"/>
            </w:pPr>
            <w:r>
              <w:rPr>
                <w:sz w:val="19"/>
              </w:rPr>
              <w:t>4–6 weeks</w:t>
            </w:r>
          </w:p>
        </w:tc>
        <w:tc>
          <w:tcPr>
            <w:tcW w:type="dxa" w:w="2268"/>
            <w:shd w:val="clear" w:color="auto" w:fill="FFF8EC"/>
          </w:tcPr>
          <w:p>
            <w:pPr>
              <w:spacing w:before="60" w:after="60"/>
            </w:pPr>
            <w:r>
              <w:rPr>
                <w:sz w:val="19"/>
              </w:rPr>
              <w:t>Requires desktop agent build and code signing pipeline. Start after Phase 1 is stable.</w:t>
            </w:r>
          </w:p>
        </w:tc>
      </w:tr>
      <w:tr>
        <w:tc>
          <w:tcPr>
            <w:tcW w:type="dxa" w:w="2268"/>
            <w:shd w:val="clear" w:color="auto" w:fill="FFF8EC"/>
          </w:tcPr>
          <w:p>
            <w:pPr>
              <w:spacing w:before="60" w:after="60"/>
            </w:pPr>
            <w:r>
              <w:rPr>
                <w:b/>
                <w:sz w:val="19"/>
              </w:rPr>
              <w:t>Phase 2</w:t>
            </w:r>
          </w:p>
        </w:tc>
        <w:tc>
          <w:tcPr>
            <w:tcW w:type="dxa" w:w="2268"/>
            <w:shd w:val="clear" w:color="auto" w:fill="FFF8EC"/>
          </w:tcPr>
          <w:p>
            <w:pPr>
              <w:spacing w:before="60" w:after="60"/>
            </w:pPr>
            <w:r>
              <w:rPr>
                <w:b/>
                <w:sz w:val="19"/>
              </w:rPr>
              <w:t>Browser Automation</w:t>
            </w:r>
          </w:p>
        </w:tc>
        <w:tc>
          <w:tcPr>
            <w:tcW w:type="dxa" w:w="2268"/>
            <w:shd w:val="clear" w:color="auto" w:fill="FFF8EC"/>
          </w:tcPr>
          <w:p>
            <w:pPr>
              <w:spacing w:before="60" w:after="60"/>
            </w:pPr>
            <w:r>
              <w:rPr>
                <w:sz w:val="19"/>
              </w:rPr>
              <w:t>4–6 weeks</w:t>
            </w:r>
          </w:p>
        </w:tc>
        <w:tc>
          <w:tcPr>
            <w:tcW w:type="dxa" w:w="2268"/>
            <w:shd w:val="clear" w:color="auto" w:fill="FFF8EC"/>
          </w:tcPr>
          <w:p>
            <w:pPr>
              <w:spacing w:before="60" w:after="60"/>
            </w:pPr>
            <w:r>
              <w:rPr>
                <w:sz w:val="19"/>
              </w:rPr>
              <w:t>Can run in parallel with file access. Browserless.io reduces infra overhead.</w:t>
            </w:r>
          </w:p>
        </w:tc>
      </w:tr>
      <w:tr>
        <w:tc>
          <w:tcPr>
            <w:tcW w:type="dxa" w:w="2268"/>
            <w:shd w:val="clear" w:color="auto" w:fill="FEF0EE"/>
          </w:tcPr>
          <w:p>
            <w:pPr>
              <w:spacing w:before="60" w:after="60"/>
            </w:pPr>
            <w:r>
              <w:rPr>
                <w:b/>
                <w:sz w:val="19"/>
              </w:rPr>
              <w:t>Phase 3</w:t>
            </w:r>
          </w:p>
        </w:tc>
        <w:tc>
          <w:tcPr>
            <w:tcW w:type="dxa" w:w="2268"/>
            <w:shd w:val="clear" w:color="auto" w:fill="FEF0EE"/>
          </w:tcPr>
          <w:p>
            <w:pPr>
              <w:spacing w:before="60" w:after="60"/>
            </w:pPr>
            <w:r>
              <w:rPr>
                <w:b/>
                <w:sz w:val="19"/>
              </w:rPr>
              <w:t>Safe Shell/Code Execution</w:t>
            </w:r>
          </w:p>
        </w:tc>
        <w:tc>
          <w:tcPr>
            <w:tcW w:type="dxa" w:w="2268"/>
            <w:shd w:val="clear" w:color="auto" w:fill="FEF0EE"/>
          </w:tcPr>
          <w:p>
            <w:pPr>
              <w:spacing w:before="60" w:after="60"/>
            </w:pPr>
            <w:r>
              <w:rPr>
                <w:sz w:val="19"/>
              </w:rPr>
              <w:t>6–8 weeks</w:t>
            </w:r>
          </w:p>
        </w:tc>
        <w:tc>
          <w:tcPr>
            <w:tcW w:type="dxa" w:w="2268"/>
            <w:shd w:val="clear" w:color="auto" w:fill="FEF0EE"/>
          </w:tcPr>
          <w:p>
            <w:pPr>
              <w:spacing w:before="60" w:after="60"/>
            </w:pPr>
            <w:r>
              <w:rPr>
                <w:sz w:val="19"/>
              </w:rPr>
              <w:t>Lowest user demand. Highest security investment. Only after sandbox architecture is proven.</w:t>
            </w:r>
          </w:p>
        </w:tc>
      </w:tr>
    </w:tbl>
    <w:p/>
    <w:tbl>
      <w:tblPr>
        <w:tblStyle w:val="TableGrid"/>
        <w:tblW w:type="auto" w:w="0"/>
        <w:tblLook w:firstColumn="1" w:firstRow="1" w:lastColumn="0" w:lastRow="0" w:noHBand="0" w:noVBand="1" w:val="04A0"/>
      </w:tblPr>
      <w:tblGrid>
        <w:gridCol w:w="9072"/>
      </w:tblGrid>
      <w:tr>
        <w:tc>
          <w:tcPr>
            <w:tcW w:type="dxa" w:w="9072"/>
            <w:shd w:val="clear" w:color="auto" w:fill="FEF0EE"/>
          </w:tcPr>
          <w:p>
            <w:pPr>
              <w:spacing w:before="80" w:after="80"/>
              <w:ind w:left="120"/>
            </w:pPr>
            <w:r>
              <w:rPr>
                <w:b/>
                <w:color w:val="C0392B"/>
                <w:sz w:val="21"/>
              </w:rPr>
              <w:t xml:space="preserve">Absolute rule across all features:  </w:t>
            </w:r>
            <w:r>
              <w:rPr>
                <w:sz w:val="21"/>
              </w:rPr>
              <w:t>No feature ships without: (1) RLS on every new table, (2) withAuth on every new route, (3) sanitiseContent() on all ingested content, (4) source_ref on all AI-generated claims, and (5) mandatory ConfirmActionModal before any write action. These are non-negotiable.</w:t>
            </w:r>
          </w:p>
        </w:tc>
      </w:tr>
    </w:tbl>
    <w:p>
      <w:pPr>
        <w:spacing w:after="40"/>
      </w:pP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