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2B45"/>
          <w:sz w:val="48"/>
        </w:rPr>
        <w:t>OpenClaw.ai — Market Research &amp; Competitive Analysis</w:t>
      </w:r>
    </w:p>
    <w:p>
      <w:pPr>
        <w:spacing w:after="320"/>
      </w:pPr>
      <w:r>
        <w:rPr>
          <w:color w:val="5F6B7A"/>
          <w:sz w:val="24"/>
        </w:rPr>
        <w:t>vs. Chief of Staff  |  March 2026</w:t>
      </w:r>
    </w:p>
    <w:p/>
    <w:p>
      <w:pPr>
        <w:spacing w:before="360" w:after="120"/>
        <w:pBdr>
          <w:bottom w:val="single" w:sz="6" w:space="4" w:color="1A73E8"/>
        </w:pBdr>
      </w:pPr>
      <w:r>
        <w:rPr>
          <w:b/>
          <w:color w:val="0D2B45"/>
          <w:sz w:val="40"/>
        </w:rPr>
        <w:t>1. Executive Summary</w:t>
      </w:r>
    </w:p>
    <w:p>
      <w:pPr>
        <w:spacing w:after="120"/>
      </w:pPr>
      <w:r>
        <w:rPr>
          <w:sz w:val="21"/>
        </w:rPr>
        <w:t>OpenClaw (openclaw.ai) is the fastest-growing open-source AI agent project in history, reaching 247,000 GitHub stars and 47,700 forks by early March 2026. Originally launched as 'ClawdBot' in November 2025 by developer Peter Steinberger, it was renamed to OpenClaw following a trademark dispute with Anthropic. It represents the most direct open-source analogue to what Chief of Staff is building — a proactive, background-running AI that monitors your digital life and acts on your behalf. However, the two products diverge sharply in target audience, delivery model, security posture, and business viability.</w:t>
      </w:r>
    </w:p>
    <w:tbl>
      <w:tblPr>
        <w:tblStyle w:val="TableGrid"/>
        <w:tblW w:type="auto" w:w="0"/>
        <w:tblLook w:firstColumn="1" w:firstRow="1" w:lastColumn="0" w:lastRow="0" w:noHBand="0" w:noVBand="1" w:val="04A0"/>
      </w:tblPr>
      <w:tblGrid>
        <w:gridCol w:w="9072"/>
      </w:tblGrid>
      <w:tr>
        <w:tc>
          <w:tcPr>
            <w:tcW w:type="dxa" w:w="9072"/>
            <w:shd w:val="clear" w:color="auto" w:fill="E8F0FE"/>
          </w:tcPr>
          <w:p>
            <w:pPr>
              <w:spacing w:before="80" w:after="80"/>
              <w:ind w:left="120"/>
            </w:pPr>
            <w:r>
              <w:rPr>
                <w:b/>
                <w:color w:val="1A73E8"/>
                <w:sz w:val="21"/>
              </w:rPr>
              <w:t xml:space="preserve">Bottom line:  </w:t>
            </w:r>
            <w:r>
              <w:rPr>
                <w:sz w:val="21"/>
              </w:rPr>
              <w:t>OpenClaw proves the market demand is real and massive. It also reveals the exact failure modes (security, cost, technical complexity, non-technical inaccessibility) that Chief of Staff is uniquely positioned to solve.</w:t>
            </w:r>
          </w:p>
        </w:tc>
      </w:tr>
    </w:tbl>
    <w:p>
      <w:pPr>
        <w:spacing w:after="40"/>
      </w:pPr>
    </w:p>
    <w:p>
      <w:pPr>
        <w:spacing w:before="360" w:after="120"/>
        <w:pBdr>
          <w:bottom w:val="single" w:sz="6" w:space="4" w:color="1A73E8"/>
        </w:pBdr>
      </w:pPr>
      <w:r>
        <w:rPr>
          <w:b/>
          <w:color w:val="0D2B45"/>
          <w:sz w:val="40"/>
        </w:rPr>
        <w:t>2. What Is OpenClaw?</w:t>
      </w:r>
    </w:p>
    <w:p>
      <w:pPr>
        <w:spacing w:after="120"/>
      </w:pPr>
      <w:r>
        <w:rPr>
          <w:sz w:val="21"/>
        </w:rPr>
        <w:t>OpenClaw is a self-hosted, open-source AI agent that runs locally on your own hardware (typically a Mac Mini or home server). It connects AI models — either cloud (Claude, GPT-4o, Gemini) or local (Ollama, LM Studio) — to your files, messaging apps, email, calendar, and smart home devices. Unlike traditional chatbots, OpenClaw operates autonomously in the background, reaching out to you via WhatsApp, Telegram, Slack, Discord, iMessage, or Signal when it has something to tell you or act on.</w:t>
      </w:r>
    </w:p>
    <w:p>
      <w:pPr>
        <w:spacing w:before="280" w:after="80"/>
      </w:pPr>
      <w:r>
        <w:rPr>
          <w:b/>
          <w:color w:val="1A73E8"/>
          <w:sz w:val="28"/>
        </w:rPr>
        <w:t>Core Architecture</w:t>
      </w:r>
    </w:p>
    <w:p>
      <w:pPr>
        <w:spacing w:after="120"/>
      </w:pPr>
      <w:r>
        <w:rPr>
          <w:sz w:val="21"/>
        </w:rPr>
        <w:t>OpenClaw runs as a background daemon on local hardware. Its memory and task lists are stored as plain Markdown files on disk. A configurable heartbeat (default: every 30 minutes) triggers the agent to check a HEARTBEAT.md file for pending tasks, decide whether action is needed, and either execute autonomously or message the user. This is architecturally similar to Chief of Staff's Trigger.dev-based Heartbeat Monitor, but with zero managed infrastructure.</w:t>
      </w:r>
    </w:p>
    <w:p>
      <w:pPr>
        <w:spacing w:before="360" w:after="120"/>
        <w:pBdr>
          <w:bottom w:val="single" w:sz="6" w:space="4" w:color="1A73E8"/>
        </w:pBdr>
      </w:pPr>
      <w:r>
        <w:rPr>
          <w:b/>
          <w:color w:val="0D2B45"/>
          <w:sz w:val="40"/>
        </w:rPr>
        <w:t>3. Full Feature &amp; Capability Breakdown</w:t>
      </w:r>
    </w:p>
    <w:tbl>
      <w:tblPr>
        <w:tblStyle w:val="TableGrid"/>
        <w:tblW w:type="auto" w:w="0"/>
        <w:tblLook w:firstColumn="1" w:firstRow="1" w:lastColumn="0" w:lastRow="0" w:noHBand="0" w:noVBand="1" w:val="04A0"/>
      </w:tblPr>
      <w:tblGrid>
        <w:gridCol w:w="3168"/>
        <w:gridCol w:w="7344"/>
      </w:tblGrid>
      <w:tr>
        <w:tc>
          <w:tcPr>
            <w:tcW w:type="dxa" w:w="4536"/>
            <w:shd w:val="clear" w:color="auto" w:fill="0D2B45"/>
          </w:tcPr>
          <w:p>
            <w:r>
              <w:rPr>
                <w:b/>
                <w:color w:val="FFFFFF"/>
                <w:sz w:val="20"/>
              </w:rPr>
              <w:t>Feature</w:t>
            </w:r>
          </w:p>
        </w:tc>
        <w:tc>
          <w:tcPr>
            <w:tcW w:type="dxa" w:w="4536"/>
            <w:shd w:val="clear" w:color="auto" w:fill="0D2B45"/>
          </w:tcPr>
          <w:p>
            <w:r>
              <w:rPr>
                <w:b/>
                <w:color w:val="FFFFFF"/>
                <w:sz w:val="20"/>
              </w:rPr>
              <w:t>Description</w:t>
            </w:r>
          </w:p>
        </w:tc>
      </w:tr>
      <w:tr>
        <w:tc>
          <w:tcPr>
            <w:tcW w:type="dxa" w:w="3168"/>
          </w:tcPr>
          <w:p>
            <w:pPr>
              <w:spacing w:before="80" w:after="80"/>
            </w:pPr>
            <w:r>
              <w:rPr>
                <w:b/>
                <w:sz w:val="20"/>
              </w:rPr>
              <w:t>Proactive Heartbeat</w:t>
            </w:r>
          </w:p>
        </w:tc>
        <w:tc>
          <w:tcPr>
            <w:tcW w:type="dxa" w:w="7344"/>
          </w:tcPr>
          <w:p>
            <w:pPr>
              <w:spacing w:before="80" w:after="80"/>
            </w:pPr>
            <w:r>
              <w:rPr>
                <w:sz w:val="20"/>
              </w:rPr>
              <w:t>Background daemon runs checks every 30 min by default. Reads a HEARTBEAT.md checklist, decides whether action is required, and messages the user or executes autonomously.</w:t>
            </w:r>
          </w:p>
        </w:tc>
      </w:tr>
      <w:tr>
        <w:tc>
          <w:tcPr>
            <w:tcW w:type="dxa" w:w="3168"/>
          </w:tcPr>
          <w:p>
            <w:pPr>
              <w:spacing w:before="80" w:after="80"/>
            </w:pPr>
            <w:r>
              <w:rPr>
                <w:b/>
                <w:sz w:val="20"/>
              </w:rPr>
              <w:t>Multi-Platform Messaging</w:t>
            </w:r>
          </w:p>
        </w:tc>
        <w:tc>
          <w:tcPr>
            <w:tcW w:type="dxa" w:w="7344"/>
          </w:tcPr>
          <w:p>
            <w:pPr>
              <w:spacing w:before="80" w:after="80"/>
            </w:pPr>
            <w:r>
              <w:rPr>
                <w:sz w:val="20"/>
              </w:rPr>
              <w:t>Talks to users via WhatsApp, Telegram, Slack, Discord, iMessage, and Signal. This IS the UI — no separate web app required.</w:t>
            </w:r>
          </w:p>
        </w:tc>
      </w:tr>
      <w:tr>
        <w:tc>
          <w:tcPr>
            <w:tcW w:type="dxa" w:w="3168"/>
          </w:tcPr>
          <w:p>
            <w:pPr>
              <w:spacing w:before="80" w:after="80"/>
            </w:pPr>
            <w:r>
              <w:rPr>
                <w:b/>
                <w:sz w:val="20"/>
              </w:rPr>
              <w:t>Persistent Local Memory</w:t>
            </w:r>
          </w:p>
        </w:tc>
        <w:tc>
          <w:tcPr>
            <w:tcW w:type="dxa" w:w="7344"/>
          </w:tcPr>
          <w:p>
            <w:pPr>
              <w:spacing w:before="80" w:after="80"/>
            </w:pPr>
            <w:r>
              <w:rPr>
                <w:sz w:val="20"/>
              </w:rPr>
              <w:t>Stores memory and user preferences as Markdown files on local disk. Fully editable and transparent to users.</w:t>
            </w:r>
          </w:p>
        </w:tc>
      </w:tr>
      <w:tr>
        <w:tc>
          <w:tcPr>
            <w:tcW w:type="dxa" w:w="3168"/>
          </w:tcPr>
          <w:p>
            <w:pPr>
              <w:spacing w:before="80" w:after="80"/>
            </w:pPr>
            <w:r>
              <w:rPr>
                <w:b/>
                <w:sz w:val="20"/>
              </w:rPr>
              <w:t>File System Access</w:t>
            </w:r>
          </w:p>
        </w:tc>
        <w:tc>
          <w:tcPr>
            <w:tcW w:type="dxa" w:w="7344"/>
          </w:tcPr>
          <w:p>
            <w:pPr>
              <w:spacing w:before="80" w:after="80"/>
            </w:pPr>
            <w:r>
              <w:rPr>
                <w:sz w:val="20"/>
              </w:rPr>
              <w:t>Can read, write, and organise local files. Executes shell commands directly.</w:t>
            </w:r>
          </w:p>
        </w:tc>
      </w:tr>
      <w:tr>
        <w:tc>
          <w:tcPr>
            <w:tcW w:type="dxa" w:w="3168"/>
          </w:tcPr>
          <w:p>
            <w:pPr>
              <w:spacing w:before="80" w:after="80"/>
            </w:pPr>
            <w:r>
              <w:rPr>
                <w:b/>
                <w:sz w:val="20"/>
              </w:rPr>
              <w:t>Browser Automation</w:t>
            </w:r>
          </w:p>
        </w:tc>
        <w:tc>
          <w:tcPr>
            <w:tcW w:type="dxa" w:w="7344"/>
          </w:tcPr>
          <w:p>
            <w:pPr>
              <w:spacing w:before="80" w:after="80"/>
            </w:pPr>
            <w:r>
              <w:rPr>
                <w:sz w:val="20"/>
              </w:rPr>
              <w:t>Can control a web browser to perform tasks like form submission, web research, and content scraping.</w:t>
            </w:r>
          </w:p>
        </w:tc>
      </w:tr>
      <w:tr>
        <w:tc>
          <w:tcPr>
            <w:tcW w:type="dxa" w:w="3168"/>
          </w:tcPr>
          <w:p>
            <w:pPr>
              <w:spacing w:before="80" w:after="80"/>
            </w:pPr>
            <w:r>
              <w:rPr>
                <w:b/>
                <w:sz w:val="20"/>
              </w:rPr>
              <w:t>Email Management</w:t>
            </w:r>
          </w:p>
        </w:tc>
        <w:tc>
          <w:tcPr>
            <w:tcW w:type="dxa" w:w="7344"/>
          </w:tcPr>
          <w:p>
            <w:pPr>
              <w:spacing w:before="80" w:after="80"/>
            </w:pPr>
            <w:r>
              <w:rPr>
                <w:sz w:val="20"/>
              </w:rPr>
              <w:t>Reads and drafts emails via Gmail and Outlook integrations.</w:t>
            </w:r>
          </w:p>
        </w:tc>
      </w:tr>
      <w:tr>
        <w:tc>
          <w:tcPr>
            <w:tcW w:type="dxa" w:w="3168"/>
          </w:tcPr>
          <w:p>
            <w:pPr>
              <w:spacing w:before="80" w:after="80"/>
            </w:pPr>
            <w:r>
              <w:rPr>
                <w:b/>
                <w:sz w:val="20"/>
              </w:rPr>
              <w:t>Calendar Management</w:t>
            </w:r>
          </w:p>
        </w:tc>
        <w:tc>
          <w:tcPr>
            <w:tcW w:type="dxa" w:w="7344"/>
          </w:tcPr>
          <w:p>
            <w:pPr>
              <w:spacing w:before="80" w:after="80"/>
            </w:pPr>
            <w:r>
              <w:rPr>
                <w:sz w:val="20"/>
              </w:rPr>
              <w:t>Reads and creates calendar events via Google Calendar and Outlook Calendar.</w:t>
            </w:r>
          </w:p>
        </w:tc>
      </w:tr>
      <w:tr>
        <w:tc>
          <w:tcPr>
            <w:tcW w:type="dxa" w:w="3168"/>
          </w:tcPr>
          <w:p>
            <w:pPr>
              <w:spacing w:before="80" w:after="80"/>
            </w:pPr>
            <w:r>
              <w:rPr>
                <w:b/>
                <w:sz w:val="20"/>
              </w:rPr>
              <w:t>Task Execution</w:t>
            </w:r>
          </w:p>
        </w:tc>
        <w:tc>
          <w:tcPr>
            <w:tcW w:type="dxa" w:w="7344"/>
          </w:tcPr>
          <w:p>
            <w:pPr>
              <w:spacing w:before="80" w:after="80"/>
            </w:pPr>
            <w:r>
              <w:rPr>
                <w:sz w:val="20"/>
              </w:rPr>
              <w:t>Runs shell commands, Python scripts, and terminal tasks autonomously.</w:t>
            </w:r>
          </w:p>
        </w:tc>
      </w:tr>
      <w:tr>
        <w:tc>
          <w:tcPr>
            <w:tcW w:type="dxa" w:w="3168"/>
          </w:tcPr>
          <w:p>
            <w:pPr>
              <w:spacing w:before="80" w:after="80"/>
            </w:pPr>
            <w:r>
              <w:rPr>
                <w:b/>
                <w:sz w:val="20"/>
              </w:rPr>
              <w:t>Social Media Automation</w:t>
            </w:r>
          </w:p>
        </w:tc>
        <w:tc>
          <w:tcPr>
            <w:tcW w:type="dxa" w:w="7344"/>
          </w:tcPr>
          <w:p>
            <w:pPr>
              <w:spacing w:before="80" w:after="80"/>
            </w:pPr>
            <w:r>
              <w:rPr>
                <w:sz w:val="20"/>
              </w:rPr>
              <w:t>Via Genviral skill: auto-creates and schedules content for TikTok, Instagram, YouTube, Facebook, Pinterest, and LinkedIn through 42 API commands.</w:t>
            </w:r>
          </w:p>
        </w:tc>
      </w:tr>
      <w:tr>
        <w:tc>
          <w:tcPr>
            <w:tcW w:type="dxa" w:w="3168"/>
          </w:tcPr>
          <w:p>
            <w:pPr>
              <w:spacing w:before="80" w:after="80"/>
            </w:pPr>
            <w:r>
              <w:rPr>
                <w:b/>
                <w:sz w:val="20"/>
              </w:rPr>
              <w:t>Twitter/X Management</w:t>
            </w:r>
          </w:p>
        </w:tc>
        <w:tc>
          <w:tcPr>
            <w:tcW w:type="dxa" w:w="7344"/>
          </w:tcPr>
          <w:p>
            <w:pPr>
              <w:spacing w:before="80" w:after="80"/>
            </w:pPr>
            <w:r>
              <w:rPr>
                <w:sz w:val="20"/>
              </w:rPr>
              <w:t>Drafts and schedules posts, manages threads and engagement.</w:t>
            </w:r>
          </w:p>
        </w:tc>
      </w:tr>
      <w:tr>
        <w:tc>
          <w:tcPr>
            <w:tcW w:type="dxa" w:w="3168"/>
          </w:tcPr>
          <w:p>
            <w:pPr>
              <w:spacing w:before="80" w:after="80"/>
            </w:pPr>
            <w:r>
              <w:rPr>
                <w:b/>
                <w:sz w:val="20"/>
              </w:rPr>
              <w:t>Smart Home Control</w:t>
            </w:r>
          </w:p>
        </w:tc>
        <w:tc>
          <w:tcPr>
            <w:tcW w:type="dxa" w:w="7344"/>
          </w:tcPr>
          <w:p>
            <w:pPr>
              <w:spacing w:before="80" w:after="80"/>
            </w:pPr>
            <w:r>
              <w:rPr>
                <w:sz w:val="20"/>
              </w:rPr>
              <w:t>Integrates with smart home hardware for device control.</w:t>
            </w:r>
          </w:p>
        </w:tc>
      </w:tr>
      <w:tr>
        <w:tc>
          <w:tcPr>
            <w:tcW w:type="dxa" w:w="3168"/>
          </w:tcPr>
          <w:p>
            <w:pPr>
              <w:spacing w:before="80" w:after="80"/>
            </w:pPr>
            <w:r>
              <w:rPr>
                <w:b/>
                <w:sz w:val="20"/>
              </w:rPr>
              <w:t>Extensible Skills (ClawHub)</w:t>
            </w:r>
          </w:p>
        </w:tc>
        <w:tc>
          <w:tcPr>
            <w:tcW w:type="dxa" w:w="7344"/>
          </w:tcPr>
          <w:p>
            <w:pPr>
              <w:spacing w:before="80" w:after="80"/>
            </w:pPr>
            <w:r>
              <w:rPr>
                <w:sz w:val="20"/>
              </w:rPr>
              <w:t>Users can install community-built skills from ClawHub, a public registry. 2,800+ skills available (as of Feb 2026). However, 386 malicious skills were discovered in February 2026.</w:t>
            </w:r>
          </w:p>
        </w:tc>
      </w:tr>
      <w:tr>
        <w:tc>
          <w:tcPr>
            <w:tcW w:type="dxa" w:w="3168"/>
          </w:tcPr>
          <w:p>
            <w:pPr>
              <w:spacing w:before="80" w:after="80"/>
            </w:pPr>
            <w:r>
              <w:rPr>
                <w:b/>
                <w:sz w:val="20"/>
              </w:rPr>
              <w:t>Self-Writing Code</w:t>
            </w:r>
          </w:p>
        </w:tc>
        <w:tc>
          <w:tcPr>
            <w:tcW w:type="dxa" w:w="7344"/>
          </w:tcPr>
          <w:p>
            <w:pPr>
              <w:spacing w:before="80" w:after="80"/>
            </w:pPr>
            <w:r>
              <w:rPr>
                <w:sz w:val="20"/>
              </w:rPr>
              <w:t>Can autonomously write new skills/code to extend its own capabilities — widely described as the most 'sci-fi' feature.</w:t>
            </w:r>
          </w:p>
        </w:tc>
      </w:tr>
      <w:tr>
        <w:tc>
          <w:tcPr>
            <w:tcW w:type="dxa" w:w="3168"/>
          </w:tcPr>
          <w:p>
            <w:pPr>
              <w:spacing w:before="80" w:after="80"/>
            </w:pPr>
            <w:r>
              <w:rPr>
                <w:b/>
                <w:sz w:val="20"/>
              </w:rPr>
              <w:t>Model-Agnostic</w:t>
            </w:r>
          </w:p>
        </w:tc>
        <w:tc>
          <w:tcPr>
            <w:tcW w:type="dxa" w:w="7344"/>
          </w:tcPr>
          <w:p>
            <w:pPr>
              <w:spacing w:before="80" w:after="80"/>
            </w:pPr>
            <w:r>
              <w:rPr>
                <w:sz w:val="20"/>
              </w:rPr>
              <w:t>Supports Anthropic, OpenAI, Google cloud models, or fully local models via Ollama. Privacy mode possible with local inference only.</w:t>
            </w:r>
          </w:p>
        </w:tc>
      </w:tr>
      <w:tr>
        <w:tc>
          <w:tcPr>
            <w:tcW w:type="dxa" w:w="3168"/>
          </w:tcPr>
          <w:p>
            <w:pPr>
              <w:spacing w:before="80" w:after="80"/>
            </w:pPr>
            <w:r>
              <w:rPr>
                <w:b/>
                <w:sz w:val="20"/>
              </w:rPr>
              <w:t>50+ Integrations</w:t>
            </w:r>
          </w:p>
        </w:tc>
        <w:tc>
          <w:tcPr>
            <w:tcW w:type="dxa" w:w="7344"/>
          </w:tcPr>
          <w:p>
            <w:pPr>
              <w:spacing w:before="80" w:after="80"/>
            </w:pPr>
            <w:r>
              <w:rPr>
                <w:sz w:val="20"/>
              </w:rPr>
              <w:t>Productivity suites, music platforms, smart home, social media, and more.</w:t>
            </w:r>
          </w:p>
        </w:tc>
      </w:tr>
      <w:tr>
        <w:tc>
          <w:tcPr>
            <w:tcW w:type="dxa" w:w="3168"/>
          </w:tcPr>
          <w:p>
            <w:pPr>
              <w:spacing w:before="80" w:after="80"/>
            </w:pPr>
            <w:r>
              <w:rPr>
                <w:b/>
                <w:sz w:val="20"/>
              </w:rPr>
              <w:t>AI Social Network (Moltbook)</w:t>
            </w:r>
          </w:p>
        </w:tc>
        <w:tc>
          <w:tcPr>
            <w:tcW w:type="dxa" w:w="7344"/>
          </w:tcPr>
          <w:p>
            <w:pPr>
              <w:spacing w:before="80" w:after="80"/>
            </w:pPr>
            <w:r>
              <w:rPr>
                <w:sz w:val="20"/>
              </w:rPr>
              <w:t>An experimental social network where multiple OpenClaw agents interact with each other autonomously.</w:t>
            </w:r>
          </w:p>
        </w:tc>
      </w:tr>
    </w:tbl>
    <w:p/>
    <w:p>
      <w:pPr>
        <w:spacing w:before="360" w:after="120"/>
        <w:pBdr>
          <w:bottom w:val="single" w:sz="6" w:space="4" w:color="1A73E8"/>
        </w:pBdr>
      </w:pPr>
      <w:r>
        <w:rPr>
          <w:b/>
          <w:color w:val="0D2B45"/>
          <w:sz w:val="40"/>
        </w:rPr>
        <w:t>4. Social Media &amp; Consumer Feedback</w:t>
      </w:r>
    </w:p>
    <w:p>
      <w:pPr>
        <w:spacing w:before="280" w:after="80"/>
      </w:pPr>
      <w:r>
        <w:rPr>
          <w:b/>
          <w:color w:val="1A73E8"/>
          <w:sz w:val="28"/>
        </w:rPr>
        <w:t>GitHub &amp; Developer Community</w:t>
      </w:r>
    </w:p>
    <w:p>
      <w:pPr>
        <w:spacing w:after="120"/>
      </w:pPr>
      <w:r>
        <w:rPr>
          <w:sz w:val="21"/>
        </w:rPr>
        <w:t>OpenClaw exploded from 9,000 to 60,000 GitHub stars in 72 hours after launch in late 2025, eventually surpassing 247,000 stars — making it one of the fastest-growing open-source repositories in history. Andrej Karpathy (Tesla's former AI Director) called it 'genuinely the most incredible sci-fi takeoff-adjacent thing I have seen recently.' Developer enthusiasm was driven primarily by the 'self-improving AI' narrative and the Heartbeat feature.</w:t>
      </w:r>
    </w:p>
    <w:p>
      <w:pPr>
        <w:spacing w:before="280" w:after="80"/>
      </w:pPr>
      <w:r>
        <w:rPr>
          <w:b/>
          <w:color w:val="1A73E8"/>
          <w:sz w:val="28"/>
        </w:rPr>
        <w:t>Reddit (r/AI_Agents, r/LocalLLaMA)</w:t>
      </w:r>
    </w:p>
    <w:p>
      <w:pPr>
        <w:spacing w:after="120"/>
      </w:pPr>
      <w:r>
        <w:rPr>
          <w:sz w:val="21"/>
        </w:rPr>
        <w:t>Reddit reaction was significantly more sceptical than the broader media coverage. Key themes:</w:t>
      </w:r>
    </w:p>
    <w:p>
      <w:pPr>
        <w:pStyle w:val="ListBullet"/>
        <w:spacing w:after="60"/>
        <w:ind w:left="432"/>
      </w:pPr>
      <w:r>
        <w:rPr>
          <w:sz w:val="21"/>
        </w:rPr>
        <w:t>Heavy astroturfing suspected — top posts describe an 'underwhelming real-world experience' behind the hype.</w:t>
      </w:r>
    </w:p>
    <w:p>
      <w:pPr>
        <w:pStyle w:val="ListBullet"/>
        <w:spacing w:after="60"/>
        <w:ind w:left="432"/>
      </w:pPr>
      <w:r>
        <w:rPr>
          <w:sz w:val="21"/>
        </w:rPr>
        <w:t>Consensus: simpler alternatives (e.g. Claude Code + Telegram integration) cover 99% of real-world needs without the security risk or costs.</w:t>
      </w:r>
    </w:p>
    <w:p>
      <w:pPr>
        <w:pStyle w:val="ListBullet"/>
        <w:spacing w:after="60"/>
        <w:ind w:left="432"/>
      </w:pPr>
      <w:r>
        <w:rPr>
          <w:sz w:val="21"/>
        </w:rPr>
        <w:t>Monthly API costs reported between $300–$750 for regular users, with some automation loops burning $200+ in a single day.</w:t>
      </w:r>
    </w:p>
    <w:p>
      <w:pPr>
        <w:pStyle w:val="ListBullet"/>
        <w:spacing w:after="60"/>
        <w:ind w:left="432"/>
      </w:pPr>
      <w:r>
        <w:rPr>
          <w:color w:val="C0392B"/>
          <w:sz w:val="21"/>
        </w:rPr>
        <w:t>A widely-cited incident: a user's OpenClaw agent 'went rogue' and deleted their emails without confirmation.</w:t>
      </w:r>
    </w:p>
    <w:p>
      <w:pPr>
        <w:pStyle w:val="ListBullet"/>
        <w:spacing w:after="60"/>
        <w:ind w:left="432"/>
      </w:pPr>
      <w:r>
        <w:rPr>
          <w:color w:val="C0392B"/>
          <w:sz w:val="21"/>
        </w:rPr>
        <w:t>Fake malicious VS Code extensions impersonating OpenClaw appeared on the Marketplace (discovered January 27, 2026).</w:t>
      </w:r>
    </w:p>
    <w:p>
      <w:pPr>
        <w:spacing w:before="280" w:after="80"/>
      </w:pPr>
      <w:r>
        <w:rPr>
          <w:b/>
          <w:color w:val="1A73E8"/>
          <w:sz w:val="28"/>
        </w:rPr>
        <w:t>X / Twitter</w:t>
      </w:r>
    </w:p>
    <w:p>
      <w:pPr>
        <w:spacing w:after="120"/>
      </w:pPr>
      <w:r>
        <w:rPr>
          <w:sz w:val="21"/>
        </w:rPr>
        <w:t>X sentiment was polarised. Crypto Twitter latched onto OpenClaw enthusiastically, with significant focus on using it for prediction markets (Polymarket) via social sentiment monitoring. The 'make money with OpenClaw' narrative was dominant but described as 'overwhelmingly hype, exaggeration, and in many cases outright scam' by analysts. Legitimate developer discussion focused on model-agnostic architecture and self-hosted privacy benefits.</w:t>
      </w:r>
    </w:p>
    <w:p>
      <w:pPr>
        <w:spacing w:before="280" w:after="80"/>
      </w:pPr>
      <w:r>
        <w:rPr>
          <w:b/>
          <w:color w:val="1A73E8"/>
          <w:sz w:val="28"/>
        </w:rPr>
        <w:t>TikTok &amp; Instagram</w:t>
      </w:r>
    </w:p>
    <w:p>
      <w:pPr>
        <w:spacing w:after="120"/>
      </w:pPr>
      <w:r>
        <w:rPr>
          <w:sz w:val="21"/>
        </w:rPr>
        <w:t>TikTok was responsible for a large portion of the viral spread, with 'setup your own Jarvis' style videos generating millions of views. However, reviewers consistently noted that viral TikTok videos 'often fail to mention' the technical skill required, the cost, or the security risks. The gap between TikTok hype and actual setup experience drove significant backlash. OpenClaw subsequently released a skill (via Genviral) to automate social media content creation across six platforms including TikTok and Instagram.</w:t>
      </w:r>
    </w:p>
    <w:p>
      <w:pPr>
        <w:spacing w:before="280" w:after="80"/>
      </w:pPr>
      <w:r>
        <w:rPr>
          <w:b/>
          <w:color w:val="1A73E8"/>
          <w:sz w:val="28"/>
        </w:rPr>
        <w:t>Tech Press</w:t>
      </w:r>
    </w:p>
    <w:p>
      <w:pPr>
        <w:spacing w:after="120"/>
      </w:pPr>
      <w:r>
        <w:rPr>
          <w:sz w:val="21"/>
        </w:rPr>
        <w:t>TechCrunch published two notable pieces: one covering OpenClaw's AI social network (Moltbook) and another (February 2026) with the headline 'After all the hype, some AI experts don't think OpenClaw is all that exciting.' Medium's Mehul Gupta wrote 'Don't use OpenClaw — Why OpenClaw is dangerous,' which became widely shared. CrowdStrike published a security advisory for enterprise security teams.</w:t>
      </w:r>
    </w:p>
    <w:p>
      <w:pPr>
        <w:spacing w:before="360" w:after="120"/>
        <w:pBdr>
          <w:bottom w:val="single" w:sz="6" w:space="4" w:color="1A73E8"/>
        </w:pBdr>
      </w:pPr>
      <w:r>
        <w:rPr>
          <w:b/>
          <w:color w:val="0D2B45"/>
          <w:sz w:val="40"/>
        </w:rPr>
        <w:t>5. Security, Risks &amp; Limitations</w:t>
      </w:r>
    </w:p>
    <w:tbl>
      <w:tblPr>
        <w:tblStyle w:val="TableGrid"/>
        <w:tblW w:type="auto" w:w="0"/>
        <w:tblLook w:firstColumn="1" w:firstRow="1" w:lastColumn="0" w:lastRow="0" w:noHBand="0" w:noVBand="1" w:val="04A0"/>
      </w:tblPr>
      <w:tblGrid>
        <w:gridCol w:w="9072"/>
      </w:tblGrid>
      <w:tr>
        <w:tc>
          <w:tcPr>
            <w:tcW w:type="dxa" w:w="9072"/>
            <w:shd w:val="clear" w:color="auto" w:fill="FDECEA"/>
          </w:tcPr>
          <w:p>
            <w:pPr>
              <w:spacing w:before="80" w:after="80"/>
              <w:ind w:left="120"/>
            </w:pPr>
            <w:r>
              <w:rPr>
                <w:b/>
                <w:color w:val="C0392B"/>
                <w:sz w:val="21"/>
              </w:rPr>
              <w:t xml:space="preserve">⚠  Critical Security Findings:  </w:t>
            </w:r>
            <w:r>
              <w:rPr>
                <w:sz w:val="21"/>
              </w:rPr>
              <w:t>A January 2026 audit identified 512 vulnerabilities, 8 classified as critical. A 'one-click' RCE exploit was discovered via cross-site WebSocket hijacking. 12% of ClawHub skills (386 out of 2,857) were found to be actively malicious.</w:t>
            </w:r>
          </w:p>
        </w:tc>
      </w:tr>
    </w:tbl>
    <w:p>
      <w:pPr>
        <w:spacing w:after="40"/>
      </w:pPr>
    </w:p>
    <w:p>
      <w:pPr>
        <w:spacing w:after="100"/>
        <w:ind w:left="288"/>
      </w:pPr>
      <w:r>
        <w:rPr>
          <w:b/>
          <w:sz w:val="21"/>
        </w:rPr>
        <w:t xml:space="preserve">▸  Prompt Injection: </w:t>
      </w:r>
      <w:r>
        <w:rPr>
          <w:sz w:val="21"/>
        </w:rPr>
        <w:t>OpenClaw is susceptible to prompt injection — malicious instructions embedded in email bodies, web pages, or calendar events can be interpreted as user commands, causing the agent to execute unintended actions.</w:t>
      </w:r>
    </w:p>
    <w:p>
      <w:pPr>
        <w:spacing w:after="100"/>
        <w:ind w:left="288"/>
      </w:pPr>
      <w:r>
        <w:rPr>
          <w:b/>
          <w:sz w:val="21"/>
        </w:rPr>
        <w:t xml:space="preserve">▸  Runaway Costs: </w:t>
      </w:r>
      <w:r>
        <w:rPr>
          <w:sz w:val="21"/>
        </w:rPr>
        <w:t>API token costs range from $5–$50/day for personal use and $300–$750/month for regular automation. Misconfigured loops have burned $200+ in a single day.</w:t>
      </w:r>
    </w:p>
    <w:p>
      <w:pPr>
        <w:spacing w:after="100"/>
        <w:ind w:left="288"/>
      </w:pPr>
      <w:r>
        <w:rPr>
          <w:b/>
          <w:sz w:val="21"/>
        </w:rPr>
        <w:t xml:space="preserve">▸  Non-Technical Barrier: </w:t>
      </w:r>
      <w:r>
        <w:rPr>
          <w:sz w:val="21"/>
        </w:rPr>
        <w:t>Setup requires Node &gt;= 22, WSL2 on Windows, manual model configuration, and understanding of local LLMs. Even experienced developers report 45+ minute setup on macOS. Non-technical users are explicitly not recommended by reviewers.</w:t>
      </w:r>
    </w:p>
    <w:p>
      <w:pPr>
        <w:spacing w:after="100"/>
        <w:ind w:left="288"/>
      </w:pPr>
      <w:r>
        <w:rPr>
          <w:b/>
          <w:sz w:val="21"/>
        </w:rPr>
        <w:t xml:space="preserve">▸  No Managed Infrastructure: </w:t>
      </w:r>
      <w:r>
        <w:rPr>
          <w:sz w:val="21"/>
        </w:rPr>
        <w:t>OpenClaw requires the user to maintain their own hardware, uptime, backup, and updates. There is no SLA, support, or enterprise tier.</w:t>
      </w:r>
    </w:p>
    <w:p>
      <w:pPr>
        <w:spacing w:after="100"/>
        <w:ind w:left="288"/>
      </w:pPr>
      <w:r>
        <w:rPr>
          <w:b/>
          <w:sz w:val="21"/>
        </w:rPr>
        <w:t xml:space="preserve">▸  Malicious Skill Ecosystem: </w:t>
      </w:r>
      <w:r>
        <w:rPr>
          <w:sz w:val="21"/>
        </w:rPr>
        <w:t>The community skill registry (ClawHub) has been compromised with hundreds of malicious skills. No formal vetting process exists.</w:t>
      </w:r>
    </w:p>
    <w:p>
      <w:pPr>
        <w:spacing w:after="100"/>
        <w:ind w:left="288"/>
      </w:pPr>
      <w:r>
        <w:rPr>
          <w:b/>
          <w:sz w:val="21"/>
        </w:rPr>
        <w:t xml:space="preserve">▸  Data Sovereignty Risk: </w:t>
      </w:r>
      <w:r>
        <w:rPr>
          <w:sz w:val="21"/>
        </w:rPr>
        <w:t>Full local file system access creates significant risk if the agent is misconfigured, prompt-injected, or if the ClawHub skill installed is malicious.</w:t>
      </w:r>
    </w:p>
    <w:p>
      <w:pPr>
        <w:spacing w:after="100"/>
        <w:ind w:left="288"/>
      </w:pPr>
      <w:r>
        <w:rPr>
          <w:b/>
          <w:sz w:val="21"/>
        </w:rPr>
        <w:t xml:space="preserve">▸  No Confirmation Model: </w:t>
      </w:r>
      <w:r>
        <w:rPr>
          <w:sz w:val="21"/>
        </w:rPr>
        <w:t>By default, OpenClaw can execute write actions (send email, delete files) autonomously without a user confirmation step.</w:t>
      </w:r>
    </w:p>
    <w:p/>
    <w:p>
      <w:pPr>
        <w:spacing w:before="360" w:after="120"/>
        <w:pBdr>
          <w:bottom w:val="single" w:sz="6" w:space="4" w:color="1A73E8"/>
        </w:pBdr>
      </w:pPr>
      <w:r>
        <w:rPr>
          <w:b/>
          <w:color w:val="0D2B45"/>
          <w:sz w:val="40"/>
        </w:rPr>
        <w:t>6. Head-to-Head: OpenClaw vs. Chief of Staff</w:t>
      </w:r>
    </w:p>
    <w:tbl>
      <w:tblPr>
        <w:tblStyle w:val="TableGrid"/>
        <w:tblW w:type="auto" w:w="0"/>
        <w:tblLook w:firstColumn="1" w:firstRow="1" w:lastColumn="0" w:lastRow="0" w:noHBand="0" w:noVBand="1" w:val="04A0"/>
      </w:tblPr>
      <w:tblGrid>
        <w:gridCol w:w="2880"/>
        <w:gridCol w:w="3816"/>
        <w:gridCol w:w="3816"/>
      </w:tblGrid>
      <w:tr>
        <w:tc>
          <w:tcPr>
            <w:tcW w:type="dxa" w:w="3024"/>
            <w:shd w:val="clear" w:color="auto" w:fill="0D2B45"/>
          </w:tcPr>
          <w:p>
            <w:r>
              <w:rPr>
                <w:b/>
                <w:color w:val="FFFFFF"/>
                <w:sz w:val="19"/>
              </w:rPr>
              <w:t>Dimension</w:t>
            </w:r>
          </w:p>
        </w:tc>
        <w:tc>
          <w:tcPr>
            <w:tcW w:type="dxa" w:w="3024"/>
            <w:shd w:val="clear" w:color="auto" w:fill="0D2B45"/>
          </w:tcPr>
          <w:p>
            <w:r>
              <w:rPr>
                <w:b/>
                <w:color w:val="FFFFFF"/>
                <w:sz w:val="19"/>
              </w:rPr>
              <w:t>OpenClaw</w:t>
            </w:r>
          </w:p>
        </w:tc>
        <w:tc>
          <w:tcPr>
            <w:tcW w:type="dxa" w:w="3024"/>
            <w:shd w:val="clear" w:color="auto" w:fill="0D2B45"/>
          </w:tcPr>
          <w:p>
            <w:r>
              <w:rPr>
                <w:b/>
                <w:color w:val="FFFFFF"/>
                <w:sz w:val="19"/>
              </w:rPr>
              <w:t>Chief of Staff</w:t>
            </w:r>
          </w:p>
        </w:tc>
      </w:tr>
      <w:tr>
        <w:tc>
          <w:tcPr>
            <w:tcW w:type="dxa" w:w="2880"/>
          </w:tcPr>
          <w:p>
            <w:pPr>
              <w:spacing w:before="60" w:after="60"/>
            </w:pPr>
            <w:r>
              <w:rPr>
                <w:b/>
                <w:sz w:val="19"/>
              </w:rPr>
              <w:t>Core Concept</w:t>
            </w:r>
          </w:p>
        </w:tc>
        <w:tc>
          <w:tcPr>
            <w:tcW w:type="dxa" w:w="3816"/>
          </w:tcPr>
          <w:p>
            <w:pPr>
              <w:spacing w:before="60" w:after="60"/>
            </w:pPr>
            <w:r>
              <w:rPr>
                <w:sz w:val="19"/>
              </w:rPr>
              <w:t>Self-hosted AI agent for autonomous task execution</w:t>
            </w:r>
          </w:p>
        </w:tc>
        <w:tc>
          <w:tcPr>
            <w:tcW w:type="dxa" w:w="3816"/>
            <w:shd w:val="clear" w:color="auto" w:fill="F0F9F4"/>
          </w:tcPr>
          <w:p>
            <w:pPr>
              <w:spacing w:before="60" w:after="60"/>
            </w:pPr>
            <w:r>
              <w:rPr>
                <w:sz w:val="19"/>
              </w:rPr>
              <w:t>Proactive personal intelligence briefing + action layer</w:t>
            </w:r>
          </w:p>
        </w:tc>
      </w:tr>
      <w:tr>
        <w:tc>
          <w:tcPr>
            <w:tcW w:type="dxa" w:w="2880"/>
          </w:tcPr>
          <w:p>
            <w:pPr>
              <w:spacing w:before="60" w:after="60"/>
            </w:pPr>
            <w:r>
              <w:rPr>
                <w:b/>
                <w:sz w:val="19"/>
              </w:rPr>
              <w:t>Target User</w:t>
            </w:r>
          </w:p>
        </w:tc>
        <w:tc>
          <w:tcPr>
            <w:tcW w:type="dxa" w:w="3816"/>
          </w:tcPr>
          <w:p>
            <w:pPr>
              <w:spacing w:before="60" w:after="60"/>
            </w:pPr>
            <w:r>
              <w:rPr>
                <w:sz w:val="19"/>
              </w:rPr>
              <w:t>Developers &amp; technical power users only</w:t>
            </w:r>
          </w:p>
        </w:tc>
        <w:tc>
          <w:tcPr>
            <w:tcW w:type="dxa" w:w="3816"/>
            <w:shd w:val="clear" w:color="auto" w:fill="F0F9F4"/>
          </w:tcPr>
          <w:p>
            <w:pPr>
              <w:spacing w:before="60" w:after="60"/>
            </w:pPr>
            <w:r>
              <w:rPr>
                <w:sz w:val="19"/>
              </w:rPr>
              <w:t>Busy executives, founders, professionals — non-technical friendly</w:t>
            </w:r>
          </w:p>
        </w:tc>
      </w:tr>
      <w:tr>
        <w:tc>
          <w:tcPr>
            <w:tcW w:type="dxa" w:w="2880"/>
          </w:tcPr>
          <w:p>
            <w:pPr>
              <w:spacing w:before="60" w:after="60"/>
            </w:pPr>
            <w:r>
              <w:rPr>
                <w:b/>
                <w:sz w:val="19"/>
              </w:rPr>
              <w:t>Deployment Model</w:t>
            </w:r>
          </w:p>
        </w:tc>
        <w:tc>
          <w:tcPr>
            <w:tcW w:type="dxa" w:w="3816"/>
          </w:tcPr>
          <w:p>
            <w:pPr>
              <w:spacing w:before="60" w:after="60"/>
            </w:pPr>
            <w:r>
              <w:rPr>
                <w:sz w:val="19"/>
              </w:rPr>
              <w:t>Self-hosted on user's own hardware (Mac Mini etc.)</w:t>
            </w:r>
          </w:p>
        </w:tc>
        <w:tc>
          <w:tcPr>
            <w:tcW w:type="dxa" w:w="3816"/>
            <w:shd w:val="clear" w:color="auto" w:fill="F0F9F4"/>
          </w:tcPr>
          <w:p>
            <w:pPr>
              <w:spacing w:before="60" w:after="60"/>
            </w:pPr>
            <w:r>
              <w:rPr>
                <w:sz w:val="19"/>
              </w:rPr>
              <w:t>Managed SaaS on Vercel + Supabase (AWS ME)</w:t>
            </w:r>
          </w:p>
        </w:tc>
      </w:tr>
      <w:tr>
        <w:tc>
          <w:tcPr>
            <w:tcW w:type="dxa" w:w="2880"/>
          </w:tcPr>
          <w:p>
            <w:pPr>
              <w:spacing w:before="60" w:after="60"/>
            </w:pPr>
            <w:r>
              <w:rPr>
                <w:b/>
                <w:sz w:val="19"/>
              </w:rPr>
              <w:t>Setup Time</w:t>
            </w:r>
          </w:p>
        </w:tc>
        <w:tc>
          <w:tcPr>
            <w:tcW w:type="dxa" w:w="3816"/>
          </w:tcPr>
          <w:p>
            <w:pPr>
              <w:spacing w:before="60" w:after="60"/>
            </w:pPr>
            <w:r>
              <w:rPr>
                <w:sz w:val="19"/>
              </w:rPr>
              <w:t>45+ minutes for technical users; not viable for non-technical</w:t>
            </w:r>
          </w:p>
        </w:tc>
        <w:tc>
          <w:tcPr>
            <w:tcW w:type="dxa" w:w="3816"/>
            <w:shd w:val="clear" w:color="auto" w:fill="F0F9F4"/>
          </w:tcPr>
          <w:p>
            <w:pPr>
              <w:spacing w:before="60" w:after="60"/>
            </w:pPr>
            <w:r>
              <w:rPr>
                <w:sz w:val="19"/>
              </w:rPr>
              <w:t>Onboarding in minutes via guided OAuth flow</w:t>
            </w:r>
          </w:p>
        </w:tc>
      </w:tr>
      <w:tr>
        <w:tc>
          <w:tcPr>
            <w:tcW w:type="dxa" w:w="2880"/>
          </w:tcPr>
          <w:p>
            <w:pPr>
              <w:spacing w:before="60" w:after="60"/>
            </w:pPr>
            <w:r>
              <w:rPr>
                <w:b/>
                <w:sz w:val="19"/>
              </w:rPr>
              <w:t>Heartbeat / Proactive AI</w:t>
            </w:r>
          </w:p>
        </w:tc>
        <w:tc>
          <w:tcPr>
            <w:tcW w:type="dxa" w:w="3816"/>
          </w:tcPr>
          <w:p>
            <w:pPr>
              <w:spacing w:before="60" w:after="60"/>
            </w:pPr>
            <w:r>
              <w:rPr>
                <w:sz w:val="19"/>
              </w:rPr>
              <w:t>Yes — configurable daemon, every 30 min default</w:t>
            </w:r>
          </w:p>
        </w:tc>
        <w:tc>
          <w:tcPr>
            <w:tcW w:type="dxa" w:w="3816"/>
            <w:shd w:val="clear" w:color="auto" w:fill="F0F9F4"/>
          </w:tcPr>
          <w:p>
            <w:pPr>
              <w:spacing w:before="60" w:after="60"/>
            </w:pPr>
            <w:r>
              <w:rPr>
                <w:sz w:val="19"/>
              </w:rPr>
              <w:t>Yes — Trigger.dev jobs, timezone-aware daily briefing</w:t>
            </w:r>
          </w:p>
        </w:tc>
      </w:tr>
      <w:tr>
        <w:tc>
          <w:tcPr>
            <w:tcW w:type="dxa" w:w="2880"/>
          </w:tcPr>
          <w:p>
            <w:pPr>
              <w:spacing w:before="60" w:after="60"/>
            </w:pPr>
            <w:r>
              <w:rPr>
                <w:b/>
                <w:sz w:val="19"/>
              </w:rPr>
              <w:t>Messaging Interface</w:t>
            </w:r>
          </w:p>
        </w:tc>
        <w:tc>
          <w:tcPr>
            <w:tcW w:type="dxa" w:w="3816"/>
          </w:tcPr>
          <w:p>
            <w:pPr>
              <w:spacing w:before="60" w:after="60"/>
            </w:pPr>
            <w:r>
              <w:rPr>
                <w:sz w:val="19"/>
              </w:rPr>
              <w:t>WhatsApp, Telegram, Slack, Discord, iMessage, Signal</w:t>
            </w:r>
          </w:p>
        </w:tc>
        <w:tc>
          <w:tcPr>
            <w:tcW w:type="dxa" w:w="3816"/>
            <w:shd w:val="clear" w:color="auto" w:fill="F0F9F4"/>
          </w:tcPr>
          <w:p>
            <w:pPr>
              <w:spacing w:before="60" w:after="60"/>
            </w:pPr>
            <w:r>
              <w:rPr>
                <w:sz w:val="19"/>
              </w:rPr>
              <w:t>Telegram (launch), WhatsApp (roadmap)</w:t>
            </w:r>
          </w:p>
        </w:tc>
      </w:tr>
      <w:tr>
        <w:tc>
          <w:tcPr>
            <w:tcW w:type="dxa" w:w="2880"/>
          </w:tcPr>
          <w:p>
            <w:pPr>
              <w:spacing w:before="60" w:after="60"/>
            </w:pPr>
            <w:r>
              <w:rPr>
                <w:b/>
                <w:sz w:val="19"/>
              </w:rPr>
              <w:t>Email Intelligence</w:t>
            </w:r>
          </w:p>
        </w:tc>
        <w:tc>
          <w:tcPr>
            <w:tcW w:type="dxa" w:w="3816"/>
          </w:tcPr>
          <w:p>
            <w:pPr>
              <w:spacing w:before="60" w:after="60"/>
            </w:pPr>
            <w:r>
              <w:rPr>
                <w:sz w:val="19"/>
              </w:rPr>
              <w:t>Reads / drafts emails (Gmail, Outlook)</w:t>
            </w:r>
          </w:p>
        </w:tc>
        <w:tc>
          <w:tcPr>
            <w:tcW w:type="dxa" w:w="3816"/>
            <w:shd w:val="clear" w:color="auto" w:fill="F0F9F4"/>
          </w:tcPr>
          <w:p>
            <w:pPr>
              <w:spacing w:before="60" w:after="60"/>
            </w:pPr>
            <w:r>
              <w:rPr>
                <w:sz w:val="19"/>
              </w:rPr>
              <w:t>Reads, extracts commitments, prioritises, drafts replies</w:t>
            </w:r>
          </w:p>
        </w:tc>
      </w:tr>
      <w:tr>
        <w:tc>
          <w:tcPr>
            <w:tcW w:type="dxa" w:w="2880"/>
          </w:tcPr>
          <w:p>
            <w:pPr>
              <w:spacing w:before="60" w:after="60"/>
            </w:pPr>
            <w:r>
              <w:rPr>
                <w:b/>
                <w:sz w:val="19"/>
              </w:rPr>
              <w:t>Calendar Intelligence</w:t>
            </w:r>
          </w:p>
        </w:tc>
        <w:tc>
          <w:tcPr>
            <w:tcW w:type="dxa" w:w="3816"/>
          </w:tcPr>
          <w:p>
            <w:pPr>
              <w:spacing w:before="60" w:after="60"/>
            </w:pPr>
            <w:r>
              <w:rPr>
                <w:sz w:val="19"/>
              </w:rPr>
              <w:t>Reads / creates events</w:t>
            </w:r>
          </w:p>
        </w:tc>
        <w:tc>
          <w:tcPr>
            <w:tcW w:type="dxa" w:w="3816"/>
            <w:shd w:val="clear" w:color="auto" w:fill="F0F9F4"/>
          </w:tcPr>
          <w:p>
            <w:pPr>
              <w:spacing w:before="60" w:after="60"/>
            </w:pPr>
            <w:r>
              <w:rPr>
                <w:sz w:val="19"/>
              </w:rPr>
              <w:t>Reads, generates pre-meeting briefs, tracks commitments</w:t>
            </w:r>
          </w:p>
        </w:tc>
      </w:tr>
      <w:tr>
        <w:tc>
          <w:tcPr>
            <w:tcW w:type="dxa" w:w="2880"/>
          </w:tcPr>
          <w:p>
            <w:pPr>
              <w:spacing w:before="60" w:after="60"/>
            </w:pPr>
            <w:r>
              <w:rPr>
                <w:b/>
                <w:sz w:val="19"/>
              </w:rPr>
              <w:t>Commitment Tracking</w:t>
            </w:r>
          </w:p>
        </w:tc>
        <w:tc>
          <w:tcPr>
            <w:tcW w:type="dxa" w:w="3816"/>
          </w:tcPr>
          <w:p>
            <w:pPr>
              <w:spacing w:before="60" w:after="60"/>
            </w:pPr>
            <w:r>
              <w:rPr>
                <w:sz w:val="19"/>
              </w:rPr>
              <w:t>Not a core feature</w:t>
            </w:r>
          </w:p>
        </w:tc>
        <w:tc>
          <w:tcPr>
            <w:tcW w:type="dxa" w:w="3816"/>
            <w:shd w:val="clear" w:color="auto" w:fill="F0F9F4"/>
          </w:tcPr>
          <w:p>
            <w:pPr>
              <w:spacing w:before="60" w:after="60"/>
            </w:pPr>
            <w:r>
              <w:rPr>
                <w:sz w:val="19"/>
              </w:rPr>
              <w:t>Core feature — 2-pass AI extraction with source citations</w:t>
            </w:r>
          </w:p>
        </w:tc>
      </w:tr>
      <w:tr>
        <w:tc>
          <w:tcPr>
            <w:tcW w:type="dxa" w:w="2880"/>
          </w:tcPr>
          <w:p>
            <w:pPr>
              <w:spacing w:before="60" w:after="60"/>
            </w:pPr>
            <w:r>
              <w:rPr>
                <w:b/>
                <w:sz w:val="19"/>
              </w:rPr>
              <w:t>Relationship Intelligence</w:t>
            </w:r>
          </w:p>
        </w:tc>
        <w:tc>
          <w:tcPr>
            <w:tcW w:type="dxa" w:w="3816"/>
          </w:tcPr>
          <w:p>
            <w:pPr>
              <w:spacing w:before="60" w:after="60"/>
            </w:pPr>
            <w:r>
              <w:rPr>
                <w:sz w:val="19"/>
              </w:rPr>
              <w:t>Not present</w:t>
            </w:r>
          </w:p>
        </w:tc>
        <w:tc>
          <w:tcPr>
            <w:tcW w:type="dxa" w:w="3816"/>
            <w:shd w:val="clear" w:color="auto" w:fill="F0F9F4"/>
          </w:tcPr>
          <w:p>
            <w:pPr>
              <w:spacing w:before="60" w:after="60"/>
            </w:pPr>
            <w:r>
              <w:rPr>
                <w:sz w:val="19"/>
              </w:rPr>
              <w:t>Heartbeat Monitor — proactive 'gone cold' alerts</w:t>
            </w:r>
          </w:p>
        </w:tc>
      </w:tr>
      <w:tr>
        <w:tc>
          <w:tcPr>
            <w:tcW w:type="dxa" w:w="2880"/>
          </w:tcPr>
          <w:p>
            <w:pPr>
              <w:spacing w:before="60" w:after="60"/>
            </w:pPr>
            <w:r>
              <w:rPr>
                <w:b/>
                <w:sz w:val="19"/>
              </w:rPr>
              <w:t>Daily Briefing</w:t>
            </w:r>
          </w:p>
        </w:tc>
        <w:tc>
          <w:tcPr>
            <w:tcW w:type="dxa" w:w="3816"/>
          </w:tcPr>
          <w:p>
            <w:pPr>
              <w:spacing w:before="60" w:after="60"/>
            </w:pPr>
            <w:r>
              <w:rPr>
                <w:sz w:val="19"/>
              </w:rPr>
              <w:t>Not a structured feature</w:t>
            </w:r>
          </w:p>
        </w:tc>
        <w:tc>
          <w:tcPr>
            <w:tcW w:type="dxa" w:w="3816"/>
            <w:shd w:val="clear" w:color="auto" w:fill="F0F9F4"/>
          </w:tcPr>
          <w:p>
            <w:pPr>
              <w:spacing w:before="60" w:after="60"/>
            </w:pPr>
            <w:r>
              <w:rPr>
                <w:sz w:val="19"/>
              </w:rPr>
              <w:t>Core product — ranked, cited, prioritised every morning</w:t>
            </w:r>
          </w:p>
        </w:tc>
      </w:tr>
      <w:tr>
        <w:tc>
          <w:tcPr>
            <w:tcW w:type="dxa" w:w="2880"/>
          </w:tcPr>
          <w:p>
            <w:pPr>
              <w:spacing w:before="60" w:after="60"/>
            </w:pPr>
            <w:r>
              <w:rPr>
                <w:b/>
                <w:sz w:val="19"/>
              </w:rPr>
              <w:t>Token / API Cost to User</w:t>
            </w:r>
          </w:p>
        </w:tc>
        <w:tc>
          <w:tcPr>
            <w:tcW w:type="dxa" w:w="3816"/>
          </w:tcPr>
          <w:p>
            <w:pPr>
              <w:spacing w:before="60" w:after="60"/>
            </w:pPr>
            <w:r>
              <w:rPr>
                <w:sz w:val="19"/>
              </w:rPr>
              <w:t>$300–$750/month for regular use</w:t>
            </w:r>
          </w:p>
        </w:tc>
        <w:tc>
          <w:tcPr>
            <w:tcW w:type="dxa" w:w="3816"/>
            <w:shd w:val="clear" w:color="auto" w:fill="F0F9F4"/>
          </w:tcPr>
          <w:p>
            <w:pPr>
              <w:spacing w:before="60" w:after="60"/>
            </w:pPr>
            <w:r>
              <w:rPr>
                <w:sz w:val="19"/>
              </w:rPr>
              <w:t>Covered in subscription; no per-token cost to end user</w:t>
            </w:r>
          </w:p>
        </w:tc>
      </w:tr>
      <w:tr>
        <w:tc>
          <w:tcPr>
            <w:tcW w:type="dxa" w:w="2880"/>
          </w:tcPr>
          <w:p>
            <w:pPr>
              <w:spacing w:before="60" w:after="60"/>
            </w:pPr>
            <w:r>
              <w:rPr>
                <w:b/>
                <w:sz w:val="19"/>
              </w:rPr>
              <w:t>Security Model</w:t>
            </w:r>
          </w:p>
        </w:tc>
        <w:tc>
          <w:tcPr>
            <w:tcW w:type="dxa" w:w="3816"/>
          </w:tcPr>
          <w:p>
            <w:pPr>
              <w:spacing w:before="60" w:after="60"/>
            </w:pPr>
            <w:r>
              <w:rPr>
                <w:sz w:val="19"/>
              </w:rPr>
              <w:t>Full local file access; 512 vulnerabilities found (Jan 2026)</w:t>
            </w:r>
          </w:p>
        </w:tc>
        <w:tc>
          <w:tcPr>
            <w:tcW w:type="dxa" w:w="3816"/>
            <w:shd w:val="clear" w:color="auto" w:fill="F0F9F4"/>
          </w:tcPr>
          <w:p>
            <w:pPr>
              <w:spacing w:before="60" w:after="60"/>
            </w:pPr>
            <w:r>
              <w:rPr>
                <w:sz w:val="19"/>
              </w:rPr>
              <w:t>RLS on all tables, withAuth middleware, Nango token vault, no plaintext secrets</w:t>
            </w:r>
          </w:p>
        </w:tc>
      </w:tr>
      <w:tr>
        <w:tc>
          <w:tcPr>
            <w:tcW w:type="dxa" w:w="2880"/>
          </w:tcPr>
          <w:p>
            <w:pPr>
              <w:spacing w:before="60" w:after="60"/>
            </w:pPr>
            <w:r>
              <w:rPr>
                <w:b/>
                <w:sz w:val="19"/>
              </w:rPr>
              <w:t>Write Action Safeguards</w:t>
            </w:r>
          </w:p>
        </w:tc>
        <w:tc>
          <w:tcPr>
            <w:tcW w:type="dxa" w:w="3816"/>
          </w:tcPr>
          <w:p>
            <w:pPr>
              <w:spacing w:before="60" w:after="60"/>
            </w:pPr>
            <w:r>
              <w:rPr>
                <w:sz w:val="19"/>
              </w:rPr>
              <w:t>Executes autonomously by default — NO confirmation step</w:t>
            </w:r>
          </w:p>
        </w:tc>
        <w:tc>
          <w:tcPr>
            <w:tcW w:type="dxa" w:w="3816"/>
            <w:shd w:val="clear" w:color="auto" w:fill="F0F9F4"/>
          </w:tcPr>
          <w:p>
            <w:pPr>
              <w:spacing w:before="60" w:after="60"/>
            </w:pPr>
            <w:r>
              <w:rPr>
                <w:sz w:val="19"/>
              </w:rPr>
              <w:t>Mandatory ConfirmActionModal — AI proposes, user approves</w:t>
            </w:r>
          </w:p>
        </w:tc>
      </w:tr>
      <w:tr>
        <w:tc>
          <w:tcPr>
            <w:tcW w:type="dxa" w:w="2880"/>
          </w:tcPr>
          <w:p>
            <w:pPr>
              <w:spacing w:before="60" w:after="60"/>
            </w:pPr>
            <w:r>
              <w:rPr>
                <w:b/>
                <w:sz w:val="19"/>
              </w:rPr>
              <w:t>Prompt Injection Protection</w:t>
            </w:r>
          </w:p>
        </w:tc>
        <w:tc>
          <w:tcPr>
            <w:tcW w:type="dxa" w:w="3816"/>
          </w:tcPr>
          <w:p>
            <w:pPr>
              <w:spacing w:before="60" w:after="60"/>
            </w:pPr>
            <w:r>
              <w:rPr>
                <w:sz w:val="19"/>
              </w:rPr>
              <w:t>Vulnerable by design</w:t>
            </w:r>
          </w:p>
        </w:tc>
        <w:tc>
          <w:tcPr>
            <w:tcW w:type="dxa" w:w="3816"/>
            <w:shd w:val="clear" w:color="auto" w:fill="F0F9F4"/>
          </w:tcPr>
          <w:p>
            <w:pPr>
              <w:spacing w:before="60" w:after="60"/>
            </w:pPr>
            <w:r>
              <w:rPr>
                <w:sz w:val="19"/>
              </w:rPr>
              <w:t>sanitiseContent() on all ingested content</w:t>
            </w:r>
          </w:p>
        </w:tc>
      </w:tr>
      <w:tr>
        <w:tc>
          <w:tcPr>
            <w:tcW w:type="dxa" w:w="2880"/>
          </w:tcPr>
          <w:p>
            <w:pPr>
              <w:spacing w:before="60" w:after="60"/>
            </w:pPr>
            <w:r>
              <w:rPr>
                <w:b/>
                <w:sz w:val="19"/>
              </w:rPr>
              <w:t>Source Citations</w:t>
            </w:r>
          </w:p>
        </w:tc>
        <w:tc>
          <w:tcPr>
            <w:tcW w:type="dxa" w:w="3816"/>
          </w:tcPr>
          <w:p>
            <w:pPr>
              <w:spacing w:before="60" w:after="60"/>
            </w:pPr>
            <w:r>
              <w:rPr>
                <w:sz w:val="19"/>
              </w:rPr>
              <w:t>Not present</w:t>
            </w:r>
          </w:p>
        </w:tc>
        <w:tc>
          <w:tcPr>
            <w:tcW w:type="dxa" w:w="3816"/>
            <w:shd w:val="clear" w:color="auto" w:fill="F0F9F4"/>
          </w:tcPr>
          <w:p>
            <w:pPr>
              <w:spacing w:before="60" w:after="60"/>
            </w:pPr>
            <w:r>
              <w:rPr>
                <w:sz w:val="19"/>
              </w:rPr>
              <w:t>Required on every claim — source_ref on all briefing items</w:t>
            </w:r>
          </w:p>
        </w:tc>
      </w:tr>
      <w:tr>
        <w:tc>
          <w:tcPr>
            <w:tcW w:type="dxa" w:w="2880"/>
          </w:tcPr>
          <w:p>
            <w:pPr>
              <w:spacing w:before="60" w:after="60"/>
            </w:pPr>
            <w:r>
              <w:rPr>
                <w:b/>
                <w:sz w:val="19"/>
              </w:rPr>
              <w:t>Extensibility</w:t>
            </w:r>
          </w:p>
        </w:tc>
        <w:tc>
          <w:tcPr>
            <w:tcW w:type="dxa" w:w="3816"/>
          </w:tcPr>
          <w:p>
            <w:pPr>
              <w:spacing w:before="60" w:after="60"/>
            </w:pPr>
            <w:r>
              <w:rPr>
                <w:sz w:val="19"/>
              </w:rPr>
              <w:t>100+ community skills via ClawHub (12% found malicious)</w:t>
            </w:r>
          </w:p>
        </w:tc>
        <w:tc>
          <w:tcPr>
            <w:tcW w:type="dxa" w:w="3816"/>
            <w:shd w:val="clear" w:color="auto" w:fill="F0F9F4"/>
          </w:tcPr>
          <w:p>
            <w:pPr>
              <w:spacing w:before="60" w:after="60"/>
            </w:pPr>
            <w:r>
              <w:rPr>
                <w:sz w:val="19"/>
              </w:rPr>
              <w:t>Integrations via Nango; curated and vetted</w:t>
            </w:r>
          </w:p>
        </w:tc>
      </w:tr>
      <w:tr>
        <w:tc>
          <w:tcPr>
            <w:tcW w:type="dxa" w:w="2880"/>
          </w:tcPr>
          <w:p>
            <w:pPr>
              <w:spacing w:before="60" w:after="60"/>
            </w:pPr>
            <w:r>
              <w:rPr>
                <w:b/>
                <w:sz w:val="19"/>
              </w:rPr>
              <w:t>Privacy / Data Control</w:t>
            </w:r>
          </w:p>
        </w:tc>
        <w:tc>
          <w:tcPr>
            <w:tcW w:type="dxa" w:w="3816"/>
          </w:tcPr>
          <w:p>
            <w:pPr>
              <w:spacing w:before="60" w:after="60"/>
            </w:pPr>
            <w:r>
              <w:rPr>
                <w:sz w:val="19"/>
              </w:rPr>
              <w:t>Local-first — data on your disk</w:t>
            </w:r>
          </w:p>
        </w:tc>
        <w:tc>
          <w:tcPr>
            <w:tcW w:type="dxa" w:w="3816"/>
            <w:shd w:val="clear" w:color="auto" w:fill="F0F9F4"/>
          </w:tcPr>
          <w:p>
            <w:pPr>
              <w:spacing w:before="60" w:after="60"/>
            </w:pPr>
            <w:r>
              <w:rPr>
                <w:sz w:val="19"/>
              </w:rPr>
              <w:t>Cloud-hosted; Supabase RLS + AES-256 encryption</w:t>
            </w:r>
          </w:p>
        </w:tc>
      </w:tr>
      <w:tr>
        <w:tc>
          <w:tcPr>
            <w:tcW w:type="dxa" w:w="2880"/>
          </w:tcPr>
          <w:p>
            <w:pPr>
              <w:spacing w:before="60" w:after="60"/>
            </w:pPr>
            <w:r>
              <w:rPr>
                <w:b/>
                <w:sz w:val="19"/>
              </w:rPr>
              <w:t>Business Model</w:t>
            </w:r>
          </w:p>
        </w:tc>
        <w:tc>
          <w:tcPr>
            <w:tcW w:type="dxa" w:w="3816"/>
          </w:tcPr>
          <w:p>
            <w:pPr>
              <w:spacing w:before="60" w:after="60"/>
            </w:pPr>
            <w:r>
              <w:rPr>
                <w:sz w:val="19"/>
              </w:rPr>
              <w:t>Free &amp; open source; no revenue model</w:t>
            </w:r>
          </w:p>
        </w:tc>
        <w:tc>
          <w:tcPr>
            <w:tcW w:type="dxa" w:w="3816"/>
            <w:shd w:val="clear" w:color="auto" w:fill="F0F9F4"/>
          </w:tcPr>
          <w:p>
            <w:pPr>
              <w:spacing w:before="60" w:after="60"/>
            </w:pPr>
            <w:r>
              <w:rPr>
                <w:sz w:val="19"/>
              </w:rPr>
              <w:t>SaaS subscription</w:t>
            </w:r>
          </w:p>
        </w:tc>
      </w:tr>
      <w:tr>
        <w:tc>
          <w:tcPr>
            <w:tcW w:type="dxa" w:w="2880"/>
          </w:tcPr>
          <w:p>
            <w:pPr>
              <w:spacing w:before="60" w:after="60"/>
            </w:pPr>
            <w:r>
              <w:rPr>
                <w:b/>
                <w:sz w:val="19"/>
              </w:rPr>
              <w:t>Enterprise Readiness</w:t>
            </w:r>
          </w:p>
        </w:tc>
        <w:tc>
          <w:tcPr>
            <w:tcW w:type="dxa" w:w="3816"/>
          </w:tcPr>
          <w:p>
            <w:pPr>
              <w:spacing w:before="60" w:after="60"/>
            </w:pPr>
            <w:r>
              <w:rPr>
                <w:sz w:val="19"/>
              </w:rPr>
              <w:t>Not suitable (CrowdStrike advisory issued)</w:t>
            </w:r>
          </w:p>
        </w:tc>
        <w:tc>
          <w:tcPr>
            <w:tcW w:type="dxa" w:w="3816"/>
            <w:shd w:val="clear" w:color="auto" w:fill="F0F9F4"/>
          </w:tcPr>
          <w:p>
            <w:pPr>
              <w:spacing w:before="60" w:after="60"/>
            </w:pPr>
            <w:r>
              <w:rPr>
                <w:sz w:val="19"/>
              </w:rPr>
              <w:t>Designed for professional use; 2FA, audit trail, RLS</w:t>
            </w:r>
          </w:p>
        </w:tc>
      </w:tr>
      <w:tr>
        <w:tc>
          <w:tcPr>
            <w:tcW w:type="dxa" w:w="2880"/>
          </w:tcPr>
          <w:p>
            <w:pPr>
              <w:spacing w:before="60" w:after="60"/>
            </w:pPr>
            <w:r>
              <w:rPr>
                <w:b/>
                <w:sz w:val="19"/>
              </w:rPr>
              <w:t>Non-Technical Accessibility</w:t>
            </w:r>
          </w:p>
        </w:tc>
        <w:tc>
          <w:tcPr>
            <w:tcW w:type="dxa" w:w="3816"/>
          </w:tcPr>
          <w:p>
            <w:pPr>
              <w:spacing w:before="60" w:after="60"/>
            </w:pPr>
            <w:r>
              <w:rPr>
                <w:sz w:val="19"/>
              </w:rPr>
              <w:t>Very low — dealbreaker for most users</w:t>
            </w:r>
          </w:p>
        </w:tc>
        <w:tc>
          <w:tcPr>
            <w:tcW w:type="dxa" w:w="3816"/>
            <w:shd w:val="clear" w:color="auto" w:fill="F0F9F4"/>
          </w:tcPr>
          <w:p>
            <w:pPr>
              <w:spacing w:before="60" w:after="60"/>
            </w:pPr>
            <w:r>
              <w:rPr>
                <w:sz w:val="19"/>
              </w:rPr>
              <w:t>High — designed for non-technical professionals</w:t>
            </w:r>
          </w:p>
        </w:tc>
      </w:tr>
    </w:tbl>
    <w:p/>
    <w:p>
      <w:pPr>
        <w:spacing w:before="360" w:after="120"/>
        <w:pBdr>
          <w:bottom w:val="single" w:sz="6" w:space="4" w:color="1A73E8"/>
        </w:pBdr>
      </w:pPr>
      <w:r>
        <w:rPr>
          <w:b/>
          <w:color w:val="0D2B45"/>
          <w:sz w:val="40"/>
        </w:rPr>
        <w:t>7. Strategic Implications for Chief of Staff</w:t>
      </w:r>
    </w:p>
    <w:p>
      <w:pPr>
        <w:spacing w:before="280" w:after="80"/>
      </w:pPr>
      <w:r>
        <w:rPr>
          <w:b/>
          <w:color w:val="1A73E8"/>
          <w:sz w:val="28"/>
        </w:rPr>
        <w:t>Market Validation</w:t>
      </w:r>
    </w:p>
    <w:p>
      <w:pPr>
        <w:spacing w:after="120"/>
      </w:pPr>
      <w:r>
        <w:rPr>
          <w:sz w:val="21"/>
        </w:rPr>
        <w:t>OpenClaw's viral success is the strongest possible market signal. The concept of a proactive, autonomous AI that manages your digital life resonated so powerfully that it became one of the fastest-growing GitHub projects in history. Chief of Staff is targeting the same emotional need — but for people who can't or won't run their own server.</w:t>
      </w:r>
    </w:p>
    <w:p>
      <w:pPr>
        <w:spacing w:before="280" w:after="80"/>
      </w:pPr>
      <w:r>
        <w:rPr>
          <w:b/>
          <w:color w:val="1A73E8"/>
          <w:sz w:val="28"/>
        </w:rPr>
        <w:t>Competitive Moat Opportunities</w:t>
      </w:r>
    </w:p>
    <w:p>
      <w:pPr>
        <w:spacing w:after="120"/>
      </w:pPr>
      <w:r>
        <w:rPr>
          <w:b/>
          <w:sz w:val="21"/>
        </w:rPr>
        <w:t xml:space="preserve">▸  Safety as a feature, not an afterthought: </w:t>
      </w:r>
      <w:r>
        <w:rPr>
          <w:sz w:val="21"/>
        </w:rPr>
        <w:t>OpenClaw's biggest PR crisis is autonomous writes going wrong (deleted emails, rogue actions). Chief of Staff's mandatory confirmation model is a direct, marketable counter. Lead with it.</w:t>
      </w:r>
    </w:p>
    <w:p>
      <w:pPr>
        <w:spacing w:after="120"/>
      </w:pPr>
      <w:r>
        <w:rPr>
          <w:b/>
          <w:sz w:val="21"/>
        </w:rPr>
        <w:t xml:space="preserve">▸  The non-technical professional market is wide open: </w:t>
      </w:r>
      <w:r>
        <w:rPr>
          <w:sz w:val="21"/>
        </w:rPr>
        <w:t>OpenClaw explicitly excludes non-technical users. Executives, founders, lawyers, and consultants — exactly Chief of Staff's ICP — have no viable option. This is a significant addressable market that OpenClaw cannot serve.</w:t>
      </w:r>
    </w:p>
    <w:p>
      <w:pPr>
        <w:spacing w:after="120"/>
      </w:pPr>
      <w:r>
        <w:rPr>
          <w:b/>
          <w:sz w:val="21"/>
        </w:rPr>
        <w:t xml:space="preserve">▸  Managed cost predictability: </w:t>
      </w:r>
      <w:r>
        <w:rPr>
          <w:sz w:val="21"/>
        </w:rPr>
        <w:t>OpenClaw users face $300–$750/month in unpredictable API bills. A flat SaaS subscription with no per-token cost is a powerful conversion argument.</w:t>
      </w:r>
    </w:p>
    <w:p>
      <w:pPr>
        <w:spacing w:after="120"/>
      </w:pPr>
      <w:r>
        <w:rPr>
          <w:b/>
          <w:sz w:val="21"/>
        </w:rPr>
        <w:t xml:space="preserve">▸  Source citations and trust: </w:t>
      </w:r>
      <w:r>
        <w:rPr>
          <w:sz w:val="21"/>
        </w:rPr>
        <w:t>OpenClaw presents AI output without citations. Chief of Staff's mandatory source_ref on every claim builds the trust required for professionals to act on AI-generated intelligence.</w:t>
      </w:r>
    </w:p>
    <w:p>
      <w:pPr>
        <w:spacing w:after="120"/>
      </w:pPr>
      <w:r>
        <w:rPr>
          <w:b/>
          <w:sz w:val="21"/>
        </w:rPr>
        <w:t xml:space="preserve">▸  Commitment tracking &amp; relationship intelligence: </w:t>
      </w:r>
      <w:r>
        <w:rPr>
          <w:sz w:val="21"/>
        </w:rPr>
        <w:t>These are Chief of Staff's most differentiated features — entirely absent in OpenClaw. This is where the product becomes genuinely irreplaceable, not just convenient.</w:t>
      </w:r>
    </w:p>
    <w:p>
      <w:pPr>
        <w:spacing w:after="120"/>
      </w:pPr>
      <w:r>
        <w:rPr>
          <w:b/>
          <w:sz w:val="21"/>
        </w:rPr>
        <w:t xml:space="preserve">▸  Enterprise-ready security: </w:t>
      </w:r>
      <w:r>
        <w:rPr>
          <w:sz w:val="21"/>
        </w:rPr>
        <w:t>CrowdStrike issued an advisory against OpenClaw for enterprise use. Chief of Staff's RLS, Nango token vault, withAuth middleware, and sanitiseContent() pipeline are exactly what enterprise buyers need to feel safe.</w:t>
      </w:r>
    </w:p>
    <w:p>
      <w:pPr>
        <w:spacing w:before="280" w:after="80"/>
      </w:pPr>
      <w:r>
        <w:rPr>
          <w:b/>
          <w:color w:val="1A73E8"/>
          <w:sz w:val="28"/>
        </w:rPr>
        <w:t>Risks to Monitor</w:t>
      </w:r>
    </w:p>
    <w:p>
      <w:pPr>
        <w:pStyle w:val="ListBullet"/>
        <w:spacing w:after="60"/>
        <w:ind w:left="432"/>
      </w:pPr>
      <w:r>
        <w:rPr>
          <w:sz w:val="21"/>
        </w:rPr>
        <w:t>OpenClaw could launch a hosted/managed tier (removing the technical barrier). Monitor their GitHub roadmap and any fundraising signals.</w:t>
      </w:r>
    </w:p>
    <w:p>
      <w:pPr>
        <w:pStyle w:val="ListBullet"/>
        <w:spacing w:after="60"/>
        <w:ind w:left="432"/>
      </w:pPr>
      <w:r>
        <w:rPr>
          <w:sz w:val="21"/>
        </w:rPr>
        <w:t>Big Tech (Google, Microsoft) could embed similar proactive intelligence into Gmail/Outlook at zero marginal cost. Chief of Staff's moat must be depth (commitment tracking, relationship intelligence) not breadth.</w:t>
      </w:r>
    </w:p>
    <w:p>
      <w:pPr>
        <w:pStyle w:val="ListBullet"/>
        <w:spacing w:after="60"/>
        <w:ind w:left="432"/>
      </w:pPr>
      <w:r>
        <w:rPr>
          <w:color w:val="D47F00"/>
          <w:sz w:val="21"/>
        </w:rPr>
        <w:t>The open-source community continues to iterate extremely fast. What takes a startup months, OpenClaw ships via community PRs in days. Stay focused on the use cases that require trust, curation, and professional-grade reliability.</w:t>
      </w:r>
    </w:p>
    <w:p>
      <w:pPr>
        <w:spacing w:before="360" w:after="120"/>
        <w:pBdr>
          <w:bottom w:val="single" w:sz="6" w:space="4" w:color="1A73E8"/>
        </w:pBdr>
      </w:pPr>
      <w:r>
        <w:rPr>
          <w:b/>
          <w:color w:val="0D2B45"/>
          <w:sz w:val="40"/>
        </w:rPr>
        <w:t>8. Positioning Recommendation</w:t>
      </w:r>
    </w:p>
    <w:tbl>
      <w:tblPr>
        <w:tblStyle w:val="TableGrid"/>
        <w:tblW w:type="auto" w:w="0"/>
        <w:tblLook w:firstColumn="1" w:firstRow="1" w:lastColumn="0" w:lastRow="0" w:noHBand="0" w:noVBand="1" w:val="04A0"/>
      </w:tblPr>
      <w:tblGrid>
        <w:gridCol w:w="9072"/>
      </w:tblGrid>
      <w:tr>
        <w:tc>
          <w:tcPr>
            <w:tcW w:type="dxa" w:w="9072"/>
            <w:shd w:val="clear" w:color="auto" w:fill="E8F4EC"/>
          </w:tcPr>
          <w:p>
            <w:pPr>
              <w:spacing w:before="80" w:after="80"/>
              <w:ind w:left="120"/>
            </w:pPr>
            <w:r>
              <w:rPr>
                <w:b/>
                <w:color w:val="1A8A44"/>
                <w:sz w:val="21"/>
              </w:rPr>
              <w:t xml:space="preserve">Suggested positioning:  </w:t>
            </w:r>
            <w:r>
              <w:rPr>
                <w:sz w:val="21"/>
              </w:rPr>
              <w:t>"Chief of Staff is what OpenClaw would be if it were designed for professionals instead of developers — safe, cited, and ready to use in 5 minutes."</w:t>
            </w:r>
          </w:p>
        </w:tc>
      </w:tr>
    </w:tbl>
    <w:p>
      <w:pPr>
        <w:spacing w:after="40"/>
      </w:pPr>
    </w:p>
    <w:p>
      <w:pPr>
        <w:spacing w:after="120"/>
      </w:pPr>
      <w:r>
        <w:rPr>
          <w:sz w:val="21"/>
        </w:rPr>
        <w:t>The key differentiators to lead with in marketing and sales are: (1) no setup required, (2) every action requires your approval, (3) every claim cites its source, and (4) built for your inbox — not your terminal. OpenClaw has proven the demand; Chief of Staff serves the 95% of the market that OpenClaw leaves behind.</w:t>
      </w:r>
    </w:p>
    <w:p>
      <w:pPr>
        <w:spacing w:before="360" w:after="120"/>
        <w:pBdr>
          <w:bottom w:val="single" w:sz="6" w:space="4" w:color="1A73E8"/>
        </w:pBdr>
      </w:pPr>
      <w:r>
        <w:rPr>
          <w:b/>
          <w:color w:val="0D2B45"/>
          <w:sz w:val="40"/>
        </w:rPr>
        <w:t>Sources</w:t>
      </w:r>
    </w:p>
    <w:p>
      <w:pPr>
        <w:pStyle w:val="ListBullet"/>
        <w:spacing w:after="60"/>
        <w:ind w:left="432"/>
      </w:pPr>
      <w:r>
        <w:rPr>
          <w:sz w:val="21"/>
        </w:rPr>
        <w:t>OpenClaw Official Site — https://openclaw.ai/</w:t>
      </w:r>
    </w:p>
    <w:p>
      <w:pPr>
        <w:pStyle w:val="ListBullet"/>
        <w:spacing w:after="60"/>
        <w:ind w:left="432"/>
      </w:pPr>
      <w:r>
        <w:rPr>
          <w:sz w:val="21"/>
        </w:rPr>
        <w:t>OpenClaw Wikipedia — https://en.wikipedia.org/wiki/OpenClaw</w:t>
      </w:r>
    </w:p>
    <w:p>
      <w:pPr>
        <w:pStyle w:val="ListBullet"/>
        <w:spacing w:after="60"/>
        <w:ind w:left="432"/>
      </w:pPr>
      <w:r>
        <w:rPr>
          <w:sz w:val="21"/>
        </w:rPr>
        <w:t>DigitalOcean: What is OpenClaw? — https://www.digitalocean.com/resources/articles/what-is-openclaw</w:t>
      </w:r>
    </w:p>
    <w:p>
      <w:pPr>
        <w:pStyle w:val="ListBullet"/>
        <w:spacing w:after="60"/>
        <w:ind w:left="432"/>
      </w:pPr>
      <w:r>
        <w:rPr>
          <w:sz w:val="21"/>
        </w:rPr>
        <w:t>Milvus Blog: OpenClaw Complete Guide — https://milvus.io/blog/openclaw-formerly-clawdbot-moltbot-explained-a-complete-guide-to-the-autonomous-ai-agent.md</w:t>
      </w:r>
    </w:p>
    <w:p>
      <w:pPr>
        <w:pStyle w:val="ListBullet"/>
        <w:spacing w:after="60"/>
        <w:ind w:left="432"/>
      </w:pPr>
      <w:r>
        <w:rPr>
          <w:sz w:val="21"/>
        </w:rPr>
        <w:t>CrowdStrike Security Advisory — https://www.crowdstrike.com/en-us/blog/what-security-teams-need-to-know-about-openclaw-ai-super-agent/</w:t>
      </w:r>
    </w:p>
    <w:p>
      <w:pPr>
        <w:pStyle w:val="ListBullet"/>
        <w:spacing w:after="60"/>
        <w:ind w:left="432"/>
      </w:pPr>
      <w:r>
        <w:rPr>
          <w:sz w:val="21"/>
        </w:rPr>
        <w:t>Contabo: Self-Hosted AI Agent Guide — https://contabo.com/blog/what-is-openclaw-self-hosted-ai-agent-guide/</w:t>
      </w:r>
    </w:p>
    <w:p>
      <w:pPr>
        <w:pStyle w:val="ListBullet"/>
        <w:spacing w:after="60"/>
        <w:ind w:left="432"/>
      </w:pPr>
      <w:r>
        <w:rPr>
          <w:sz w:val="21"/>
        </w:rPr>
        <w:t>Emergent.sh: Features, Use Cases &amp; Limitations — https://emergent.sh/learn/what-is-openclaw</w:t>
      </w:r>
    </w:p>
    <w:p>
      <w:pPr>
        <w:pStyle w:val="ListBullet"/>
        <w:spacing w:after="60"/>
        <w:ind w:left="432"/>
      </w:pPr>
      <w:r>
        <w:rPr>
          <w:sz w:val="21"/>
        </w:rPr>
        <w:t>Hackceleration Review 2026 — https://hackceleration.com/openclaw-review/</w:t>
      </w:r>
    </w:p>
    <w:p>
      <w:pPr>
        <w:pStyle w:val="ListBullet"/>
        <w:spacing w:after="60"/>
        <w:ind w:left="432"/>
      </w:pPr>
      <w:r>
        <w:rPr>
          <w:sz w:val="21"/>
        </w:rPr>
        <w:t>TechCrunch: AI Assistants Building Social Network — https://techcrunch.com/2026/01/30/openclaws-ai-assistants-are-now-building-their-own-social-network/</w:t>
      </w:r>
    </w:p>
    <w:p>
      <w:pPr>
        <w:pStyle w:val="ListBullet"/>
        <w:spacing w:after="60"/>
        <w:ind w:left="432"/>
      </w:pPr>
      <w:r>
        <w:rPr>
          <w:sz w:val="21"/>
        </w:rPr>
        <w:t>TechCrunch: Experts Not Excited — https://techcrunch.com/2026/02/16/after-all-the-hype-some-ai-experts-dont-think-openclaw-is-all-that-exciting/</w:t>
      </w:r>
    </w:p>
    <w:p>
      <w:pPr>
        <w:pStyle w:val="ListBullet"/>
        <w:spacing w:after="60"/>
        <w:ind w:left="432"/>
      </w:pPr>
      <w:r>
        <w:rPr>
          <w:sz w:val="21"/>
        </w:rPr>
        <w:t>Medium (Mehul Gupta): Don't Use OpenClaw — https://medium.com/data-science-in-your-pocket/dont-use-openclaw-a6ea8645cfd4</w:t>
      </w:r>
    </w:p>
    <w:p>
      <w:pPr>
        <w:pStyle w:val="ListBullet"/>
        <w:spacing w:after="60"/>
        <w:ind w:left="432"/>
      </w:pPr>
      <w:r>
        <w:rPr>
          <w:sz w:val="21"/>
        </w:rPr>
        <w:t>Medium (Mehul Gupta): The Viral AI Agent Explained — https://medium.com/data-science-in-your-pocket/what-is-openclaw-the-viral-ai-agent-explained-24e725684448</w:t>
      </w:r>
    </w:p>
    <w:p>
      <w:pPr>
        <w:pStyle w:val="ListBullet"/>
        <w:spacing w:after="60"/>
        <w:ind w:left="432"/>
      </w:pPr>
      <w:r>
        <w:rPr>
          <w:sz w:val="21"/>
        </w:rPr>
        <w:t>Medium (Edwin Lisowski): Why OpenClaw Went Viral — https://medium.com/@elisowski/openclaw-why-this-personal-ai-os-went-viral-overnight-31d668e7d2d7</w:t>
      </w:r>
    </w:p>
    <w:p>
      <w:pPr>
        <w:pStyle w:val="ListBullet"/>
        <w:spacing w:after="60"/>
        <w:ind w:left="432"/>
      </w:pPr>
      <w:r>
        <w:rPr>
          <w:sz w:val="21"/>
        </w:rPr>
        <w:t>Genviral: OpenClaw Social Media Skill — https://finance.yahoo.com/news/genviral-releases-openclaw-skill-automate-051000525.html</w:t>
      </w:r>
    </w:p>
    <w:p>
      <w:pPr>
        <w:pStyle w:val="ListBullet"/>
        <w:spacing w:after="60"/>
        <w:ind w:left="432"/>
      </w:pPr>
      <w:r>
        <w:rPr>
          <w:sz w:val="21"/>
        </w:rPr>
        <w:t>eesel.ai: Best OpenClaw Alternatives 2026 — https://www.eesel.ai/blog/openclaw-ai-alternatives</w:t>
      </w:r>
    </w:p>
    <w:p>
      <w:pPr>
        <w:pStyle w:val="ListBullet"/>
        <w:spacing w:after="60"/>
        <w:ind w:left="432"/>
      </w:pPr>
      <w:r>
        <w:rPr>
          <w:sz w:val="21"/>
        </w:rPr>
        <w:t>DigitalOcean: 7 Security Challenges — https://www.digitalocean.com/resources/articles/openclaw-security-challenges</w:t>
      </w:r>
    </w:p>
    <w:p>
      <w:pPr>
        <w:pStyle w:val="ListBullet"/>
        <w:spacing w:after="60"/>
        <w:ind w:left="432"/>
      </w:pPr>
      <w:r>
        <w:rPr>
          <w:sz w:val="21"/>
        </w:rPr>
        <w:t>Immersive Labs Security Review — https://www.immersivelabs.com/resources/c7-blog/openclaw-what-you-need-to-know-before-it-claws-its-way-into-your-organization</w:t>
      </w:r>
    </w:p>
    <w:p>
      <w:pPr>
        <w:pStyle w:val="ListBullet"/>
        <w:spacing w:after="60"/>
        <w:ind w:left="432"/>
      </w:pPr>
      <w:r>
        <w:rPr>
          <w:sz w:val="21"/>
        </w:rPr>
        <w:t>Sparknovus Marketing Pulse (Feb 2026) — https://sparknovus.com/blog/trust-in-the-world-of-llm-ads-openclaw-reddit-and-governance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