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before="0" w:after="160"/>
        <w:jc w:val="center"/>
      </w:pPr>
      <w:r>
        <w:rPr>
          <w:rFonts w:ascii="Arial" w:cs="Arial" w:eastAsia="Arial" w:hAnsi="Arial"/>
          <w:b/>
          <w:bCs/>
          <w:color w:val="1A1A2E"/>
          <w:sz w:val="72"/>
          <w:szCs w:val="72"/>
        </w:rPr>
        <w:t xml:space="preserve">DONNA</w:t>
      </w:r>
    </w:p>
    <w:p>
      <w:pPr>
        <w:spacing w:before="0" w:after="200"/>
        <w:jc w:val="center"/>
      </w:pPr>
      <w:r>
        <w:rPr>
          <w:rFonts w:ascii="Arial" w:cs="Arial" w:eastAsia="Arial" w:hAnsi="Arial"/>
          <w:b w:val="false"/>
          <w:bCs w:val="false"/>
          <w:color w:val="0F3460"/>
          <w:sz w:val="40"/>
          <w:szCs w:val="40"/>
        </w:rPr>
        <w:t xml:space="preserve">Competitive Pricing Strategy</w:t>
      </w:r>
    </w:p>
    <w:p>
      <w:pPr>
        <w:pBdr>
          <w:bottom w:val="single" w:color="E94560" w:sz="12" w:space="1"/>
        </w:pBdr>
        <w:spacing w:before="160" w:after="160"/>
      </w:pPr>
    </w:p>
    <w:p>
      <w:pPr>
        <w:spacing w:before="200" w:after="80"/>
        <w:jc w:val="center"/>
      </w:pPr>
      <w:r>
        <w:rPr>
          <w:rFonts w:ascii="Arial" w:cs="Arial" w:eastAsia="Arial" w:hAnsi="Arial"/>
          <w:color w:val="4A5568"/>
          <w:sz w:val="24"/>
          <w:szCs w:val="24"/>
        </w:rPr>
        <w:t xml:space="preserve">Prepared: March 2026</w:t>
      </w:r>
    </w:p>
    <w:p>
      <w:pPr>
        <w:spacing w:before="0" w:after="80"/>
        <w:jc w:val="center"/>
      </w:pPr>
      <w:r>
        <w:rPr>
          <w:rFonts w:ascii="Arial" w:cs="Arial" w:eastAsia="Arial" w:hAnsi="Arial"/>
          <w:color w:val="4A5568"/>
          <w:sz w:val="22"/>
          <w:szCs w:val="22"/>
        </w:rPr>
        <w:t xml:space="preserve">Confidential — Internal Use Only</w:t>
      </w:r>
    </w:p>
    <w:p>
      <w:pPr>
        <w:spacing w:before="600"/>
      </w:pPr>
    </w:p>
    <w:p>
      <w:pPr>
        <w:pBdr>
          <w:top w:val="single" w:color="E94560" w:sz="6" w:space="1"/>
        </w:pBdr>
        <w:spacing w:before="0" w:after="0"/>
        <w:jc w:val="center"/>
      </w:pPr>
      <w:r>
        <w:rPr>
          <w:rFonts w:ascii="Arial" w:cs="Arial" w:eastAsia="Arial" w:hAnsi="Arial"/>
          <w:color w:val="4A5568"/>
          <w:sz w:val="24"/>
          <w:szCs w:val="24"/>
        </w:rPr>
        <w:t xml:space="preserve">Your proactive intelligence layer for modern professionals</w:t>
      </w:r>
    </w:p>
    <w:p>
      <w:pPr>
        <w:sectPr>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A1A2E"/>
          <w:sz w:val="36"/>
          <w:szCs w:val="36"/>
        </w:rPr>
        <w:t xml:space="preserve">1. Executive Summary</w:t>
      </w:r>
    </w:p>
    <w:p>
      <w:pPr>
        <w:spacing w:before="0" w:after="120"/>
      </w:pPr>
      <w:r>
        <w:rPr>
          <w:rFonts w:ascii="Arial" w:cs="Arial" w:eastAsia="Arial" w:hAnsi="Arial"/>
          <w:b w:val="false"/>
          <w:bCs w:val="false"/>
          <w:color w:val="1A202C"/>
          <w:sz w:val="22"/>
          <w:szCs w:val="22"/>
        </w:rPr>
        <w:t xml:space="preserve">Donna is a proactive AI intelligence layer — not a chat assistant, not a scheduler, not an email client. It synthesises a user's entire digital life (email, calendar, messages, documents, tasks) and delivers one curated morning briefing that tells them what matters, what they promised, who they have gone cold with, and what to do first. This is a fundamentally different value proposition from every competitor in the market today.</w:t>
      </w:r>
    </w:p>
    <w:p>
      <w:pPr>
        <w:spacing w:before="0" w:after="120"/>
      </w:pPr>
      <w:r>
        <w:rPr>
          <w:rFonts w:ascii="Arial" w:cs="Arial" w:eastAsia="Arial" w:hAnsi="Arial"/>
          <w:b w:val="false"/>
          <w:bCs w:val="false"/>
          <w:color w:val="1A202C"/>
          <w:sz w:val="22"/>
          <w:szCs w:val="22"/>
        </w:rPr>
        <w:t xml:space="preserve">This document provides a competitive landscape analysis and a three-tier pricing recommendation — Basic, Pro, and Enterprise — calibrated to maximise both revenue and perceived user value.</w:t>
      </w:r>
    </w:p>
    <w:p>
      <w:pPr>
        <w:pBdr>
          <w:bottom w:val="single" w:color="CCCCCC" w:sz="6" w:space="1"/>
        </w:pBdr>
        <w:spacing w:before="160" w:after="160"/>
      </w:pPr>
    </w:p>
    <w:p>
      <w:pPr>
        <w:pStyle w:val="Heading1"/>
        <w:spacing w:before="320" w:after="160"/>
      </w:pPr>
      <w:r>
        <w:rPr>
          <w:rFonts w:ascii="Arial" w:cs="Arial" w:eastAsia="Arial" w:hAnsi="Arial"/>
          <w:b/>
          <w:bCs/>
          <w:color w:val="1A1A2E"/>
          <w:sz w:val="36"/>
          <w:szCs w:val="36"/>
        </w:rPr>
        <w:t xml:space="preserve">2. Donna's Core Value Proposition</w:t>
      </w:r>
    </w:p>
    <w:p>
      <w:pPr>
        <w:spacing w:before="0" w:after="120"/>
      </w:pPr>
      <w:r>
        <w:rPr>
          <w:rFonts w:ascii="Arial" w:cs="Arial" w:eastAsia="Arial" w:hAnsi="Arial"/>
          <w:b w:val="false"/>
          <w:bCs w:val="false"/>
          <w:color w:val="1A202C"/>
          <w:sz w:val="22"/>
          <w:szCs w:val="22"/>
        </w:rPr>
        <w:t xml:space="preserve">Before setting prices it is important to understand what Donna does that no single competitor does. Donna's moat is not any one feature — it is the synthesis of all features into one proactive, source-cited, action-ready morning briefing.</w:t>
      </w:r>
    </w:p>
    <w:p>
      <w:pPr>
        <w:pStyle w:val="Heading3"/>
        <w:spacing w:before="200" w:after="80"/>
      </w:pPr>
      <w:r>
        <w:rPr>
          <w:rFonts w:ascii="Arial" w:cs="Arial" w:eastAsia="Arial" w:hAnsi="Arial"/>
          <w:b/>
          <w:bCs/>
          <w:color w:val="2D3748"/>
          <w:sz w:val="24"/>
          <w:szCs w:val="24"/>
        </w:rPr>
        <w:t xml:space="preserve">What Donna Delivers</w:t>
      </w:r>
    </w:p>
    <w:p>
      <w:pPr>
        <w:pStyle w:val="ListParagraph"/>
        <w:numPr>
          <w:ilvl w:val="0"/>
          <w:numId w:val="2"/>
        </w:numPr>
        <w:spacing w:before="0" w:after="60"/>
      </w:pPr>
      <w:r>
        <w:rPr>
          <w:rFonts w:ascii="Arial" w:cs="Arial" w:eastAsia="Arial" w:hAnsi="Arial"/>
          <w:b w:val="false"/>
          <w:bCs w:val="false"/>
          <w:color w:val="1A202C"/>
          <w:sz w:val="22"/>
          <w:szCs w:val="22"/>
        </w:rPr>
        <w:t xml:space="preserve">Cross-source intelligence: email + calendar + messages + documents + tasks synthesised in a single session</w:t>
      </w:r>
    </w:p>
    <w:p>
      <w:pPr>
        <w:pStyle w:val="ListParagraph"/>
        <w:numPr>
          <w:ilvl w:val="0"/>
          <w:numId w:val="2"/>
        </w:numPr>
        <w:spacing w:before="0" w:after="60"/>
      </w:pPr>
      <w:r>
        <w:rPr>
          <w:rFonts w:ascii="Arial" w:cs="Arial" w:eastAsia="Arial" w:hAnsi="Arial"/>
          <w:b w:val="false"/>
          <w:bCs w:val="false"/>
          <w:color w:val="1A202C"/>
          <w:sz w:val="22"/>
          <w:szCs w:val="22"/>
        </w:rPr>
        <w:t xml:space="preserve">Proactive daily briefing: one prioritised, ranked set of items delivered each morning — unprompted</w:t>
      </w:r>
    </w:p>
    <w:p>
      <w:pPr>
        <w:pStyle w:val="ListParagraph"/>
        <w:numPr>
          <w:ilvl w:val="0"/>
          <w:numId w:val="2"/>
        </w:numPr>
        <w:spacing w:before="0" w:after="60"/>
      </w:pPr>
      <w:r>
        <w:rPr>
          <w:rFonts w:ascii="Arial" w:cs="Arial" w:eastAsia="Arial" w:hAnsi="Arial"/>
          <w:b w:val="false"/>
          <w:bCs w:val="false"/>
          <w:color w:val="1A202C"/>
          <w:sz w:val="22"/>
          <w:szCs w:val="22"/>
        </w:rPr>
        <w:t xml:space="preserve">Commitment tracking: AI extracts and monitors every promise the user made or received, with source citations back to the original message</w:t>
      </w:r>
    </w:p>
    <w:p>
      <w:pPr>
        <w:pStyle w:val="ListParagraph"/>
        <w:numPr>
          <w:ilvl w:val="0"/>
          <w:numId w:val="2"/>
        </w:numPr>
        <w:spacing w:before="0" w:after="60"/>
      </w:pPr>
      <w:r>
        <w:rPr>
          <w:rFonts w:ascii="Arial" w:cs="Arial" w:eastAsia="Arial" w:hAnsi="Arial"/>
          <w:b w:val="false"/>
          <w:bCs w:val="false"/>
          <w:color w:val="1A202C"/>
          <w:sz w:val="22"/>
          <w:szCs w:val="22"/>
        </w:rPr>
        <w:t xml:space="preserve">Relationship heartbeat monitor: surfaces contacts that have gone cold and flags relationship health risks</w:t>
      </w:r>
    </w:p>
    <w:p>
      <w:pPr>
        <w:pStyle w:val="ListParagraph"/>
        <w:numPr>
          <w:ilvl w:val="0"/>
          <w:numId w:val="2"/>
        </w:numPr>
        <w:spacing w:before="0" w:after="60"/>
      </w:pPr>
      <w:r>
        <w:rPr>
          <w:rFonts w:ascii="Arial" w:cs="Arial" w:eastAsia="Arial" w:hAnsi="Arial"/>
          <w:b w:val="false"/>
          <w:bCs w:val="false"/>
          <w:color w:val="1A202C"/>
          <w:sz w:val="22"/>
          <w:szCs w:val="22"/>
        </w:rPr>
        <w:t xml:space="preserve">Meeting prep briefs: context-rich briefing generated automatically before each meeting</w:t>
      </w:r>
    </w:p>
    <w:p>
      <w:pPr>
        <w:pStyle w:val="ListParagraph"/>
        <w:numPr>
          <w:ilvl w:val="0"/>
          <w:numId w:val="2"/>
        </w:numPr>
        <w:spacing w:before="0" w:after="60"/>
      </w:pPr>
      <w:r>
        <w:rPr>
          <w:rFonts w:ascii="Arial" w:cs="Arial" w:eastAsia="Arial" w:hAnsi="Arial"/>
          <w:b w:val="false"/>
          <w:bCs w:val="false"/>
          <w:color w:val="1A202C"/>
          <w:sz w:val="22"/>
          <w:szCs w:val="22"/>
        </w:rPr>
        <w:t xml:space="preserve">AI reply drafting: drafts responses in the user's voice without prompting</w:t>
      </w:r>
    </w:p>
    <w:p>
      <w:pPr>
        <w:pStyle w:val="ListParagraph"/>
        <w:numPr>
          <w:ilvl w:val="0"/>
          <w:numId w:val="2"/>
        </w:numPr>
        <w:spacing w:before="0" w:after="60"/>
      </w:pPr>
      <w:r>
        <w:rPr>
          <w:rFonts w:ascii="Arial" w:cs="Arial" w:eastAsia="Arial" w:hAnsi="Arial"/>
          <w:b w:val="false"/>
          <w:bCs w:val="false"/>
          <w:color w:val="1A202C"/>
          <w:sz w:val="22"/>
          <w:szCs w:val="22"/>
        </w:rPr>
        <w:t xml:space="preserve">Tiered action execution: write actions (archive, reply, delegate) execute with the level of user authorisation appropriate to the risk level</w:t>
      </w:r>
    </w:p>
    <w:p>
      <w:pPr>
        <w:pStyle w:val="ListParagraph"/>
        <w:numPr>
          <w:ilvl w:val="0"/>
          <w:numId w:val="2"/>
        </w:numPr>
        <w:spacing w:before="0" w:after="60"/>
      </w:pPr>
      <w:r>
        <w:rPr>
          <w:rFonts w:ascii="Arial" w:cs="Arial" w:eastAsia="Arial" w:hAnsi="Arial"/>
          <w:b w:val="false"/>
          <w:bCs w:val="false"/>
          <w:color w:val="1A202C"/>
          <w:sz w:val="22"/>
          <w:szCs w:val="22"/>
        </w:rPr>
        <w:t xml:space="preserve">Privacy-first architecture: SOC 2-grade, RLS on every table, OAuth tokens in a vault — never in plaintext</w:t>
      </w:r>
    </w:p>
    <w:p>
      <w:pPr>
        <w:spacing w:before="0" w:after="120"/>
      </w:pPr>
      <w:r>
        <w:rPr>
          <w:rFonts w:ascii="Arial" w:cs="Arial" w:eastAsia="Arial" w:hAnsi="Arial"/>
          <w:b w:val="false"/>
          <w:bCs w:val="false"/>
          <w:color w:val="1A202C"/>
          <w:sz w:val="22"/>
          <w:szCs w:val="22"/>
        </w:rPr>
        <w:t xml:space="preserve"/>
      </w:r>
    </w:p>
    <w:p>
      <w:pPr>
        <w:spacing w:before="0" w:after="120"/>
      </w:pPr>
      <w:r>
        <w:rPr>
          <w:rFonts w:ascii="Arial" w:cs="Arial" w:eastAsia="Arial" w:hAnsi="Arial"/>
          <w:b w:val="false"/>
          <w:bCs w:val="false"/>
          <w:color w:val="0F3460"/>
          <w:sz w:val="22"/>
          <w:szCs w:val="22"/>
        </w:rPr>
        <w:t xml:space="preserve">No competitor combines all of these. Superhuman does email only. Motion does scheduling only. Limitless does meeting capture only. Lindy requires DIY workflow construction. Donna does everything, proactively, every morning.</w:t>
      </w:r>
    </w:p>
    <w:p>
      <w:pPr>
        <w:pBdr>
          <w:bottom w:val="single" w:color="CCCCCC" w:sz="6" w:space="1"/>
        </w:pBdr>
        <w:spacing w:before="160" w:after="160"/>
      </w:pPr>
    </w:p>
    <w:p>
      <w:r>
        <w:br w:type="page"/>
      </w:r>
    </w:p>
    <w:p>
      <w:pPr>
        <w:pStyle w:val="Heading1"/>
        <w:spacing w:before="320" w:after="160"/>
      </w:pPr>
      <w:r>
        <w:rPr>
          <w:rFonts w:ascii="Arial" w:cs="Arial" w:eastAsia="Arial" w:hAnsi="Arial"/>
          <w:b/>
          <w:bCs/>
          <w:color w:val="1A1A2E"/>
          <w:sz w:val="36"/>
          <w:szCs w:val="36"/>
        </w:rPr>
        <w:t xml:space="preserve">3. Competitive Landscape</w:t>
      </w:r>
    </w:p>
    <w:p>
      <w:pPr>
        <w:spacing w:before="0" w:after="120"/>
      </w:pPr>
      <w:r>
        <w:rPr>
          <w:rFonts w:ascii="Arial" w:cs="Arial" w:eastAsia="Arial" w:hAnsi="Arial"/>
          <w:b w:val="false"/>
          <w:bCs w:val="false"/>
          <w:color w:val="1A202C"/>
          <w:sz w:val="22"/>
          <w:szCs w:val="22"/>
        </w:rPr>
        <w:t xml:space="preserve">The following analysis covers the six most relevant competitors based on market research conducted in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60"/>
        <w:gridCol w:w="1260"/>
        <w:gridCol w:w="2280"/>
        <w:gridCol w:w="2880"/>
      </w:tblGrid>
      <w:tr>
        <w:trPr>
          <w:tblHeader/>
        </w:trPr>
        <w:tc>
          <w:tcPr>
            <w:tcW w:type="dxa" w:w="168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Competitor</w:t>
            </w:r>
          </w:p>
        </w:tc>
        <w:tc>
          <w:tcPr>
            <w:tcW w:type="dxa" w:w="126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126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Pricing</w:t>
            </w:r>
          </w:p>
        </w:tc>
        <w:tc>
          <w:tcPr>
            <w:tcW w:type="dxa" w:w="228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Strength</w:t>
            </w:r>
          </w:p>
        </w:tc>
        <w:tc>
          <w:tcPr>
            <w:tcW w:type="dxa" w:w="288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vs Donna</w:t>
            </w:r>
          </w:p>
        </w:tc>
      </w:tr>
      <w:tr>
        <w:tc>
          <w:tcPr>
            <w:tcW w:type="dxa" w:w="1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Littlebird.ai</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OS-level AI</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Free + ~$15/mo Plus</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Always-on screen watcher; builds a personal digital twin</w:t>
            </w:r>
          </w:p>
        </w:tc>
        <w:tc>
          <w:tcPr>
            <w:tcW w:type="dxa" w:w="288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Passive/reactive only. No proactive briefing. No commitment tracking. No relationship intelligence. Mac-only.</w:t>
            </w:r>
          </w:p>
        </w:tc>
      </w:tr>
      <w:tr>
        <w:tc>
          <w:tcPr>
            <w:tcW w:type="dxa" w:w="1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OpenClaw / ClawdBot</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Open-source DIY assistant</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Free (self-host) / $6–50/mo hosted</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Highly customisable; runs locally; WhatsApp/Telegram interface</w:t>
            </w:r>
          </w:p>
        </w:tc>
        <w:tc>
          <w:tcPr>
            <w:tcW w:type="dxa" w:w="288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Developer-only setup. No proactive intelligence. No briefing. No commitment or relationship layer. Requires constant user prompting.</w:t>
            </w:r>
          </w:p>
        </w:tc>
      </w:tr>
      <w:tr>
        <w:tc>
          <w:tcPr>
            <w:tcW w:type="dxa" w:w="1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Superhuman</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AI email client</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$30–$40/user/mo</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Fastest email client; auto-drafts; auto-labels; AI reply in your voice</w:t>
            </w:r>
          </w:p>
        </w:tc>
        <w:tc>
          <w:tcPr>
            <w:tcW w:type="dxa" w:w="288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Email-only. No calendar, documents, or messages. No commitment extraction. No morning briefing. No relationship monitoring.</w:t>
            </w:r>
          </w:p>
        </w:tc>
      </w:tr>
      <w:tr>
        <w:tc>
          <w:tcPr>
            <w:tcW w:type="dxa" w:w="1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Motion</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AI scheduler &amp; task manager</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$29–$49+/mo (individual)</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Best-in-class autonomous scheduling; AI manages your calendar in real time</w:t>
            </w:r>
          </w:p>
        </w:tc>
        <w:tc>
          <w:tcPr>
            <w:tcW w:type="dxa" w:w="288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Calendar-only intelligence. No email, messages, or documents. No briefings. No commitment tracking or relationship intelligence.</w:t>
            </w:r>
          </w:p>
        </w:tc>
      </w:tr>
      <w:tr>
        <w:tc>
          <w:tcPr>
            <w:tcW w:type="dxa" w:w="1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Limitless AI</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Meeting capture &amp; memory</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Free tier / $20/mo Pro (acquired by Meta)</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Continuous audio capture; automatic meeting summaries; natural language memory search</w:t>
            </w:r>
          </w:p>
        </w:tc>
        <w:tc>
          <w:tcPr>
            <w:tcW w:type="dxa" w:w="288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Meeting-capture only. No email or calendar cross-referencing. No commitment tracking. No morning briefing. Future uncertain post-Meta acquisition.</w:t>
            </w:r>
          </w:p>
        </w:tc>
      </w:tr>
      <w:tr>
        <w:tc>
          <w:tcPr>
            <w:tcW w:type="dxa" w:w="1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Lindy AI</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DIY AI workflow automation</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$19.99–$49.99/mo (credit-based)</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Flexible multi-source automation; email + calendar + CRM integrations</w:t>
            </w:r>
          </w:p>
        </w:tc>
        <w:tc>
          <w:tcPr>
            <w:tcW w:type="dxa" w:w="288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Requires manual workflow design. Not proactive out of the box. No daily briefing concept. Credit costs unpredictable at scale.</w:t>
            </w:r>
          </w:p>
        </w:tc>
      </w:tr>
      <w:tr>
        <w:tc>
          <w:tcPr>
            <w:tcW w:type="dxa" w:w="1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Reclaim.ai</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AI time blocker</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$8–$18/user/mo</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Smart habit scheduling; protects focus time; integrates with task managers</w:t>
            </w:r>
          </w:p>
        </w:tc>
        <w:tc>
          <w:tcPr>
            <w:tcW w:type="dxa" w:w="288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Calendar time-blocking only. No intelligence across other sources. No briefings, commitments, or relationship data.</w:t>
            </w:r>
          </w:p>
        </w:tc>
      </w:tr>
    </w:tbl>
    <w:p>
      <w:pPr>
        <w:spacing w:after="200"/>
      </w:pPr>
    </w:p>
    <w:p>
      <w:pPr>
        <w:pStyle w:val="Heading3"/>
        <w:spacing w:before="200" w:after="80"/>
      </w:pPr>
      <w:r>
        <w:rPr>
          <w:rFonts w:ascii="Arial" w:cs="Arial" w:eastAsia="Arial" w:hAnsi="Arial"/>
          <w:b/>
          <w:bCs/>
          <w:color w:val="2D3748"/>
          <w:sz w:val="24"/>
          <w:szCs w:val="24"/>
        </w:rPr>
        <w:t xml:space="preserve">Market Pricing Benchmarks</w:t>
      </w:r>
    </w:p>
    <w:p>
      <w:pPr>
        <w:spacing w:before="0" w:after="120"/>
      </w:pPr>
      <w:r>
        <w:rPr>
          <w:rFonts w:ascii="Arial" w:cs="Arial" w:eastAsia="Arial" w:hAnsi="Arial"/>
          <w:b w:val="false"/>
          <w:bCs w:val="false"/>
          <w:color w:val="1A202C"/>
          <w:sz w:val="22"/>
          <w:szCs w:val="22"/>
        </w:rPr>
        <w:t xml:space="preserve">The data above reveals a clear pattern: point solutions in the AI productivity space command $20–$40 per user per month for a single capability (email, scheduling, or meeting capture). Donna is a multi-source intelligence platform — it replaces or surpasses the need for several of these tools simultaneously. This creates strong pricing justification above $25/month for even the entry tier.</w:t>
      </w:r>
    </w:p>
    <w:p>
      <w:pPr>
        <w:pBdr>
          <w:bottom w:val="single" w:color="CCCCCC" w:sz="6" w:space="1"/>
        </w:pBdr>
        <w:spacing w:before="160" w:after="160"/>
      </w:pPr>
    </w:p>
    <w:p>
      <w:r>
        <w:br w:type="page"/>
      </w:r>
    </w:p>
    <w:p>
      <w:pPr>
        <w:pStyle w:val="Heading1"/>
        <w:spacing w:before="320" w:after="160"/>
      </w:pPr>
      <w:r>
        <w:rPr>
          <w:rFonts w:ascii="Arial" w:cs="Arial" w:eastAsia="Arial" w:hAnsi="Arial"/>
          <w:b/>
          <w:bCs/>
          <w:color w:val="1A1A2E"/>
          <w:sz w:val="36"/>
          <w:szCs w:val="36"/>
        </w:rPr>
        <w:t xml:space="preserve">4. Recommended Pricing Strategy</w:t>
      </w:r>
    </w:p>
    <w:p>
      <w:pPr>
        <w:spacing w:before="0" w:after="120"/>
      </w:pPr>
      <w:r>
        <w:rPr>
          <w:rFonts w:ascii="Arial" w:cs="Arial" w:eastAsia="Arial" w:hAnsi="Arial"/>
          <w:b w:val="false"/>
          <w:bCs w:val="false"/>
          <w:color w:val="1A202C"/>
          <w:sz w:val="22"/>
          <w:szCs w:val="22"/>
        </w:rPr>
        <w:t xml:space="preserve">Donna should position as a premium product — not because of vanity, but because the value delivered is measurably higher than any single competitor. The strategy is to price each tier against the point solutions it replaces, so users feel they are saving money even at a higher absolute price.</w:t>
      </w:r>
    </w:p>
    <w:p>
      <w:pPr>
        <w:spacing w:before="200" w:after="80"/>
      </w:pPr>
      <w:r>
        <w:rPr>
          <w:rFonts w:ascii="Arial" w:cs="Arial" w:eastAsia="Arial" w:hAnsi="Arial"/>
          <w:b/>
          <w:bCs/>
          <w:color w:val="1A1A2E"/>
          <w:sz w:val="26"/>
          <w:szCs w:val="26"/>
        </w:rPr>
        <w:t xml:space="preserve">Pricing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BASIC</w:t>
            </w:r>
          </w:p>
        </w:tc>
        <w:tc>
          <w:tcPr>
            <w:tcW w:type="dxa" w:w="312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w:t>
            </w:r>
          </w:p>
        </w:tc>
        <w:tc>
          <w:tcPr>
            <w:tcW w:type="dxa" w:w="312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ENTERPRISE (TEAMS)</w:t>
            </w:r>
          </w:p>
        </w:tc>
      </w:tr>
      <w:tr>
        <w:tc>
          <w:tcPr>
            <w:tcW w:type="dxa" w:w="312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vAlign w:val="center"/>
          </w:tcPr>
          <w:p>
            <w:pPr>
              <w:jc w:val="center"/>
            </w:pPr>
            <w:r>
              <w:rPr>
                <w:rFonts w:ascii="Arial" w:cs="Arial" w:eastAsia="Arial" w:hAnsi="Arial"/>
                <w:b/>
                <w:bCs/>
                <w:color w:val="1A202C"/>
                <w:sz w:val="20"/>
                <w:szCs w:val="20"/>
              </w:rPr>
              <w:t xml:space="preserve">$24 / month</w:t>
            </w:r>
          </w:p>
        </w:tc>
        <w:tc>
          <w:tcPr>
            <w:tcW w:type="dxa" w:w="3120"/>
            <w:tcBorders>
              <w:top w:val="single" w:color="D1D5DB" w:sz="1"/>
              <w:left w:val="single" w:color="D1D5DB" w:sz="1"/>
              <w:bottom w:val="single" w:color="D1D5DB" w:sz="1"/>
              <w:right w:val="single" w:color="D1D5DB" w:sz="1"/>
            </w:tcBorders>
            <w:shd w:fill="DCE8F5" w:val="clear"/>
            <w:tcMar>
              <w:top w:type="dxa" w:w="100"/>
              <w:left w:type="dxa" w:w="140"/>
              <w:bottom w:type="dxa" w:w="100"/>
              <w:right w:type="dxa" w:w="140"/>
            </w:tcMar>
            <w:vAlign w:val="center"/>
          </w:tcPr>
          <w:p>
            <w:pPr>
              <w:jc w:val="center"/>
            </w:pPr>
            <w:r>
              <w:rPr>
                <w:rFonts w:ascii="Arial" w:cs="Arial" w:eastAsia="Arial" w:hAnsi="Arial"/>
                <w:b/>
                <w:bCs/>
                <w:color w:val="1A202C"/>
                <w:sz w:val="20"/>
                <w:szCs w:val="20"/>
              </w:rPr>
              <w:t xml:space="preserve">$49 / month</w:t>
            </w:r>
          </w:p>
        </w:tc>
        <w:tc>
          <w:tcPr>
            <w:tcW w:type="dxa" w:w="31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bCs/>
                <w:color w:val="1A202C"/>
                <w:sz w:val="20"/>
                <w:szCs w:val="20"/>
              </w:rPr>
              <w:t xml:space="preserve">$42 / user / month</w:t>
            </w:r>
          </w:p>
        </w:tc>
      </w:tr>
      <w:tr>
        <w:tc>
          <w:tcPr>
            <w:tcW w:type="dxa" w:w="312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vAlign w:val="center"/>
          </w:tcPr>
          <w:p>
            <w:pPr>
              <w:jc w:val="center"/>
            </w:pPr>
            <w:r>
              <w:rPr>
                <w:rFonts w:ascii="Arial" w:cs="Arial" w:eastAsia="Arial" w:hAnsi="Arial"/>
                <w:b w:val="false"/>
                <w:bCs w:val="false"/>
                <w:color w:val="4A5568"/>
                <w:sz w:val="20"/>
                <w:szCs w:val="20"/>
              </w:rPr>
              <w:t xml:space="preserve">$19 / month billed annually</w:t>
            </w:r>
          </w:p>
        </w:tc>
        <w:tc>
          <w:tcPr>
            <w:tcW w:type="dxa" w:w="3120"/>
            <w:tcBorders>
              <w:top w:val="single" w:color="D1D5DB" w:sz="1"/>
              <w:left w:val="single" w:color="D1D5DB" w:sz="1"/>
              <w:bottom w:val="single" w:color="D1D5DB" w:sz="1"/>
              <w:right w:val="single" w:color="D1D5DB" w:sz="1"/>
            </w:tcBorders>
            <w:shd w:fill="DCE8F5" w:val="clear"/>
            <w:tcMar>
              <w:top w:type="dxa" w:w="100"/>
              <w:left w:type="dxa" w:w="140"/>
              <w:bottom w:type="dxa" w:w="100"/>
              <w:right w:type="dxa" w:w="140"/>
            </w:tcMar>
            <w:vAlign w:val="center"/>
          </w:tcPr>
          <w:p>
            <w:pPr>
              <w:jc w:val="center"/>
            </w:pPr>
            <w:r>
              <w:rPr>
                <w:rFonts w:ascii="Arial" w:cs="Arial" w:eastAsia="Arial" w:hAnsi="Arial"/>
                <w:b w:val="false"/>
                <w:bCs w:val="false"/>
                <w:color w:val="4A5568"/>
                <w:sz w:val="20"/>
                <w:szCs w:val="20"/>
              </w:rPr>
              <w:t xml:space="preserve">$39 / month billed annually</w:t>
            </w:r>
          </w:p>
        </w:tc>
        <w:tc>
          <w:tcPr>
            <w:tcW w:type="dxa" w:w="31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4A5568"/>
                <w:sz w:val="20"/>
                <w:szCs w:val="20"/>
              </w:rPr>
              <w:t xml:space="preserve">$35 / user / month billed annually
(5-seat minimum)</w:t>
            </w:r>
          </w:p>
        </w:tc>
      </w:tr>
      <w:tr>
        <w:tc>
          <w:tcPr>
            <w:tcW w:type="dxa" w:w="312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vAlign w:val="center"/>
          </w:tcPr>
          <w:p>
            <w:pPr>
              <w:jc w:val="left"/>
            </w:pPr>
            <w:r>
              <w:rPr>
                <w:rFonts w:ascii="Arial" w:cs="Arial" w:eastAsia="Arial" w:hAnsi="Arial"/>
                <w:b w:val="false"/>
                <w:bCs w:val="false"/>
                <w:color w:val="4A5568"/>
                <w:sz w:val="20"/>
                <w:szCs w:val="20"/>
              </w:rPr>
              <w:t xml:space="preserve">For individuals wanting a daily intelligence briefing from their core tools.</w:t>
            </w:r>
          </w:p>
        </w:tc>
        <w:tc>
          <w:tcPr>
            <w:tcW w:type="dxa" w:w="3120"/>
            <w:tcBorders>
              <w:top w:val="single" w:color="D1D5DB" w:sz="1"/>
              <w:left w:val="single" w:color="D1D5DB" w:sz="1"/>
              <w:bottom w:val="single" w:color="D1D5DB" w:sz="1"/>
              <w:right w:val="single" w:color="D1D5DB" w:sz="1"/>
            </w:tcBorders>
            <w:shd w:fill="DCE8F5" w:val="clear"/>
            <w:tcMar>
              <w:top w:type="dxa" w:w="100"/>
              <w:left w:type="dxa" w:w="140"/>
              <w:bottom w:type="dxa" w:w="100"/>
              <w:right w:type="dxa" w:w="140"/>
            </w:tcMar>
            <w:vAlign w:val="center"/>
          </w:tcPr>
          <w:p>
            <w:pPr>
              <w:jc w:val="left"/>
            </w:pPr>
            <w:r>
              <w:rPr>
                <w:rFonts w:ascii="Arial" w:cs="Arial" w:eastAsia="Arial" w:hAnsi="Arial"/>
                <w:b w:val="false"/>
                <w:bCs w:val="false"/>
                <w:color w:val="4A5568"/>
                <w:sz w:val="20"/>
                <w:szCs w:val="20"/>
              </w:rPr>
              <w:t xml:space="preserve">For power users who want Donna across their entire digital life with full autonomy features.</w:t>
            </w:r>
          </w:p>
        </w:tc>
        <w:tc>
          <w:tcPr>
            <w:tcW w:type="dxa" w:w="31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4A5568"/>
                <w:sz w:val="20"/>
                <w:szCs w:val="20"/>
              </w:rPr>
              <w:t xml:space="preserve">For teams that want shared intelligence, audit trails, SSO, and dedicated support.</w:t>
            </w:r>
          </w:p>
        </w:tc>
      </w:tr>
    </w:tbl>
    <w:p>
      <w:pPr>
        <w:spacing w:after="280"/>
      </w:pPr>
    </w:p>
    <w:p>
      <w:pPr>
        <w:pStyle w:val="Heading2"/>
        <w:spacing w:before="280" w:after="120"/>
      </w:pPr>
      <w:r>
        <w:rPr>
          <w:rFonts w:ascii="Arial" w:cs="Arial" w:eastAsia="Arial" w:hAnsi="Arial"/>
          <w:b/>
          <w:bCs/>
          <w:color w:val="0F3460"/>
          <w:sz w:val="28"/>
          <w:szCs w:val="28"/>
        </w:rPr>
        <w:t xml:space="preserve">4a. Basic — $24/mo (or $19/mo annual)</w:t>
      </w:r>
    </w:p>
    <w:p>
      <w:pPr>
        <w:spacing w:before="0" w:after="120"/>
      </w:pPr>
      <w:r>
        <w:rPr>
          <w:rFonts w:ascii="Arial" w:cs="Arial" w:eastAsia="Arial" w:hAnsi="Arial"/>
          <w:b w:val="false"/>
          <w:bCs w:val="false"/>
          <w:color w:val="1A202C"/>
          <w:sz w:val="22"/>
          <w:szCs w:val="22"/>
        </w:rPr>
        <w:t xml:space="preserve">Target: Individuals who want the core morning briefing experience but are not yet ready to connect all their tools or pay a premium price. The Basic tier is your top-of-funnel — it is priced to be a no-brainer upgrade from free trials and to convert individual professionals who currently pay $0 for any AI intelligence tool.</w:t>
      </w:r>
    </w:p>
    <w:p>
      <w:pPr>
        <w:spacing w:before="0" w:after="120"/>
      </w:pPr>
      <w:r>
        <w:rPr>
          <w:rFonts w:ascii="Arial" w:cs="Arial" w:eastAsia="Arial" w:hAnsi="Arial"/>
          <w:b w:val="false"/>
          <w:bCs w:val="false"/>
          <w:color w:val="0F3460"/>
          <w:sz w:val="22"/>
          <w:szCs w:val="22"/>
        </w:rPr>
        <w:t xml:space="preserve">Pricing rationale: At $19–$24/mo, Basic is priced below Superhuman's entry ($30/mo) for a product that does more across more sources. It is positioned as cheaper than a single point solution, which makes the value feel immediate.</w:t>
      </w:r>
    </w:p>
    <w:p>
      <w:pPr>
        <w:pStyle w:val="Heading3"/>
        <w:spacing w:before="200" w:after="80"/>
      </w:pPr>
      <w:r>
        <w:rPr>
          <w:rFonts w:ascii="Arial" w:cs="Arial" w:eastAsia="Arial" w:hAnsi="Arial"/>
          <w:b/>
          <w:bCs/>
          <w:color w:val="2D3748"/>
          <w:sz w:val="24"/>
          <w:szCs w:val="24"/>
        </w:rPr>
        <w:t xml:space="preserve">Basic — Feature Set</w:t>
      </w:r>
    </w:p>
    <w:p>
      <w:pPr>
        <w:pStyle w:val="ListParagraph"/>
        <w:numPr>
          <w:ilvl w:val="0"/>
          <w:numId w:val="2"/>
        </w:numPr>
        <w:spacing w:before="0" w:after="60"/>
      </w:pPr>
      <w:r>
        <w:rPr>
          <w:rFonts w:ascii="Arial" w:cs="Arial" w:eastAsia="Arial" w:hAnsi="Arial"/>
          <w:b w:val="false"/>
          <w:bCs w:val="false"/>
          <w:color w:val="1A202C"/>
          <w:sz w:val="22"/>
          <w:szCs w:val="22"/>
        </w:rPr>
        <w:t xml:space="preserve">Daily morning briefing (up to 10 items, ranked by priority)</w:t>
      </w:r>
    </w:p>
    <w:p>
      <w:pPr>
        <w:pStyle w:val="ListParagraph"/>
        <w:numPr>
          <w:ilvl w:val="0"/>
          <w:numId w:val="2"/>
        </w:numPr>
        <w:spacing w:before="0" w:after="60"/>
      </w:pPr>
      <w:r>
        <w:rPr>
          <w:rFonts w:ascii="Arial" w:cs="Arial" w:eastAsia="Arial" w:hAnsi="Arial"/>
          <w:b w:val="false"/>
          <w:bCs w:val="false"/>
          <w:color w:val="1A202C"/>
          <w:sz w:val="22"/>
          <w:szCs w:val="22"/>
        </w:rPr>
        <w:t xml:space="preserve">Email integration — Google (Gmail) OR Microsoft (Outlook) — one account</w:t>
      </w:r>
    </w:p>
    <w:p>
      <w:pPr>
        <w:pStyle w:val="ListParagraph"/>
        <w:numPr>
          <w:ilvl w:val="0"/>
          <w:numId w:val="2"/>
        </w:numPr>
        <w:spacing w:before="0" w:after="60"/>
      </w:pPr>
      <w:r>
        <w:rPr>
          <w:rFonts w:ascii="Arial" w:cs="Arial" w:eastAsia="Arial" w:hAnsi="Arial"/>
          <w:b w:val="false"/>
          <w:bCs w:val="false"/>
          <w:color w:val="1A202C"/>
          <w:sz w:val="22"/>
          <w:szCs w:val="22"/>
        </w:rPr>
        <w:t xml:space="preserve">Calendar integration — Google Calendar OR Outlook Calendar — one calendar</w:t>
      </w:r>
    </w:p>
    <w:p>
      <w:pPr>
        <w:pStyle w:val="ListParagraph"/>
        <w:numPr>
          <w:ilvl w:val="0"/>
          <w:numId w:val="2"/>
        </w:numPr>
        <w:spacing w:before="0" w:after="60"/>
      </w:pPr>
      <w:r>
        <w:rPr>
          <w:rFonts w:ascii="Arial" w:cs="Arial" w:eastAsia="Arial" w:hAnsi="Arial"/>
          <w:b w:val="false"/>
          <w:bCs w:val="false"/>
          <w:color w:val="1A202C"/>
          <w:sz w:val="22"/>
          <w:szCs w:val="22"/>
        </w:rPr>
        <w:t xml:space="preserve">Commitment extraction and tracking — 90-day history</w:t>
      </w:r>
    </w:p>
    <w:p>
      <w:pPr>
        <w:pStyle w:val="ListParagraph"/>
        <w:numPr>
          <w:ilvl w:val="0"/>
          <w:numId w:val="2"/>
        </w:numPr>
        <w:spacing w:before="0" w:after="60"/>
      </w:pPr>
      <w:r>
        <w:rPr>
          <w:rFonts w:ascii="Arial" w:cs="Arial" w:eastAsia="Arial" w:hAnsi="Arial"/>
          <w:b w:val="false"/>
          <w:bCs w:val="false"/>
          <w:color w:val="1A202C"/>
          <w:sz w:val="22"/>
          <w:szCs w:val="22"/>
        </w:rPr>
        <w:t xml:space="preserve">Basic people view — see who you are overdue to follow up with</w:t>
      </w:r>
    </w:p>
    <w:p>
      <w:pPr>
        <w:pStyle w:val="ListParagraph"/>
        <w:numPr>
          <w:ilvl w:val="0"/>
          <w:numId w:val="2"/>
        </w:numPr>
        <w:spacing w:before="0" w:after="60"/>
      </w:pPr>
      <w:r>
        <w:rPr>
          <w:rFonts w:ascii="Arial" w:cs="Arial" w:eastAsia="Arial" w:hAnsi="Arial"/>
          <w:b w:val="false"/>
          <w:bCs w:val="false"/>
          <w:color w:val="1A202C"/>
          <w:sz w:val="22"/>
          <w:szCs w:val="22"/>
        </w:rPr>
        <w:t xml:space="preserve">Mobile app (iOS and Android)</w:t>
      </w:r>
    </w:p>
    <w:p>
      <w:pPr>
        <w:pStyle w:val="ListParagraph"/>
        <w:numPr>
          <w:ilvl w:val="0"/>
          <w:numId w:val="2"/>
        </w:numPr>
        <w:spacing w:before="0" w:after="60"/>
      </w:pPr>
      <w:r>
        <w:rPr>
          <w:rFonts w:ascii="Arial" w:cs="Arial" w:eastAsia="Arial" w:hAnsi="Arial"/>
          <w:b w:val="false"/>
          <w:bCs w:val="false"/>
          <w:color w:val="1A202C"/>
          <w:sz w:val="22"/>
          <w:szCs w:val="22"/>
        </w:rPr>
        <w:t xml:space="preserve">Standard support (email, 48-hour response SLA)</w:t>
      </w:r>
    </w:p>
    <w:p>
      <w:pPr>
        <w:pStyle w:val="ListParagraph"/>
        <w:numPr>
          <w:ilvl w:val="0"/>
          <w:numId w:val="2"/>
        </w:numPr>
        <w:spacing w:before="0" w:after="60"/>
      </w:pPr>
      <w:r>
        <w:rPr>
          <w:rFonts w:ascii="Arial" w:cs="Arial" w:eastAsia="Arial" w:hAnsi="Arial"/>
          <w:b w:val="false"/>
          <w:bCs w:val="false"/>
          <w:color w:val="1A202C"/>
          <w:sz w:val="22"/>
          <w:szCs w:val="22"/>
        </w:rPr>
        <w:t xml:space="preserve">Up to 3 connected integrations</w:t>
      </w:r>
    </w:p>
    <w:p>
      <w:pPr>
        <w:pStyle w:val="ListParagraph"/>
        <w:numPr>
          <w:ilvl w:val="0"/>
          <w:numId w:val="2"/>
        </w:numPr>
        <w:spacing w:before="0" w:after="60"/>
      </w:pPr>
      <w:r>
        <w:rPr>
          <w:rFonts w:ascii="Arial" w:cs="Arial" w:eastAsia="Arial" w:hAnsi="Arial"/>
          <w:b w:val="false"/>
          <w:bCs w:val="false"/>
          <w:color w:val="1A202C"/>
          <w:sz w:val="22"/>
          <w:szCs w:val="22"/>
        </w:rPr>
        <w:t xml:space="preserve">1 user seat</w:t>
      </w:r>
    </w:p>
    <w:p>
      <w:pPr>
        <w:spacing w:before="0" w:after="120"/>
      </w:pPr>
      <w:r>
        <w:rPr>
          <w:rFonts w:ascii="Arial" w:cs="Arial" w:eastAsia="Arial" w:hAnsi="Arial"/>
          <w:b w:val="false"/>
          <w:bCs w:val="false"/>
          <w:color w:val="1A202C"/>
          <w:sz w:val="22"/>
          <w:szCs w:val="22"/>
        </w:rPr>
        <w:t xml:space="preserve"/>
      </w:r>
    </w:p>
    <w:p>
      <w:pPr>
        <w:spacing w:before="0" w:after="120"/>
      </w:pPr>
      <w:r>
        <w:rPr>
          <w:rFonts w:ascii="Arial" w:cs="Arial" w:eastAsia="Arial" w:hAnsi="Arial"/>
          <w:b w:val="false"/>
          <w:bCs w:val="false"/>
          <w:color w:val="1A202C"/>
          <w:sz w:val="22"/>
          <w:szCs w:val="22"/>
        </w:rPr>
        <w:t xml:space="preserve">What is NOT included in Basic: Slack, Notion, and additional integrations; Heartbeat Monitor; Meeting Prep briefs; AI reply drafting; action execution autonomy settings; unlimited history; and vector search.</w:t>
      </w:r>
    </w:p>
    <w:p>
      <w:pPr>
        <w:pBdr>
          <w:bottom w:val="single" w:color="CCCCCC" w:sz="6" w:space="1"/>
        </w:pBdr>
        <w:spacing w:before="160" w:after="160"/>
      </w:pPr>
    </w:p>
    <w:p>
      <w:pPr>
        <w:pStyle w:val="Heading2"/>
        <w:spacing w:before="280" w:after="120"/>
      </w:pPr>
      <w:r>
        <w:rPr>
          <w:rFonts w:ascii="Arial" w:cs="Arial" w:eastAsia="Arial" w:hAnsi="Arial"/>
          <w:b/>
          <w:bCs/>
          <w:color w:val="0F3460"/>
          <w:sz w:val="28"/>
          <w:szCs w:val="28"/>
        </w:rPr>
        <w:t xml:space="preserve">4b. Pro — $49/mo (or $39/mo annual)</w:t>
      </w:r>
    </w:p>
    <w:p>
      <w:pPr>
        <w:spacing w:before="0" w:after="120"/>
      </w:pPr>
      <w:r>
        <w:rPr>
          <w:rFonts w:ascii="Arial" w:cs="Arial" w:eastAsia="Arial" w:hAnsi="Arial"/>
          <w:b w:val="false"/>
          <w:bCs w:val="false"/>
          <w:color w:val="1A202C"/>
          <w:sz w:val="22"/>
          <w:szCs w:val="22"/>
        </w:rPr>
        <w:t xml:space="preserve">Target: Knowledge workers, founders, operators, and executives who want Donna to be their primary intelligence layer across their entire digital life. Pro is your core revenue driver. The goal is to make Pro the default choice for anyone who seriously evaluates Donna.</w:t>
      </w:r>
    </w:p>
    <w:p>
      <w:pPr>
        <w:spacing w:before="0" w:after="120"/>
      </w:pPr>
      <w:r>
        <w:rPr>
          <w:rFonts w:ascii="Arial" w:cs="Arial" w:eastAsia="Arial" w:hAnsi="Arial"/>
          <w:b w:val="false"/>
          <w:bCs w:val="false"/>
          <w:color w:val="0F3460"/>
          <w:sz w:val="22"/>
          <w:szCs w:val="22"/>
        </w:rPr>
        <w:t xml:space="preserve">Pricing rationale: At $39–$49/mo, Pro is priced at a modest premium to Superhuman ($30–$40) but delivers email intelligence PLUS calendar intelligence PLUS Slack PLUS Notion PLUS meeting prep PLUS relationship monitoring PLUS action execution. The bundled value versus buying point solutions separately (Superhuman $40 + Motion $29 + Limitless $20 = $89/mo) makes Pro feel like a significant saving.</w:t>
      </w:r>
    </w:p>
    <w:p>
      <w:pPr>
        <w:pStyle w:val="Heading3"/>
        <w:spacing w:before="200" w:after="80"/>
      </w:pPr>
      <w:r>
        <w:rPr>
          <w:rFonts w:ascii="Arial" w:cs="Arial" w:eastAsia="Arial" w:hAnsi="Arial"/>
          <w:b/>
          <w:bCs/>
          <w:color w:val="2D3748"/>
          <w:sz w:val="24"/>
          <w:szCs w:val="24"/>
        </w:rPr>
        <w:t xml:space="preserve">Pro — Feature Set (everything in Basic, plus)</w:t>
      </w:r>
    </w:p>
    <w:p>
      <w:pPr>
        <w:pStyle w:val="ListParagraph"/>
        <w:numPr>
          <w:ilvl w:val="0"/>
          <w:numId w:val="2"/>
        </w:numPr>
        <w:spacing w:before="0" w:after="60"/>
      </w:pPr>
      <w:r>
        <w:rPr>
          <w:rFonts w:ascii="Arial" w:cs="Arial" w:eastAsia="Arial" w:hAnsi="Arial"/>
          <w:b w:val="false"/>
          <w:bCs w:val="false"/>
          <w:color w:val="1A202C"/>
          <w:sz w:val="22"/>
          <w:szCs w:val="22"/>
        </w:rPr>
        <w:t xml:space="preserve">Unlimited integrations: Gmail, Outlook, Google Calendar, Outlook Calendar, Slack, Notion, and all future integrations as they ship</w:t>
      </w:r>
    </w:p>
    <w:p>
      <w:pPr>
        <w:pStyle w:val="ListParagraph"/>
        <w:numPr>
          <w:ilvl w:val="0"/>
          <w:numId w:val="2"/>
        </w:numPr>
        <w:spacing w:before="0" w:after="60"/>
      </w:pPr>
      <w:r>
        <w:rPr>
          <w:rFonts w:ascii="Arial" w:cs="Arial" w:eastAsia="Arial" w:hAnsi="Arial"/>
          <w:b w:val="false"/>
          <w:bCs w:val="false"/>
          <w:color w:val="1A202C"/>
          <w:sz w:val="22"/>
          <w:szCs w:val="22"/>
        </w:rPr>
        <w:t xml:space="preserve">Daily morning briefing — unlimited items, all sources, full context</w:t>
      </w:r>
    </w:p>
    <w:p>
      <w:pPr>
        <w:pStyle w:val="ListParagraph"/>
        <w:numPr>
          <w:ilvl w:val="0"/>
          <w:numId w:val="2"/>
        </w:numPr>
        <w:spacing w:before="0" w:after="60"/>
      </w:pPr>
      <w:r>
        <w:rPr>
          <w:rFonts w:ascii="Arial" w:cs="Arial" w:eastAsia="Arial" w:hAnsi="Arial"/>
          <w:b w:val="false"/>
          <w:bCs w:val="false"/>
          <w:color w:val="1A202C"/>
          <w:sz w:val="22"/>
          <w:szCs w:val="22"/>
        </w:rPr>
        <w:t xml:space="preserve">Heartbeat Monitor — relationship health scoring; flags contacts you have gone cold with</w:t>
      </w:r>
    </w:p>
    <w:p>
      <w:pPr>
        <w:pStyle w:val="ListParagraph"/>
        <w:numPr>
          <w:ilvl w:val="0"/>
          <w:numId w:val="2"/>
        </w:numPr>
        <w:spacing w:before="0" w:after="60"/>
      </w:pPr>
      <w:r>
        <w:rPr>
          <w:rFonts w:ascii="Arial" w:cs="Arial" w:eastAsia="Arial" w:hAnsi="Arial"/>
          <w:b w:val="false"/>
          <w:bCs w:val="false"/>
          <w:color w:val="1A202C"/>
          <w:sz w:val="22"/>
          <w:szCs w:val="22"/>
        </w:rPr>
        <w:t xml:space="preserve">Meeting Prep briefs — Donna generates a pre-meeting brief for every calendar event, drawing on all connected sources</w:t>
      </w:r>
    </w:p>
    <w:p>
      <w:pPr>
        <w:pStyle w:val="ListParagraph"/>
        <w:numPr>
          <w:ilvl w:val="0"/>
          <w:numId w:val="2"/>
        </w:numPr>
        <w:spacing w:before="0" w:after="60"/>
      </w:pPr>
      <w:r>
        <w:rPr>
          <w:rFonts w:ascii="Arial" w:cs="Arial" w:eastAsia="Arial" w:hAnsi="Arial"/>
          <w:b w:val="false"/>
          <w:bCs w:val="false"/>
          <w:color w:val="1A202C"/>
          <w:sz w:val="22"/>
          <w:szCs w:val="22"/>
        </w:rPr>
        <w:t xml:space="preserve">AI reply drafting — draft replies in your voice, powered by your writing history</w:t>
      </w:r>
    </w:p>
    <w:p>
      <w:pPr>
        <w:pStyle w:val="ListParagraph"/>
        <w:numPr>
          <w:ilvl w:val="0"/>
          <w:numId w:val="2"/>
        </w:numPr>
        <w:spacing w:before="0" w:after="60"/>
      </w:pPr>
      <w:r>
        <w:rPr>
          <w:rFonts w:ascii="Arial" w:cs="Arial" w:eastAsia="Arial" w:hAnsi="Arial"/>
          <w:b w:val="false"/>
          <w:bCs w:val="false"/>
          <w:color w:val="1A202C"/>
          <w:sz w:val="22"/>
          <w:szCs w:val="22"/>
        </w:rPr>
        <w:t xml:space="preserve">Action execution with Autonomy Settings — configure Tier 1 (silent auto-execute) for pre-approved routine actions</w:t>
      </w:r>
    </w:p>
    <w:p>
      <w:pPr>
        <w:pStyle w:val="ListParagraph"/>
        <w:numPr>
          <w:ilvl w:val="0"/>
          <w:numId w:val="2"/>
        </w:numPr>
        <w:spacing w:before="0" w:after="60"/>
      </w:pPr>
      <w:r>
        <w:rPr>
          <w:rFonts w:ascii="Arial" w:cs="Arial" w:eastAsia="Arial" w:hAnsi="Arial"/>
          <w:b w:val="false"/>
          <w:bCs w:val="false"/>
          <w:color w:val="1A202C"/>
          <w:sz w:val="22"/>
          <w:szCs w:val="22"/>
        </w:rPr>
        <w:t xml:space="preserve">Unlimited commitment history + vector search — search across your entire digital memory</w:t>
      </w:r>
    </w:p>
    <w:p>
      <w:pPr>
        <w:pStyle w:val="ListParagraph"/>
        <w:numPr>
          <w:ilvl w:val="0"/>
          <w:numId w:val="2"/>
        </w:numPr>
        <w:spacing w:before="0" w:after="60"/>
      </w:pPr>
      <w:r>
        <w:rPr>
          <w:rFonts w:ascii="Arial" w:cs="Arial" w:eastAsia="Arial" w:hAnsi="Arial"/>
          <w:b w:val="false"/>
          <w:bCs w:val="false"/>
          <w:color w:val="1A202C"/>
          <w:sz w:val="22"/>
          <w:szCs w:val="22"/>
        </w:rPr>
        <w:t xml:space="preserve">Priority support — 8-hour response SLA, chat support</w:t>
      </w:r>
    </w:p>
    <w:p>
      <w:pPr>
        <w:pStyle w:val="ListParagraph"/>
        <w:numPr>
          <w:ilvl w:val="0"/>
          <w:numId w:val="2"/>
        </w:numPr>
        <w:spacing w:before="0" w:after="60"/>
      </w:pPr>
      <w:r>
        <w:rPr>
          <w:rFonts w:ascii="Arial" w:cs="Arial" w:eastAsia="Arial" w:hAnsi="Arial"/>
          <w:b w:val="false"/>
          <w:bCs w:val="false"/>
          <w:color w:val="1A202C"/>
          <w:sz w:val="22"/>
          <w:szCs w:val="22"/>
        </w:rPr>
        <w:t xml:space="preserve">1 user seat</w:t>
      </w:r>
    </w:p>
    <w:p>
      <w:pPr>
        <w:spacing w:before="0" w:after="120"/>
      </w:pPr>
      <w:r>
        <w:rPr>
          <w:rFonts w:ascii="Arial" w:cs="Arial" w:eastAsia="Arial" w:hAnsi="Arial"/>
          <w:b w:val="false"/>
          <w:bCs w:val="false"/>
          <w:color w:val="1A202C"/>
          <w:sz w:val="22"/>
          <w:szCs w:val="22"/>
        </w:rPr>
        <w:t xml:space="preserve"/>
      </w:r>
    </w:p>
    <w:p>
      <w:pPr>
        <w:spacing w:before="0" w:after="120"/>
      </w:pPr>
      <w:r>
        <w:rPr>
          <w:rFonts w:ascii="Arial" w:cs="Arial" w:eastAsia="Arial" w:hAnsi="Arial"/>
          <w:b w:val="false"/>
          <w:bCs w:val="false"/>
          <w:color w:val="1A202C"/>
          <w:sz w:val="22"/>
          <w:szCs w:val="22"/>
        </w:rPr>
        <w:t xml:space="preserve">Pro is where you make your money. It is the tier most users will choose once they experience Basic and hit its limits. The annual discount (21%) creates a strong incentive to commit, driving better LTV and predictable revenue.</w:t>
      </w:r>
    </w:p>
    <w:p>
      <w:pPr>
        <w:pBdr>
          <w:bottom w:val="single" w:color="CCCCCC" w:sz="6" w:space="1"/>
        </w:pBdr>
        <w:spacing w:before="160" w:after="160"/>
      </w:pPr>
    </w:p>
    <w:p>
      <w:r>
        <w:br w:type="page"/>
      </w:r>
    </w:p>
    <w:p>
      <w:pPr>
        <w:pStyle w:val="Heading2"/>
        <w:spacing w:before="280" w:after="120"/>
      </w:pPr>
      <w:r>
        <w:rPr>
          <w:rFonts w:ascii="Arial" w:cs="Arial" w:eastAsia="Arial" w:hAnsi="Arial"/>
          <w:b/>
          <w:bCs/>
          <w:color w:val="0F3460"/>
          <w:sz w:val="28"/>
          <w:szCs w:val="28"/>
        </w:rPr>
        <w:t xml:space="preserve">4c. Enterprise (Teams) — $42/user/mo (or $35/user/mo annual, 5-seat minimum)</w:t>
      </w:r>
    </w:p>
    <w:p>
      <w:pPr>
        <w:spacing w:before="0" w:after="120"/>
      </w:pPr>
      <w:r>
        <w:rPr>
          <w:rFonts w:ascii="Arial" w:cs="Arial" w:eastAsia="Arial" w:hAnsi="Arial"/>
          <w:b w:val="false"/>
          <w:bCs w:val="false"/>
          <w:color w:val="1A202C"/>
          <w:sz w:val="22"/>
          <w:szCs w:val="22"/>
        </w:rPr>
        <w:t xml:space="preserve">Target: Teams of 5 or more — startups, sales teams, executive leadership groups, and mid-market companies — who want shared intelligence, team-level relationship monitoring, and the security/compliance guarantees required by IT and legal.</w:t>
      </w:r>
    </w:p>
    <w:p>
      <w:pPr>
        <w:spacing w:before="0" w:after="120"/>
      </w:pPr>
      <w:r>
        <w:rPr>
          <w:rFonts w:ascii="Arial" w:cs="Arial" w:eastAsia="Arial" w:hAnsi="Arial"/>
          <w:b w:val="false"/>
          <w:bCs w:val="false"/>
          <w:color w:val="0F3460"/>
          <w:sz w:val="22"/>
          <w:szCs w:val="22"/>
        </w:rPr>
        <w:t xml:space="preserve">Pricing rationale: At $35–$42/user/mo, Enterprise is priced above Pro on a per-user basis because it includes team-level features that multiply in value with seat count. This is consistent with the market — Reclaim charges $18/user/mo for calendar-blocking alone; Donna charges $35/user/mo for the complete intelligence layer plus team capabilities. Enterprise contracts at 10–25+ seats generate $4,200–$12,600/month per account.</w:t>
      </w:r>
    </w:p>
    <w:p>
      <w:pPr>
        <w:pStyle w:val="Heading3"/>
        <w:spacing w:before="200" w:after="80"/>
      </w:pPr>
      <w:r>
        <w:rPr>
          <w:rFonts w:ascii="Arial" w:cs="Arial" w:eastAsia="Arial" w:hAnsi="Arial"/>
          <w:b/>
          <w:bCs/>
          <w:color w:val="2D3748"/>
          <w:sz w:val="24"/>
          <w:szCs w:val="24"/>
        </w:rPr>
        <w:t xml:space="preserve">Enterprise — Feature Set (everything in Pro, per user, plus)</w:t>
      </w:r>
    </w:p>
    <w:p>
      <w:pPr>
        <w:pStyle w:val="ListParagraph"/>
        <w:numPr>
          <w:ilvl w:val="0"/>
          <w:numId w:val="2"/>
        </w:numPr>
        <w:spacing w:before="0" w:after="60"/>
      </w:pPr>
      <w:r>
        <w:rPr>
          <w:rFonts w:ascii="Arial" w:cs="Arial" w:eastAsia="Arial" w:hAnsi="Arial"/>
          <w:b w:val="false"/>
          <w:bCs w:val="false"/>
          <w:color w:val="1A202C"/>
          <w:sz w:val="22"/>
          <w:szCs w:val="22"/>
        </w:rPr>
        <w:t xml:space="preserve">Team morning briefing — shared team context layer alongside individual briefings; surface what your team is working on</w:t>
      </w:r>
    </w:p>
    <w:p>
      <w:pPr>
        <w:pStyle w:val="ListParagraph"/>
        <w:numPr>
          <w:ilvl w:val="0"/>
          <w:numId w:val="2"/>
        </w:numPr>
        <w:spacing w:before="0" w:after="60"/>
      </w:pPr>
      <w:r>
        <w:rPr>
          <w:rFonts w:ascii="Arial" w:cs="Arial" w:eastAsia="Arial" w:hAnsi="Arial"/>
          <w:b w:val="false"/>
          <w:bCs w:val="false"/>
          <w:color w:val="1A202C"/>
          <w:sz w:val="22"/>
          <w:szCs w:val="22"/>
        </w:rPr>
        <w:t xml:space="preserve">Team Heartbeat Monitor — see which key contacts have gone cold across the entire team, not just individually</w:t>
      </w:r>
    </w:p>
    <w:p>
      <w:pPr>
        <w:pStyle w:val="ListParagraph"/>
        <w:numPr>
          <w:ilvl w:val="0"/>
          <w:numId w:val="2"/>
        </w:numPr>
        <w:spacing w:before="0" w:after="60"/>
      </w:pPr>
      <w:r>
        <w:rPr>
          <w:rFonts w:ascii="Arial" w:cs="Arial" w:eastAsia="Arial" w:hAnsi="Arial"/>
          <w:b w:val="false"/>
          <w:bCs w:val="false"/>
          <w:color w:val="1A202C"/>
          <w:sz w:val="22"/>
          <w:szCs w:val="22"/>
        </w:rPr>
        <w:t xml:space="preserve">Shared commitments view — track promises and follow-ups across the team in a single queue</w:t>
      </w:r>
    </w:p>
    <w:p>
      <w:pPr>
        <w:pStyle w:val="ListParagraph"/>
        <w:numPr>
          <w:ilvl w:val="0"/>
          <w:numId w:val="2"/>
        </w:numPr>
        <w:spacing w:before="0" w:after="60"/>
      </w:pPr>
      <w:r>
        <w:rPr>
          <w:rFonts w:ascii="Arial" w:cs="Arial" w:eastAsia="Arial" w:hAnsi="Arial"/>
          <w:b w:val="false"/>
          <w:bCs w:val="false"/>
          <w:color w:val="1A202C"/>
          <w:sz w:val="22"/>
          <w:szCs w:val="22"/>
        </w:rPr>
        <w:t xml:space="preserve">Admin dashboard — full audit log visibility, usage analytics per user, integration health monitoring</w:t>
      </w:r>
    </w:p>
    <w:p>
      <w:pPr>
        <w:pStyle w:val="ListParagraph"/>
        <w:numPr>
          <w:ilvl w:val="0"/>
          <w:numId w:val="2"/>
        </w:numPr>
        <w:spacing w:before="0" w:after="60"/>
      </w:pPr>
      <w:r>
        <w:rPr>
          <w:rFonts w:ascii="Arial" w:cs="Arial" w:eastAsia="Arial" w:hAnsi="Arial"/>
          <w:b w:val="false"/>
          <w:bCs w:val="false"/>
          <w:color w:val="1A202C"/>
          <w:sz w:val="22"/>
          <w:szCs w:val="22"/>
        </w:rPr>
        <w:t xml:space="preserve">SSO / SAML — integrate with Okta, Azure AD, Google Workspace SSO</w:t>
      </w:r>
    </w:p>
    <w:p>
      <w:pPr>
        <w:pStyle w:val="ListParagraph"/>
        <w:numPr>
          <w:ilvl w:val="0"/>
          <w:numId w:val="2"/>
        </w:numPr>
        <w:spacing w:before="0" w:after="60"/>
      </w:pPr>
      <w:r>
        <w:rPr>
          <w:rFonts w:ascii="Arial" w:cs="Arial" w:eastAsia="Arial" w:hAnsi="Arial"/>
          <w:b w:val="false"/>
          <w:bCs w:val="false"/>
          <w:color w:val="1A202C"/>
          <w:sz w:val="22"/>
          <w:szCs w:val="22"/>
        </w:rPr>
        <w:t xml:space="preserve">Custom data retention policies — configure how long Donna stores intelligence for compliance purposes</w:t>
      </w:r>
    </w:p>
    <w:p>
      <w:pPr>
        <w:pStyle w:val="ListParagraph"/>
        <w:numPr>
          <w:ilvl w:val="0"/>
          <w:numId w:val="2"/>
        </w:numPr>
        <w:spacing w:before="0" w:after="60"/>
      </w:pPr>
      <w:r>
        <w:rPr>
          <w:rFonts w:ascii="Arial" w:cs="Arial" w:eastAsia="Arial" w:hAnsi="Arial"/>
          <w:b w:val="false"/>
          <w:bCs w:val="false"/>
          <w:color w:val="1A202C"/>
          <w:sz w:val="22"/>
          <w:szCs w:val="22"/>
        </w:rPr>
        <w:t xml:space="preserve">Data residency options — EU and US data regions available; GDPR and CCPA compliance documentation</w:t>
      </w:r>
    </w:p>
    <w:p>
      <w:pPr>
        <w:pStyle w:val="ListParagraph"/>
        <w:numPr>
          <w:ilvl w:val="0"/>
          <w:numId w:val="2"/>
        </w:numPr>
        <w:spacing w:before="0" w:after="60"/>
      </w:pPr>
      <w:r>
        <w:rPr>
          <w:rFonts w:ascii="Arial" w:cs="Arial" w:eastAsia="Arial" w:hAnsi="Arial"/>
          <w:b w:val="false"/>
          <w:bCs w:val="false"/>
          <w:color w:val="1A202C"/>
          <w:sz w:val="22"/>
          <w:szCs w:val="22"/>
        </w:rPr>
        <w:t xml:space="preserve">Dedicated Customer Success Manager — onboarding support, quarterly reviews, escalation channel</w:t>
      </w:r>
    </w:p>
    <w:p>
      <w:pPr>
        <w:pStyle w:val="ListParagraph"/>
        <w:numPr>
          <w:ilvl w:val="0"/>
          <w:numId w:val="2"/>
        </w:numPr>
        <w:spacing w:before="0" w:after="60"/>
      </w:pPr>
      <w:r>
        <w:rPr>
          <w:rFonts w:ascii="Arial" w:cs="Arial" w:eastAsia="Arial" w:hAnsi="Arial"/>
          <w:b w:val="false"/>
          <w:bCs w:val="false"/>
          <w:color w:val="1A202C"/>
          <w:sz w:val="22"/>
          <w:szCs w:val="22"/>
        </w:rPr>
        <w:t xml:space="preserve">API access — programmatic access to briefing data and commitment records for custom integrations</w:t>
      </w:r>
    </w:p>
    <w:p>
      <w:pPr>
        <w:pStyle w:val="ListParagraph"/>
        <w:numPr>
          <w:ilvl w:val="0"/>
          <w:numId w:val="2"/>
        </w:numPr>
        <w:spacing w:before="0" w:after="60"/>
      </w:pPr>
      <w:r>
        <w:rPr>
          <w:rFonts w:ascii="Arial" w:cs="Arial" w:eastAsia="Arial" w:hAnsi="Arial"/>
          <w:b w:val="false"/>
          <w:bCs w:val="false"/>
          <w:color w:val="1A202C"/>
          <w:sz w:val="22"/>
          <w:szCs w:val="22"/>
        </w:rPr>
        <w:t xml:space="preserve">SLA guarantee — 99.9% uptime SLA with credits for downtime</w:t>
      </w:r>
    </w:p>
    <w:p>
      <w:pPr>
        <w:pStyle w:val="ListParagraph"/>
        <w:numPr>
          <w:ilvl w:val="0"/>
          <w:numId w:val="2"/>
        </w:numPr>
        <w:spacing w:before="0" w:after="60"/>
      </w:pPr>
      <w:r>
        <w:rPr>
          <w:rFonts w:ascii="Arial" w:cs="Arial" w:eastAsia="Arial" w:hAnsi="Arial"/>
          <w:b w:val="false"/>
          <w:bCs w:val="false"/>
          <w:color w:val="1A202C"/>
          <w:sz w:val="22"/>
          <w:szCs w:val="22"/>
        </w:rPr>
        <w:t xml:space="preserve">Priority AI queue — enterprise users never experience AI rate-limiting during peak hours</w:t>
      </w:r>
    </w:p>
    <w:p>
      <w:pPr>
        <w:pStyle w:val="ListParagraph"/>
        <w:numPr>
          <w:ilvl w:val="0"/>
          <w:numId w:val="2"/>
        </w:numPr>
        <w:spacing w:before="0" w:after="60"/>
      </w:pPr>
      <w:r>
        <w:rPr>
          <w:rFonts w:ascii="Arial" w:cs="Arial" w:eastAsia="Arial" w:hAnsi="Arial"/>
          <w:b w:val="false"/>
          <w:bCs w:val="false"/>
          <w:color w:val="1A202C"/>
          <w:sz w:val="22"/>
          <w:szCs w:val="22"/>
        </w:rPr>
        <w:t xml:space="preserve">Volume discounts available at 25+ seats (contact sales)</w:t>
      </w:r>
    </w:p>
    <w:p>
      <w:pPr>
        <w:pStyle w:val="ListParagraph"/>
        <w:numPr>
          <w:ilvl w:val="0"/>
          <w:numId w:val="2"/>
        </w:numPr>
        <w:spacing w:before="0" w:after="60"/>
      </w:pPr>
      <w:r>
        <w:rPr>
          <w:rFonts w:ascii="Arial" w:cs="Arial" w:eastAsia="Arial" w:hAnsi="Arial"/>
          <w:b w:val="false"/>
          <w:bCs w:val="false"/>
          <w:color w:val="1A202C"/>
          <w:sz w:val="22"/>
          <w:szCs w:val="22"/>
        </w:rPr>
        <w:t xml:space="preserve">Custom integrations available on request</w:t>
      </w:r>
    </w:p>
    <w:p>
      <w:pPr>
        <w:spacing w:before="0" w:after="120"/>
      </w:pPr>
      <w:r>
        <w:rPr>
          <w:rFonts w:ascii="Arial" w:cs="Arial" w:eastAsia="Arial" w:hAnsi="Arial"/>
          <w:b w:val="false"/>
          <w:bCs w:val="false"/>
          <w:color w:val="1A202C"/>
          <w:sz w:val="22"/>
          <w:szCs w:val="22"/>
        </w:rPr>
        <w:t xml:space="preserve"/>
      </w:r>
    </w:p>
    <w:p>
      <w:pPr>
        <w:spacing w:before="0" w:after="120"/>
      </w:pPr>
      <w:r>
        <w:rPr>
          <w:rFonts w:ascii="Arial" w:cs="Arial" w:eastAsia="Arial" w:hAnsi="Arial"/>
          <w:b w:val="false"/>
          <w:bCs w:val="false"/>
          <w:color w:val="1A202C"/>
          <w:sz w:val="22"/>
          <w:szCs w:val="22"/>
        </w:rPr>
        <w:t xml:space="preserve">Enterprise is sold via a sales-assisted motion. All prospects should go through a discovery call before receiving pricing. This allows custom scoping, security reviews, and creation of tailored contracts. Annual billing is the default for Enterprise; month-to-month Enterprise is available at 20% premium.</w:t>
      </w:r>
    </w:p>
    <w:p>
      <w:pPr>
        <w:pBdr>
          <w:bottom w:val="single" w:color="CCCCCC" w:sz="6" w:space="1"/>
        </w:pBdr>
        <w:spacing w:before="160" w:after="160"/>
      </w:pPr>
    </w:p>
    <w:p>
      <w:pPr>
        <w:pStyle w:val="Heading1"/>
        <w:spacing w:before="320" w:after="160"/>
      </w:pPr>
      <w:r>
        <w:rPr>
          <w:rFonts w:ascii="Arial" w:cs="Arial" w:eastAsia="Arial" w:hAnsi="Arial"/>
          <w:b/>
          <w:bCs/>
          <w:color w:val="1A1A2E"/>
          <w:sz w:val="36"/>
          <w:szCs w:val="36"/>
        </w:rPr>
        <w:t xml:space="preserve">5. Feature Matrix</w:t>
      </w:r>
    </w:p>
    <w:p>
      <w:pPr>
        <w:spacing w:before="0" w:after="120"/>
      </w:pPr>
      <w:r>
        <w:rPr>
          <w:rFonts w:ascii="Arial" w:cs="Arial" w:eastAsia="Arial" w:hAnsi="Arial"/>
          <w:b w:val="false"/>
          <w:bCs w:val="false"/>
          <w:color w:val="1A202C"/>
          <w:sz w:val="22"/>
          <w:szCs w:val="22"/>
        </w:rPr>
        <w:t xml:space="preserve">The table below summarises which features appear at each tier. Use this as both an internal reference and the basis for the public pricing page.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172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Basic</w:t>
            </w:r>
          </w:p>
        </w:tc>
        <w:tc>
          <w:tcPr>
            <w:tcW w:type="dxa" w:w="172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w:t>
            </w:r>
          </w:p>
        </w:tc>
        <w:tc>
          <w:tcPr>
            <w:tcW w:type="dxa" w:w="172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Enterprise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Daily morning briefing (up to 10 items)</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Daily morning briefing (unlimited items)</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Team morning briefing (shared context)</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Gmail / Outlook email integration</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1 account</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Unlimited</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Unlimited</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Google Calendar / Outlook Calendar</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1 calendar</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Unlimited</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Unlimited</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Slack integration</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Notion integration</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Commitment extraction &amp; tracking</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90-day history</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Unlimited</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Unlimited</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Shared team commitments view</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People / relationship view</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Basic</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Full</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Full + Team</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Heartbeat Monitor (individual)</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Heartbeat Monitor (team-level)</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Meeting prep briefs</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AI reply drafting</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Action execution (Tier 1/2 autonomy)</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Vector search across full history</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Source citations on all AI claims</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Mobile app (iOS &amp; Android)</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Admin dashboard &amp; audit log</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SSO / SAML</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Custom data retention policy</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Data residency (EU/US)</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API access</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SLA (99.9% uptime)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Priority AI queue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Customer Success Manager</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9CA3AF"/>
                <w:sz w:val="20"/>
                <w:szCs w:val="20"/>
              </w:rPr>
              <w:t xml:space="preserve">—</w:t>
            </w:r>
          </w:p>
        </w:tc>
        <w:tc>
          <w:tcPr>
            <w:tcW w:type="dxa" w:w="172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w:t>
            </w:r>
          </w:p>
        </w:tc>
      </w:tr>
      <w:tr>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Support SLA</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Email / 48h</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Chat / 8h</w:t>
            </w:r>
          </w:p>
        </w:tc>
        <w:tc>
          <w:tcPr>
            <w:tcW w:type="dxa" w:w="17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Dedicated / 4h</w:t>
            </w:r>
          </w:p>
        </w:tc>
      </w:tr>
    </w:tbl>
    <w:p>
      <w:pPr>
        <w:spacing w:after="280"/>
      </w:pPr>
    </w:p>
    <w:p>
      <w:pPr>
        <w:pBdr>
          <w:bottom w:val="single" w:color="CCCCCC" w:sz="6" w:space="1"/>
        </w:pBdr>
        <w:spacing w:before="160" w:after="160"/>
      </w:pPr>
    </w:p>
    <w:p>
      <w:r>
        <w:br w:type="page"/>
      </w:r>
    </w:p>
    <w:p>
      <w:pPr>
        <w:pStyle w:val="Heading1"/>
        <w:spacing w:before="320" w:after="160"/>
      </w:pPr>
      <w:r>
        <w:rPr>
          <w:rFonts w:ascii="Arial" w:cs="Arial" w:eastAsia="Arial" w:hAnsi="Arial"/>
          <w:b/>
          <w:bCs/>
          <w:color w:val="1A1A2E"/>
          <w:sz w:val="36"/>
          <w:szCs w:val="36"/>
        </w:rPr>
        <w:t xml:space="preserve">6. Revenue Projections</w:t>
      </w:r>
    </w:p>
    <w:p>
      <w:pPr>
        <w:spacing w:before="0" w:after="120"/>
      </w:pPr>
      <w:r>
        <w:rPr>
          <w:rFonts w:ascii="Arial" w:cs="Arial" w:eastAsia="Arial" w:hAnsi="Arial"/>
          <w:b w:val="false"/>
          <w:bCs w:val="false"/>
          <w:color w:val="1A202C"/>
          <w:sz w:val="22"/>
          <w:szCs w:val="22"/>
        </w:rPr>
        <w:t xml:space="preserve">The following illustrative projections assume conservative conversion rates for Year 1. All figures are monthly recurring revenue (MRR) and annual recurring revenue (ARR).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rPr>
          <w:tblHeader/>
        </w:trPr>
        <w:tc>
          <w:tcPr>
            <w:tcW w:type="dxa" w:w="234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156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Basic Users</w:t>
            </w:r>
          </w:p>
        </w:tc>
        <w:tc>
          <w:tcPr>
            <w:tcW w:type="dxa" w:w="156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 Users</w:t>
            </w:r>
          </w:p>
        </w:tc>
        <w:tc>
          <w:tcPr>
            <w:tcW w:type="dxa" w:w="156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Enterprise Seats</w:t>
            </w:r>
          </w:p>
        </w:tc>
        <w:tc>
          <w:tcPr>
            <w:tcW w:type="dxa" w:w="156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MRR</w:t>
            </w:r>
          </w:p>
        </w:tc>
        <w:tc>
          <w:tcPr>
            <w:tcW w:type="dxa" w:w="78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ARR</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Conservative (Yr 1)</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200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120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50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202C"/>
                <w:sz w:val="20"/>
                <w:szCs w:val="20"/>
              </w:rPr>
              <w:t xml:space="preserve">~$9,180</w:t>
            </w:r>
          </w:p>
        </w:tc>
        <w:tc>
          <w:tcPr>
            <w:tcW w:type="dxa" w:w="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202C"/>
                <w:sz w:val="20"/>
                <w:szCs w:val="20"/>
              </w:rPr>
              <w:t xml:space="preserve">~$110K</w:t>
            </w:r>
          </w:p>
        </w:tc>
      </w:tr>
      <w:tr>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Moderate (Yr 1–2)</w:t>
            </w:r>
          </w:p>
        </w:tc>
        <w:tc>
          <w:tcPr>
            <w:tcW w:type="dxa" w:w="156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600</w:t>
            </w:r>
          </w:p>
        </w:tc>
        <w:tc>
          <w:tcPr>
            <w:tcW w:type="dxa" w:w="156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400</w:t>
            </w:r>
          </w:p>
        </w:tc>
        <w:tc>
          <w:tcPr>
            <w:tcW w:type="dxa" w:w="156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200</w:t>
            </w:r>
          </w:p>
        </w:tc>
        <w:tc>
          <w:tcPr>
            <w:tcW w:type="dxa" w:w="156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bCs/>
                <w:color w:val="1A202C"/>
                <w:sz w:val="20"/>
                <w:szCs w:val="20"/>
              </w:rPr>
              <w:t xml:space="preserve">~$31,200</w:t>
            </w:r>
          </w:p>
        </w:tc>
        <w:tc>
          <w:tcPr>
            <w:tcW w:type="dxa" w:w="78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center"/>
            </w:pPr>
            <w:r>
              <w:rPr>
                <w:rFonts w:ascii="Arial" w:cs="Arial" w:eastAsia="Arial" w:hAnsi="Arial"/>
                <w:b/>
                <w:bCs/>
                <w:color w:val="1A202C"/>
                <w:sz w:val="20"/>
                <w:szCs w:val="20"/>
              </w:rPr>
              <w:t xml:space="preserve">~$374K</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Growth (Yr 2–3)</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2,000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1,500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202C"/>
                <w:sz w:val="20"/>
                <w:szCs w:val="20"/>
              </w:rPr>
              <w:t xml:space="preserve">800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202C"/>
                <w:sz w:val="20"/>
                <w:szCs w:val="20"/>
              </w:rPr>
              <w:t xml:space="preserve">~$113,500</w:t>
            </w:r>
          </w:p>
        </w:tc>
        <w:tc>
          <w:tcPr>
            <w:tcW w:type="dxa" w:w="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202C"/>
                <w:sz w:val="20"/>
                <w:szCs w:val="20"/>
              </w:rPr>
              <w:t xml:space="preserve">~$1.36M</w:t>
            </w:r>
          </w:p>
        </w:tc>
      </w:tr>
    </w:tbl>
    <w:p>
      <w:pPr>
        <w:spacing w:after="160"/>
      </w:pPr>
    </w:p>
    <w:p>
      <w:pPr>
        <w:spacing w:before="0" w:after="120"/>
      </w:pPr>
      <w:r>
        <w:rPr>
          <w:rFonts w:ascii="Arial" w:cs="Arial" w:eastAsia="Arial" w:hAnsi="Arial"/>
          <w:b w:val="false"/>
          <w:bCs w:val="false"/>
          <w:color w:val="4A5568"/>
          <w:sz w:val="22"/>
          <w:szCs w:val="22"/>
        </w:rPr>
        <w:t xml:space="preserve">MRR calculation assumes a blended mix of monthly and annual billing. Annual billing rates assumed at 60% of Pro, 70% of Enterprise. Enterprise seated at $35/user/mo (annual rate). AI inference costs (Claude Haiku for ingestion + Claude Sonnet for briefing) are estimated at $2–$4/user/mo, yielding gross margins of 85–92% at scale.</w:t>
      </w:r>
    </w:p>
    <w:p>
      <w:pPr>
        <w:pBdr>
          <w:bottom w:val="single" w:color="CCCCCC" w:sz="6" w:space="1"/>
        </w:pBdr>
        <w:spacing w:before="160" w:after="160"/>
      </w:pPr>
    </w:p>
    <w:p>
      <w:pPr>
        <w:pStyle w:val="Heading1"/>
        <w:spacing w:before="320" w:after="160"/>
      </w:pPr>
      <w:r>
        <w:rPr>
          <w:rFonts w:ascii="Arial" w:cs="Arial" w:eastAsia="Arial" w:hAnsi="Arial"/>
          <w:b/>
          <w:bCs/>
          <w:color w:val="1A1A2E"/>
          <w:sz w:val="36"/>
          <w:szCs w:val="36"/>
        </w:rPr>
        <w:t xml:space="preserve">7. Strategic Recommendations</w:t>
      </w:r>
    </w:p>
    <w:p>
      <w:pPr>
        <w:pStyle w:val="Heading3"/>
        <w:spacing w:before="200" w:after="80"/>
      </w:pPr>
      <w:r>
        <w:rPr>
          <w:rFonts w:ascii="Arial" w:cs="Arial" w:eastAsia="Arial" w:hAnsi="Arial"/>
          <w:b/>
          <w:bCs/>
          <w:color w:val="2D3748"/>
          <w:sz w:val="24"/>
          <w:szCs w:val="24"/>
        </w:rPr>
        <w:t xml:space="preserve">Lead with the Pro tier</w:t>
      </w:r>
    </w:p>
    <w:p>
      <w:pPr>
        <w:spacing w:before="0" w:after="120"/>
      </w:pPr>
      <w:r>
        <w:rPr>
          <w:rFonts w:ascii="Arial" w:cs="Arial" w:eastAsia="Arial" w:hAnsi="Arial"/>
          <w:b w:val="false"/>
          <w:bCs w:val="false"/>
          <w:color w:val="1A202C"/>
          <w:sz w:val="22"/>
          <w:szCs w:val="22"/>
        </w:rPr>
        <w:t xml:space="preserve">All marketing copy, onboarding flows, and free trial experiences should showcase Pro-tier features. The goal is for users to experience the full power of Donna — Heartbeat Monitor, Meeting Prep, action execution — before hitting a paywall. This makes downgrading to Basic feel like a loss, not a default.</w:t>
      </w:r>
    </w:p>
    <w:p>
      <w:pPr>
        <w:pStyle w:val="Heading3"/>
        <w:spacing w:before="200" w:after="80"/>
      </w:pPr>
      <w:r>
        <w:rPr>
          <w:rFonts w:ascii="Arial" w:cs="Arial" w:eastAsia="Arial" w:hAnsi="Arial"/>
          <w:b/>
          <w:bCs/>
          <w:color w:val="2D3748"/>
          <w:sz w:val="24"/>
          <w:szCs w:val="24"/>
        </w:rPr>
        <w:t xml:space="preserve">Free trial, not freemium</w:t>
      </w:r>
    </w:p>
    <w:p>
      <w:pPr>
        <w:spacing w:before="0" w:after="120"/>
      </w:pPr>
      <w:r>
        <w:rPr>
          <w:rFonts w:ascii="Arial" w:cs="Arial" w:eastAsia="Arial" w:hAnsi="Arial"/>
          <w:b w:val="false"/>
          <w:bCs w:val="false"/>
          <w:color w:val="1A202C"/>
          <w:sz w:val="22"/>
          <w:szCs w:val="22"/>
        </w:rPr>
        <w:t xml:space="preserve">Do not offer a permanent free tier. The competitive intelligence in this space is valuable and a freemium model trains users to expect free AI labour indefinitely. Instead, offer a 14-day Pro trial (no credit card required) with the full feature set. This maximises conversion rates and filters for high-intent users.</w:t>
      </w:r>
    </w:p>
    <w:p>
      <w:pPr>
        <w:pStyle w:val="Heading3"/>
        <w:spacing w:before="200" w:after="80"/>
      </w:pPr>
      <w:r>
        <w:rPr>
          <w:rFonts w:ascii="Arial" w:cs="Arial" w:eastAsia="Arial" w:hAnsi="Arial"/>
          <w:b/>
          <w:bCs/>
          <w:color w:val="2D3748"/>
          <w:sz w:val="24"/>
          <w:szCs w:val="24"/>
        </w:rPr>
        <w:t xml:space="preserve">Annual billing incentive</w:t>
      </w:r>
    </w:p>
    <w:p>
      <w:pPr>
        <w:spacing w:before="0" w:after="120"/>
      </w:pPr>
      <w:r>
        <w:rPr>
          <w:rFonts w:ascii="Arial" w:cs="Arial" w:eastAsia="Arial" w:hAnsi="Arial"/>
          <w:b w:val="false"/>
          <w:bCs w:val="false"/>
          <w:color w:val="1A202C"/>
          <w:sz w:val="22"/>
          <w:szCs w:val="22"/>
        </w:rPr>
        <w:t xml:space="preserve">Price the annual discount at 18–21% to nudge users toward annual commitments, which dramatically improves cash flow predictability and reduces churn. Surface the annual savings prominently on the pricing page (e.g., 'Save $120/year').</w:t>
      </w:r>
    </w:p>
    <w:p>
      <w:pPr>
        <w:pStyle w:val="Heading3"/>
        <w:spacing w:before="200" w:after="80"/>
      </w:pPr>
      <w:r>
        <w:rPr>
          <w:rFonts w:ascii="Arial" w:cs="Arial" w:eastAsia="Arial" w:hAnsi="Arial"/>
          <w:b/>
          <w:bCs/>
          <w:color w:val="2D3748"/>
          <w:sz w:val="24"/>
          <w:szCs w:val="24"/>
        </w:rPr>
        <w:t xml:space="preserve">Enterprise: sales-assisted motion only</w:t>
      </w:r>
    </w:p>
    <w:p>
      <w:pPr>
        <w:spacing w:before="0" w:after="120"/>
      </w:pPr>
      <w:r>
        <w:rPr>
          <w:rFonts w:ascii="Arial" w:cs="Arial" w:eastAsia="Arial" w:hAnsi="Arial"/>
          <w:b w:val="false"/>
          <w:bCs w:val="false"/>
          <w:color w:val="1A202C"/>
          <w:sz w:val="22"/>
          <w:szCs w:val="22"/>
        </w:rPr>
        <w:t xml:space="preserve">Do not allow self-serve Enterprise sign-ups. All Enterprise prospects go through a 30-minute discovery call. This is not a friction move — it ensures Donna's team understands the use case, delivers a custom onboarding experience, and builds the relationship needed for multi-year contract renewals.</w:t>
      </w:r>
    </w:p>
    <w:p>
      <w:pPr>
        <w:pStyle w:val="Heading3"/>
        <w:spacing w:before="200" w:after="80"/>
      </w:pPr>
      <w:r>
        <w:rPr>
          <w:rFonts w:ascii="Arial" w:cs="Arial" w:eastAsia="Arial" w:hAnsi="Arial"/>
          <w:b/>
          <w:bCs/>
          <w:color w:val="2D3748"/>
          <w:sz w:val="24"/>
          <w:szCs w:val="24"/>
        </w:rPr>
        <w:t xml:space="preserve">Competitive positioning on the pricing page</w:t>
      </w:r>
    </w:p>
    <w:p>
      <w:pPr>
        <w:spacing w:before="0" w:after="120"/>
      </w:pPr>
      <w:r>
        <w:rPr>
          <w:rFonts w:ascii="Arial" w:cs="Arial" w:eastAsia="Arial" w:hAnsi="Arial"/>
          <w:b w:val="false"/>
          <w:bCs w:val="false"/>
          <w:color w:val="1A202C"/>
          <w:sz w:val="22"/>
          <w:szCs w:val="22"/>
        </w:rPr>
        <w:t xml:space="preserve">Include a comparison table on the pricing page showing what users would pay to assemble Donna's capabilities from point solutions (Superhuman + Motion + Limitless = $89+/mo). Donna at $49/mo Pro is the obvious winner.</w:t>
      </w:r>
    </w:p>
    <w:p>
      <w:pPr>
        <w:pStyle w:val="Heading3"/>
        <w:spacing w:before="200" w:after="80"/>
      </w:pPr>
      <w:r>
        <w:rPr>
          <w:rFonts w:ascii="Arial" w:cs="Arial" w:eastAsia="Arial" w:hAnsi="Arial"/>
          <w:b/>
          <w:bCs/>
          <w:color w:val="2D3748"/>
          <w:sz w:val="24"/>
          <w:szCs w:val="24"/>
        </w:rPr>
        <w:t xml:space="preserve">Add-ons to consider (future)</w:t>
      </w:r>
    </w:p>
    <w:p>
      <w:pPr>
        <w:pStyle w:val="ListParagraph"/>
        <w:numPr>
          <w:ilvl w:val="0"/>
          <w:numId w:val="2"/>
        </w:numPr>
        <w:spacing w:before="0" w:after="60"/>
      </w:pPr>
      <w:r>
        <w:rPr>
          <w:rFonts w:ascii="Arial" w:cs="Arial" w:eastAsia="Arial" w:hAnsi="Arial"/>
          <w:b w:val="false"/>
          <w:bCs w:val="false"/>
          <w:color w:val="1A202C"/>
          <w:sz w:val="22"/>
          <w:szCs w:val="22"/>
        </w:rPr>
        <w:t xml:space="preserve">Privacy Mode add-on (+$10/mo): route all AI inference through a local Ollama instance — zero external inference</w:t>
      </w:r>
    </w:p>
    <w:p>
      <w:pPr>
        <w:pStyle w:val="ListParagraph"/>
        <w:numPr>
          <w:ilvl w:val="0"/>
          <w:numId w:val="2"/>
        </w:numPr>
        <w:spacing w:before="0" w:after="60"/>
      </w:pPr>
      <w:r>
        <w:rPr>
          <w:rFonts w:ascii="Arial" w:cs="Arial" w:eastAsia="Arial" w:hAnsi="Arial"/>
          <w:b w:val="false"/>
          <w:bCs w:val="false"/>
          <w:color w:val="1A202C"/>
          <w:sz w:val="22"/>
          <w:szCs w:val="22"/>
        </w:rPr>
        <w:t xml:space="preserve">Additional user seats on Pro (+$29/user/mo): for individuals who want to share Donna with an executive assistant</w:t>
      </w:r>
    </w:p>
    <w:p>
      <w:pPr>
        <w:pStyle w:val="ListParagraph"/>
        <w:numPr>
          <w:ilvl w:val="0"/>
          <w:numId w:val="2"/>
        </w:numPr>
        <w:spacing w:before="0" w:after="60"/>
      </w:pPr>
      <w:r>
        <w:rPr>
          <w:rFonts w:ascii="Arial" w:cs="Arial" w:eastAsia="Arial" w:hAnsi="Arial"/>
          <w:b w:val="false"/>
          <w:bCs w:val="false"/>
          <w:color w:val="1A202C"/>
          <w:sz w:val="22"/>
          <w:szCs w:val="22"/>
        </w:rPr>
        <w:t xml:space="preserve">Historical import add-on: one-time fee to ingest and vectorise the last 2 years of email and calendar history</w:t>
      </w:r>
    </w:p>
    <w:p>
      <w:pPr>
        <w:spacing w:before="0" w:after="120"/>
      </w:pPr>
      <w:r>
        <w:rPr>
          <w:rFonts w:ascii="Arial" w:cs="Arial" w:eastAsia="Arial" w:hAnsi="Arial"/>
          <w:b w:val="false"/>
          <w:bCs w:val="false"/>
          <w:color w:val="1A202C"/>
          <w:sz w:val="22"/>
          <w:szCs w:val="22"/>
        </w:rPr>
        <w:t xml:space="preserve"/>
      </w:r>
    </w:p>
    <w:p>
      <w:pPr>
        <w:pBdr>
          <w:bottom w:val="single" w:color="CCCCCC" w:sz="6" w:space="1"/>
        </w:pBdr>
        <w:spacing w:before="160" w:after="160"/>
      </w:pPr>
    </w:p>
    <w:p>
      <w:pPr>
        <w:pStyle w:val="Heading1"/>
        <w:spacing w:before="320" w:after="160"/>
      </w:pPr>
      <w:r>
        <w:rPr>
          <w:rFonts w:ascii="Arial" w:cs="Arial" w:eastAsia="Arial" w:hAnsi="Arial"/>
          <w:b/>
          <w:bCs/>
          <w:color w:val="1A1A2E"/>
          <w:sz w:val="36"/>
          <w:szCs w:val="36"/>
        </w:rPr>
        <w:t xml:space="preserve">8.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c>
          <w:tcPr>
            <w:tcW w:type="dxa" w:w="2340"/>
            <w:tcBorders>
              <w:top w:val="single" w:color="D1D5DB" w:sz="1"/>
              <w:left w:val="single" w:color="D1D5DB" w:sz="1"/>
              <w:bottom w:val="single" w:color="D1D5DB" w:sz="1"/>
              <w:right w:val="single" w:color="D1D5DB" w:sz="1"/>
            </w:tcBorders>
            <w:shd w:fill="2D3748"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Basic</w:t>
            </w:r>
          </w:p>
        </w:tc>
        <w:tc>
          <w:tcPr>
            <w:tcW w:type="dxa" w:w="234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w:t>
            </w:r>
          </w:p>
        </w:tc>
        <w:tc>
          <w:tcPr>
            <w:tcW w:type="dxa" w:w="234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Enterprise</w:t>
            </w:r>
          </w:p>
        </w:tc>
      </w:tr>
      <w:tr>
        <w:tc>
          <w:tcPr>
            <w:tcW w:type="dxa" w:w="23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Price (monthly)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$24/mo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$49/mo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$42/user/mo</w:t>
            </w:r>
          </w:p>
        </w:tc>
      </w:tr>
      <w:tr>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Price (annual)</w:t>
            </w:r>
          </w:p>
        </w:tc>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$19/mo</w:t>
            </w:r>
          </w:p>
        </w:tc>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$39/mo</w:t>
            </w:r>
          </w:p>
        </w:tc>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$35/user/mo</w:t>
            </w:r>
          </w:p>
        </w:tc>
      </w:tr>
      <w:tr>
        <w:tc>
          <w:tcPr>
            <w:tcW w:type="dxa" w:w="23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Minimum seats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5</w:t>
            </w:r>
          </w:p>
        </w:tc>
      </w:tr>
      <w:tr>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Best for</w:t>
            </w:r>
          </w:p>
        </w:tc>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Individuals — first step into Donna</w:t>
            </w:r>
          </w:p>
        </w:tc>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Power users — full intelligence layer</w:t>
            </w:r>
          </w:p>
        </w:tc>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Teams — shared intelligence + compliance</w:t>
            </w:r>
          </w:p>
        </w:tc>
      </w:tr>
      <w:tr>
        <w:tc>
          <w:tcPr>
            <w:tcW w:type="dxa" w:w="2340"/>
            <w:tcBorders>
              <w:top w:val="single" w:color="D1D5DB" w:sz="1"/>
              <w:left w:val="single" w:color="D1D5DB" w:sz="1"/>
              <w:bottom w:val="single" w:color="D1D5DB" w:sz="1"/>
              <w:right w:val="single" w:color="D1D5DB" w:sz="1"/>
            </w:tcBorders>
            <w:shd w:fill="EDF2F7"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Replaces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Part of Reclaim / basic calendar tools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Superhuman + Motion + Limitless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Above + enterprise tools</w:t>
            </w:r>
          </w:p>
        </w:tc>
      </w:tr>
      <w:tr>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bCs/>
                <w:color w:val="1A202C"/>
                <w:sz w:val="20"/>
                <w:szCs w:val="20"/>
              </w:rPr>
              <w:t xml:space="preserve">Support</w:t>
            </w:r>
          </w:p>
        </w:tc>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Email / 48h</w:t>
            </w:r>
          </w:p>
        </w:tc>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Chat / 8h</w:t>
            </w:r>
          </w:p>
        </w:tc>
        <w:tc>
          <w:tcPr>
            <w:tcW w:type="dxa" w:w="2340"/>
            <w:tcBorders>
              <w:top w:val="single" w:color="D1D5DB" w:sz="1"/>
              <w:left w:val="single" w:color="D1D5DB" w:sz="1"/>
              <w:bottom w:val="single" w:color="D1D5DB" w:sz="1"/>
              <w:right w:val="single" w:color="D1D5DB" w:sz="1"/>
            </w:tcBorders>
            <w:shd w:fill="F7F9FC" w:val="clear"/>
            <w:tcMar>
              <w:top w:type="dxa" w:w="100"/>
              <w:left w:type="dxa" w:w="140"/>
              <w:bottom w:type="dxa" w:w="100"/>
              <w:right w:type="dxa" w:w="140"/>
            </w:tcMar>
            <w:vAlign w:val="center"/>
          </w:tcPr>
          <w:p>
            <w:pPr>
              <w:jc w:val="left"/>
            </w:pPr>
            <w:r>
              <w:rPr>
                <w:rFonts w:ascii="Arial" w:cs="Arial" w:eastAsia="Arial" w:hAnsi="Arial"/>
                <w:b w:val="false"/>
                <w:bCs w:val="false"/>
                <w:color w:val="1A202C"/>
                <w:sz w:val="20"/>
                <w:szCs w:val="20"/>
              </w:rPr>
              <w:t xml:space="preserve">Dedicated CSM / 4h SLA</w:t>
            </w:r>
          </w:p>
        </w:tc>
      </w:tr>
    </w:tbl>
    <w:p>
      <w:pPr>
        <w:spacing w:after="280"/>
      </w:pPr>
    </w:p>
    <w:p>
      <w:pPr>
        <w:spacing w:before="0" w:after="120"/>
      </w:pPr>
      <w:r>
        <w:rPr>
          <w:rFonts w:ascii="Arial" w:cs="Arial" w:eastAsia="Arial" w:hAnsi="Arial"/>
          <w:b w:val="false"/>
          <w:bCs w:val="false"/>
          <w:color w:val="1A202C"/>
          <w:sz w:val="22"/>
          <w:szCs w:val="22"/>
        </w:rPr>
        <w:t xml:space="preserve">Donna occupies a unique and defensible position in the market: the only proactive, cross-source, action-ready AI intelligence layer available today. The pricing strategy reflects that position — premium enough to signal quality and fund continued development, accessible enough to grow rapidly through word-of-mouth among knowledge workers who experience the product and immediately wonder how they lived without it.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spacing w:before="120"/>
    </w:pPr>
    <w:r>
      <w:rPr>
        <w:rFonts w:ascii="Arial" w:cs="Arial" w:eastAsia="Arial" w:hAnsi="Arial"/>
        <w:color w:val="4A5568"/>
        <w:sz w:val="18"/>
        <w:szCs w:val="18"/>
      </w:rPr>
      <w:t xml:space="preserve">Confidential</w:t>
    </w:r>
    <w:r>
      <w:rPr>
        <w:rFonts w:ascii="Arial" w:cs="Arial" w:eastAsia="Arial" w:hAnsi="Arial"/>
        <w:color w:val="4A5568"/>
        <w:sz w:val="18"/>
        <w:szCs w:val="18"/>
      </w:rPr>
      <w:t xml:space="preserve">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tabs>
        <w:tab w:val="right" w:pos="9026"/>
      </w:tabs>
      <w:spacing w:after="120"/>
    </w:pPr>
    <w:r>
      <w:rPr>
        <w:rFonts w:ascii="Arial" w:cs="Arial" w:eastAsia="Arial" w:hAnsi="Arial"/>
        <w:color w:val="4A5568"/>
        <w:sz w:val="18"/>
        <w:szCs w:val="18"/>
      </w:rPr>
      <w:t xml:space="preserve">DONNA — Competitive Pricing Strategy</w:t>
    </w:r>
    <w:r>
      <w:rPr>
        <w:rFonts w:ascii="Arial" w:cs="Arial" w:eastAsia="Arial" w:hAnsi="Arial"/>
        <w:color w:val="4A556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Donna — Competitive Pricing Strategy</dc:title>
  <dc:creator>Donna Strategy</dc:creator>
  <dc:description>Competitive analysis and tiered pricing recommendation for Donna AI</dc:description>
  <cp:lastModifiedBy>Un-named</cp:lastModifiedBy>
  <cp:revision>1</cp:revision>
  <dcterms:created xsi:type="dcterms:W3CDTF">2026-03-09T19:31:57.288Z</dcterms:created>
  <dcterms:modified xsi:type="dcterms:W3CDTF">2026-03-09T19:31:57.288Z</dcterms:modified>
</cp:coreProperties>
</file>

<file path=docProps/custom.xml><?xml version="1.0" encoding="utf-8"?>
<Properties xmlns="http://schemas.openxmlformats.org/officeDocument/2006/custom-properties" xmlns:vt="http://schemas.openxmlformats.org/officeDocument/2006/docPropsVTypes"/>
</file>