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1B1F3A" w:val="clear"/>
            <w:tcMar>
              <w:top w:type="dxa" w:w="3600"/>
              <w:left w:type="dxa" w:w="1440"/>
              <w:bottom w:type="dxa" w:w="1440"/>
              <w:right w:type="dxa" w:w="1440"/>
            </w:tcMar>
          </w:tcPr>
          <w:p>
            <w:pPr>
              <w:spacing w:before="0" w:after="120"/>
            </w:pPr>
            <w:r>
              <w:rPr>
                <w:rFonts w:ascii="Arial" w:cs="Arial" w:eastAsia="Arial" w:hAnsi="Arial"/>
                <w:b/>
                <w:bCs/>
                <w:color w:val="E8845C"/>
                <w:sz w:val="18"/>
                <w:szCs w:val="18"/>
              </w:rPr>
              <w:t xml:space="preserve">DONNA INTELLIGENCE INC.</w:t>
            </w:r>
          </w:p>
          <w:p>
            <w:pPr>
              <w:spacing w:before="0" w:after="200"/>
            </w:pPr>
            <w:r>
              <w:rPr>
                <w:rFonts w:ascii="Arial" w:cs="Arial" w:eastAsia="Arial" w:hAnsi="Arial"/>
                <w:b/>
                <w:bCs/>
                <w:color w:val="FFFFFF"/>
                <w:sz w:val="48"/>
                <w:szCs w:val="48"/>
              </w:rPr>
              <w:t xml:space="preserve">PAID SOCIAL STRATEGY</w:t>
            </w:r>
          </w:p>
          <w:p>
            <w:pPr>
              <w:spacing w:before="0" w:after="80"/>
            </w:pPr>
            <w:r>
              <w:rPr>
                <w:rFonts w:ascii="Arial" w:cs="Arial" w:eastAsia="Arial" w:hAnsi="Arial"/>
                <w:i/>
                <w:iCs/>
                <w:color w:val="9BAFC4"/>
                <w:sz w:val="28"/>
                <w:szCs w:val="28"/>
              </w:rPr>
              <w:t xml:space="preserve">Maximising ROAS Across Instagram, LinkedIn &amp; X</w:t>
            </w:r>
          </w:p>
          <w:p>
            <w:pPr>
              <w:spacing w:before="400" w:after="0"/>
            </w:pPr>
            <w:r>
              <w:rPr>
                <w:rFonts w:ascii="Arial" w:cs="Arial" w:eastAsia="Arial" w:hAnsi="Arial"/>
                <w:color w:val="666680"/>
                <w:sz w:val="20"/>
                <w:szCs w:val="20"/>
              </w:rPr>
              <w:t xml:space="preserve">March 2026  ·  Confidential</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E8845C" w:val="clear"/>
            <w:tcMar>
              <w:top w:type="dxa" w:w="80"/>
              <w:left w:type="dxa" w:w="1440"/>
              <w:bottom w:type="dxa" w:w="80"/>
              <w:right w:type="dxa" w:w="1440"/>
            </w:tcMar>
          </w:tcP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FBF7F4" w:val="clear"/>
            <w:tcMar>
              <w:top w:type="dxa" w:w="720"/>
              <w:left w:type="dxa" w:w="1440"/>
              <w:bottom w:type="dxa" w:w="720"/>
              <w:right w:type="dxa" w:w="1440"/>
            </w:tcMar>
          </w:tcPr>
          <w:p>
            <w:pPr>
              <w:spacing w:before="0" w:after="120"/>
            </w:pPr>
            <w:r>
              <w:rPr>
                <w:rFonts w:ascii="Arial" w:cs="Arial" w:eastAsia="Arial" w:hAnsi="Arial"/>
                <w:b/>
                <w:bCs/>
                <w:color w:val="888888"/>
                <w:sz w:val="20"/>
                <w:szCs w:val="20"/>
              </w:rPr>
              <w:t xml:space="preserve">WHAT THIS DOCUMENT COVERS</w:t>
            </w:r>
          </w:p>
          <w:p>
            <w:pPr>
              <w:spacing w:before="0" w:after="80"/>
            </w:pPr>
            <w:r>
              <w:rPr>
                <w:rFonts w:ascii="Arial" w:cs="Arial" w:eastAsia="Arial" w:hAnsi="Arial"/>
                <w:color w:val="1B1F3A"/>
                <w:sz w:val="22"/>
                <w:szCs w:val="22"/>
              </w:rPr>
              <w:t xml:space="preserve">A deep-dive analysis of the Donna 30-day launch campaign content, mapped against platform-specific paid ad mechanics, with concrete creative recommendations, funnel architecture, budget allocation, and ROAS benchmarks.</w:t>
            </w:r>
          </w:p>
          <w:p>
            <w:pPr>
              <w:spacing w:before="0" w:after="200"/>
            </w:pPr>
          </w:p>
          <w:p>
            <w:pPr>
              <w:spacing w:before="0" w:after="80"/>
            </w:pPr>
            <w:r>
              <w:rPr>
                <w:rFonts w:ascii="Arial" w:cs="Arial" w:eastAsia="Arial" w:hAnsi="Arial"/>
                <w:b/>
                <w:bCs/>
                <w:color w:val="E8845C"/>
                <w:sz w:val="20"/>
                <w:szCs w:val="20"/>
              </w:rPr>
              <w:t xml:space="preserve">01</w:t>
            </w:r>
            <w:r>
              <w:rPr>
                <w:rFonts w:ascii="Arial" w:cs="Arial" w:eastAsia="Arial" w:hAnsi="Arial"/>
                <w:color w:val="555555"/>
                <w:sz w:val="20"/>
                <w:szCs w:val="20"/>
              </w:rPr>
              <w:t xml:space="preserve">  Content Audit &amp; What We Are Working With</w:t>
            </w:r>
          </w:p>
          <w:p>
            <w:pPr>
              <w:spacing w:before="0" w:after="80"/>
            </w:pPr>
            <w:r>
              <w:rPr>
                <w:rFonts w:ascii="Arial" w:cs="Arial" w:eastAsia="Arial" w:hAnsi="Arial"/>
                <w:b/>
                <w:bCs/>
                <w:color w:val="E8845C"/>
                <w:sz w:val="20"/>
                <w:szCs w:val="20"/>
              </w:rPr>
              <w:t xml:space="preserve">02</w:t>
            </w:r>
            <w:r>
              <w:rPr>
                <w:rFonts w:ascii="Arial" w:cs="Arial" w:eastAsia="Arial" w:hAnsi="Arial"/>
                <w:color w:val="555555"/>
                <w:sz w:val="20"/>
                <w:szCs w:val="20"/>
              </w:rPr>
              <w:t xml:space="preserve">  Platform ROAS Benchmarks &amp; Strategic Fit</w:t>
            </w:r>
          </w:p>
          <w:p>
            <w:pPr>
              <w:spacing w:before="0" w:after="80"/>
            </w:pPr>
            <w:r>
              <w:rPr>
                <w:rFonts w:ascii="Arial" w:cs="Arial" w:eastAsia="Arial" w:hAnsi="Arial"/>
                <w:b/>
                <w:bCs/>
                <w:color w:val="E8845C"/>
                <w:sz w:val="20"/>
                <w:szCs w:val="20"/>
              </w:rPr>
              <w:t xml:space="preserve">03</w:t>
            </w:r>
            <w:r>
              <w:rPr>
                <w:rFonts w:ascii="Arial" w:cs="Arial" w:eastAsia="Arial" w:hAnsi="Arial"/>
                <w:color w:val="555555"/>
                <w:sz w:val="20"/>
                <w:szCs w:val="20"/>
              </w:rPr>
              <w:t xml:space="preserve">  Top 10 Posts to Run as Paid Ads (with rationale)</w:t>
            </w:r>
          </w:p>
          <w:p>
            <w:pPr>
              <w:spacing w:before="0" w:after="80"/>
            </w:pPr>
            <w:r>
              <w:rPr>
                <w:rFonts w:ascii="Arial" w:cs="Arial" w:eastAsia="Arial" w:hAnsi="Arial"/>
                <w:b/>
                <w:bCs/>
                <w:color w:val="E8845C"/>
                <w:sz w:val="20"/>
                <w:szCs w:val="20"/>
              </w:rPr>
              <w:t xml:space="preserve">04</w:t>
            </w:r>
            <w:r>
              <w:rPr>
                <w:rFonts w:ascii="Arial" w:cs="Arial" w:eastAsia="Arial" w:hAnsi="Arial"/>
                <w:color w:val="555555"/>
                <w:sz w:val="20"/>
                <w:szCs w:val="20"/>
              </w:rPr>
              <w:t xml:space="preserve">  Full-Funnel Cross-Platform Architecture</w:t>
            </w:r>
          </w:p>
          <w:p>
            <w:pPr>
              <w:spacing w:before="0" w:after="80"/>
            </w:pPr>
            <w:r>
              <w:rPr>
                <w:rFonts w:ascii="Arial" w:cs="Arial" w:eastAsia="Arial" w:hAnsi="Arial"/>
                <w:b/>
                <w:bCs/>
                <w:color w:val="E8845C"/>
                <w:sz w:val="20"/>
                <w:szCs w:val="20"/>
              </w:rPr>
              <w:t xml:space="preserve">05</w:t>
            </w:r>
            <w:r>
              <w:rPr>
                <w:rFonts w:ascii="Arial" w:cs="Arial" w:eastAsia="Arial" w:hAnsi="Arial"/>
                <w:color w:val="555555"/>
                <w:sz w:val="20"/>
                <w:szCs w:val="20"/>
              </w:rPr>
              <w:t xml:space="preserve">  Budget Allocation &amp; Launch Sequence</w:t>
            </w:r>
          </w:p>
          <w:p>
            <w:pPr>
              <w:spacing w:before="0" w:after="80"/>
            </w:pPr>
            <w:r>
              <w:rPr>
                <w:rFonts w:ascii="Arial" w:cs="Arial" w:eastAsia="Arial" w:hAnsi="Arial"/>
                <w:b/>
                <w:bCs/>
                <w:color w:val="E8845C"/>
                <w:sz w:val="20"/>
                <w:szCs w:val="20"/>
              </w:rPr>
              <w:t xml:space="preserve">06</w:t>
            </w:r>
            <w:r>
              <w:rPr>
                <w:rFonts w:ascii="Arial" w:cs="Arial" w:eastAsia="Arial" w:hAnsi="Arial"/>
                <w:color w:val="555555"/>
                <w:sz w:val="20"/>
                <w:szCs w:val="20"/>
              </w:rPr>
              <w:t xml:space="preserve">  Measurement, Attribution &amp; ROAS Targets</w:t>
            </w:r>
          </w:p>
        </w:tc>
      </w:tr>
    </w:tbl>
    <w:p>
      <w:pPr>
        <w:sectPr>
          <w:pgSz w:w="12240" w:h="15840" w:orient="portrait"/>
          <w:pgMar w:top="0" w:right="0" w:bottom="0" w:left="0" w:header="708" w:footer="708" w:gutter="0"/>
          <w:pgNumType/>
          <w:docGrid w:linePitch="360"/>
        </w:sectPr>
      </w:pPr>
    </w:p>
    <w:p>
      <w:pPr>
        <w:pStyle w:val="Heading1"/>
        <w:pBdr>
          <w:bottom w:val="single" w:color="E8845C" w:sz="6" w:space="4"/>
        </w:pBdr>
        <w:spacing w:before="480" w:after="200"/>
      </w:pPr>
      <w:r>
        <w:rPr>
          <w:rFonts w:ascii="Arial" w:cs="Arial" w:eastAsia="Arial" w:hAnsi="Arial"/>
          <w:b/>
          <w:bCs/>
          <w:color w:val="1B1F3A"/>
          <w:sz w:val="28"/>
          <w:szCs w:val="28"/>
        </w:rPr>
        <w:t xml:space="preserve">01 — Content Audit: What We Are Working With</w:t>
      </w:r>
    </w:p>
    <w:p>
      <w:pPr>
        <w:spacing w:before="0" w:after="160"/>
      </w:pPr>
      <w:r>
        <w:rPr>
          <w:rFonts w:ascii="Arial" w:cs="Arial" w:eastAsia="Arial" w:hAnsi="Arial"/>
          <w:color w:val="1B1F3A"/>
          <w:sz w:val="22"/>
          <w:szCs w:val="22"/>
        </w:rPr>
        <w:t xml:space="preserve">The Donna launch campaign is a well-constructed 30-post, 4-phase narrative arc spanning LinkedIn, X/Twitter, and Instagram across 30 days. Each post comes in three caption variants (Storytelling/A, Punchy/B, Conversational/C), and every post has a paired visual spec. Here is what we are dealing with at a glance.</w:t>
      </w:r>
    </w:p>
    <w:p>
      <w:pPr>
        <w:spacing w:before="0" w:after="100"/>
      </w:pPr>
    </w:p>
    <w:p>
      <w:pPr>
        <w:pStyle w:val="Heading2"/>
        <w:spacing w:before="320" w:after="120"/>
      </w:pPr>
      <w:r>
        <w:rPr>
          <w:rFonts w:ascii="Arial" w:cs="Arial" w:eastAsia="Arial" w:hAnsi="Arial"/>
          <w:b/>
          <w:bCs/>
          <w:color w:val="1B1F3A"/>
          <w:sz w:val="24"/>
          <w:szCs w:val="24"/>
        </w:rPr>
        <w:t xml:space="preserve">Campaign Assets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5DD" w:sz="2"/>
              <w:left w:val="single" w:color="D0D5DD" w:sz="2"/>
              <w:bottom w:val="single" w:color="D0D5DD" w:sz="2"/>
              <w:right w:val="single" w:color="D0D5DD" w:sz="2"/>
            </w:tcBorders>
            <w:shd w:fill="1B1F3A" w:val="clear"/>
            <w:tcMar>
              <w:top w:type="dxa" w:w="80"/>
              <w:left w:type="dxa" w:w="140"/>
              <w:bottom w:type="dxa" w:w="80"/>
              <w:right w:type="dxa" w:w="140"/>
            </w:tcMar>
          </w:tcPr>
          <w:p>
            <w:r>
              <w:rPr>
                <w:rFonts w:ascii="Arial" w:cs="Arial" w:eastAsia="Arial" w:hAnsi="Arial"/>
                <w:b/>
                <w:bCs/>
                <w:color w:val="FFFFFF"/>
                <w:sz w:val="20"/>
                <w:szCs w:val="20"/>
              </w:rPr>
              <w:t xml:space="preserve">Asset</w:t>
            </w:r>
          </w:p>
        </w:tc>
        <w:tc>
          <w:tcPr>
            <w:tcW w:type="dxa" w:w="5860"/>
            <w:tcBorders>
              <w:top w:val="single" w:color="D0D5DD" w:sz="2"/>
              <w:left w:val="single" w:color="D0D5DD" w:sz="2"/>
              <w:bottom w:val="single" w:color="D0D5DD" w:sz="2"/>
              <w:right w:val="single" w:color="D0D5DD" w:sz="2"/>
            </w:tcBorders>
            <w:shd w:fill="1B1F3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500"/>
            <w:tcBorders>
              <w:top w:val="single" w:color="D0D5DD" w:sz="2"/>
              <w:left w:val="single" w:color="D0D5DD" w:sz="2"/>
              <w:bottom w:val="single" w:color="D0D5DD" w:sz="2"/>
              <w:right w:val="single" w:color="D0D5DD" w:sz="2"/>
            </w:tcBorders>
            <w:shd w:fill="F5F5F5" w:val="clear"/>
            <w:tcMar>
              <w:top w:type="dxa" w:w="80"/>
              <w:left w:type="dxa" w:w="140"/>
              <w:bottom w:type="dxa" w:w="80"/>
              <w:right w:type="dxa" w:w="140"/>
            </w:tcMar>
          </w:tcPr>
          <w:p>
            <w:r>
              <w:rPr>
                <w:rFonts w:ascii="Arial" w:cs="Arial" w:eastAsia="Arial" w:hAnsi="Arial"/>
                <w:b/>
                <w:bCs/>
                <w:color w:val="1B1F3A"/>
                <w:sz w:val="20"/>
                <w:szCs w:val="20"/>
              </w:rPr>
              <w:t xml:space="preserve">Total posts</w:t>
            </w:r>
          </w:p>
        </w:tc>
        <w:tc>
          <w:tcPr>
            <w:tcW w:type="dxa" w:w="5860"/>
            <w:tcBorders>
              <w:top w:val="single" w:color="D0D5DD" w:sz="2"/>
              <w:left w:val="single" w:color="D0D5DD" w:sz="2"/>
              <w:bottom w:val="single" w:color="D0D5DD" w:sz="2"/>
              <w:right w:val="single" w:color="D0D5DD" w:sz="2"/>
            </w:tcBorders>
            <w:tcMar>
              <w:top w:type="dxa" w:w="80"/>
              <w:left w:type="dxa" w:w="140"/>
              <w:bottom w:type="dxa" w:w="80"/>
              <w:right w:type="dxa" w:w="140"/>
            </w:tcMar>
          </w:tcPr>
          <w:p>
            <w:r>
              <w:rPr>
                <w:rFonts w:ascii="Arial" w:cs="Arial" w:eastAsia="Arial" w:hAnsi="Arial"/>
                <w:color w:val="333333"/>
                <w:sz w:val="20"/>
                <w:szCs w:val="20"/>
              </w:rPr>
              <w:t xml:space="preserve">30 posts across 4 phases</w:t>
            </w:r>
          </w:p>
        </w:tc>
      </w:tr>
      <w:tr>
        <w:tc>
          <w:tcPr>
            <w:tcW w:type="dxa" w:w="3500"/>
            <w:tcBorders>
              <w:top w:val="single" w:color="D0D5DD" w:sz="2"/>
              <w:left w:val="single" w:color="D0D5DD" w:sz="2"/>
              <w:bottom w:val="single" w:color="D0D5DD" w:sz="2"/>
              <w:right w:val="single" w:color="D0D5DD" w:sz="2"/>
            </w:tcBorders>
            <w:shd w:fill="F5F5F5" w:val="clear"/>
            <w:tcMar>
              <w:top w:type="dxa" w:w="80"/>
              <w:left w:type="dxa" w:w="140"/>
              <w:bottom w:type="dxa" w:w="80"/>
              <w:right w:type="dxa" w:w="140"/>
            </w:tcMar>
          </w:tcPr>
          <w:p>
            <w:r>
              <w:rPr>
                <w:rFonts w:ascii="Arial" w:cs="Arial" w:eastAsia="Arial" w:hAnsi="Arial"/>
                <w:b/>
                <w:bCs/>
                <w:color w:val="1B1F3A"/>
                <w:sz w:val="20"/>
                <w:szCs w:val="20"/>
              </w:rPr>
              <w:t xml:space="preserve">Caption variants per post</w:t>
            </w:r>
          </w:p>
        </w:tc>
        <w:tc>
          <w:tcPr>
            <w:tcW w:type="dxa" w:w="5860"/>
            <w:tcBorders>
              <w:top w:val="single" w:color="D0D5DD" w:sz="2"/>
              <w:left w:val="single" w:color="D0D5DD" w:sz="2"/>
              <w:bottom w:val="single" w:color="D0D5DD" w:sz="2"/>
              <w:right w:val="single" w:color="D0D5DD" w:sz="2"/>
            </w:tcBorders>
            <w:tcMar>
              <w:top w:type="dxa" w:w="80"/>
              <w:left w:type="dxa" w:w="140"/>
              <w:bottom w:type="dxa" w:w="80"/>
              <w:right w:type="dxa" w:w="140"/>
            </w:tcMar>
          </w:tcPr>
          <w:p>
            <w:r>
              <w:rPr>
                <w:rFonts w:ascii="Arial" w:cs="Arial" w:eastAsia="Arial" w:hAnsi="Arial"/>
                <w:color w:val="333333"/>
                <w:sz w:val="20"/>
                <w:szCs w:val="20"/>
              </w:rPr>
              <w:t xml:space="preserve">3 per post — A: Storytelling, B: Punchy, C: Conversational</w:t>
            </w:r>
          </w:p>
        </w:tc>
      </w:tr>
      <w:tr>
        <w:tc>
          <w:tcPr>
            <w:tcW w:type="dxa" w:w="3500"/>
            <w:tcBorders>
              <w:top w:val="single" w:color="D0D5DD" w:sz="2"/>
              <w:left w:val="single" w:color="D0D5DD" w:sz="2"/>
              <w:bottom w:val="single" w:color="D0D5DD" w:sz="2"/>
              <w:right w:val="single" w:color="D0D5DD" w:sz="2"/>
            </w:tcBorders>
            <w:shd w:fill="F5F5F5" w:val="clear"/>
            <w:tcMar>
              <w:top w:type="dxa" w:w="80"/>
              <w:left w:type="dxa" w:w="140"/>
              <w:bottom w:type="dxa" w:w="80"/>
              <w:right w:type="dxa" w:w="140"/>
            </w:tcMar>
          </w:tcPr>
          <w:p>
            <w:r>
              <w:rPr>
                <w:rFonts w:ascii="Arial" w:cs="Arial" w:eastAsia="Arial" w:hAnsi="Arial"/>
                <w:b/>
                <w:bCs/>
                <w:color w:val="1B1F3A"/>
                <w:sz w:val="20"/>
                <w:szCs w:val="20"/>
              </w:rPr>
              <w:t xml:space="preserve">Visual specs</w:t>
            </w:r>
          </w:p>
        </w:tc>
        <w:tc>
          <w:tcPr>
            <w:tcW w:type="dxa" w:w="5860"/>
            <w:tcBorders>
              <w:top w:val="single" w:color="D0D5DD" w:sz="2"/>
              <w:left w:val="single" w:color="D0D5DD" w:sz="2"/>
              <w:bottom w:val="single" w:color="D0D5DD" w:sz="2"/>
              <w:right w:val="single" w:color="D0D5DD" w:sz="2"/>
            </w:tcBorders>
            <w:tcMar>
              <w:top w:type="dxa" w:w="80"/>
              <w:left w:type="dxa" w:w="140"/>
              <w:bottom w:type="dxa" w:w="80"/>
              <w:right w:type="dxa" w:w="140"/>
            </w:tcMar>
          </w:tcPr>
          <w:p>
            <w:r>
              <w:rPr>
                <w:rFonts w:ascii="Arial" w:cs="Arial" w:eastAsia="Arial" w:hAnsi="Arial"/>
                <w:color w:val="333333"/>
                <w:sz w:val="20"/>
                <w:szCs w:val="20"/>
              </w:rPr>
              <w:t xml:space="preserve">Full spec for every post (dark card, UI mockup, or photo-based)</w:t>
            </w:r>
          </w:p>
        </w:tc>
      </w:tr>
      <w:tr>
        <w:tc>
          <w:tcPr>
            <w:tcW w:type="dxa" w:w="3500"/>
            <w:tcBorders>
              <w:top w:val="single" w:color="D0D5DD" w:sz="2"/>
              <w:left w:val="single" w:color="D0D5DD" w:sz="2"/>
              <w:bottom w:val="single" w:color="D0D5DD" w:sz="2"/>
              <w:right w:val="single" w:color="D0D5DD" w:sz="2"/>
            </w:tcBorders>
            <w:shd w:fill="F5F5F5" w:val="clear"/>
            <w:tcMar>
              <w:top w:type="dxa" w:w="80"/>
              <w:left w:type="dxa" w:w="140"/>
              <w:bottom w:type="dxa" w:w="80"/>
              <w:right w:type="dxa" w:w="140"/>
            </w:tcMar>
          </w:tcPr>
          <w:p>
            <w:r>
              <w:rPr>
                <w:rFonts w:ascii="Arial" w:cs="Arial" w:eastAsia="Arial" w:hAnsi="Arial"/>
                <w:b/>
                <w:bCs/>
                <w:color w:val="1B1F3A"/>
                <w:sz w:val="20"/>
                <w:szCs w:val="20"/>
              </w:rPr>
              <w:t xml:space="preserve">Platforms</w:t>
            </w:r>
          </w:p>
        </w:tc>
        <w:tc>
          <w:tcPr>
            <w:tcW w:type="dxa" w:w="5860"/>
            <w:tcBorders>
              <w:top w:val="single" w:color="D0D5DD" w:sz="2"/>
              <w:left w:val="single" w:color="D0D5DD" w:sz="2"/>
              <w:bottom w:val="single" w:color="D0D5DD" w:sz="2"/>
              <w:right w:val="single" w:color="D0D5DD" w:sz="2"/>
            </w:tcBorders>
            <w:tcMar>
              <w:top w:type="dxa" w:w="80"/>
              <w:left w:type="dxa" w:w="140"/>
              <w:bottom w:type="dxa" w:w="80"/>
              <w:right w:type="dxa" w:w="140"/>
            </w:tcMar>
          </w:tcPr>
          <w:p>
            <w:r>
              <w:rPr>
                <w:rFonts w:ascii="Arial" w:cs="Arial" w:eastAsia="Arial" w:hAnsi="Arial"/>
                <w:color w:val="333333"/>
                <w:sz w:val="20"/>
                <w:szCs w:val="20"/>
              </w:rPr>
              <w:t xml:space="preserve">LinkedIn (4–5x/wk) · X/Twitter (5–7x/wk) · Instagram (3–4x/wk)</w:t>
            </w:r>
          </w:p>
        </w:tc>
      </w:tr>
      <w:tr>
        <w:tc>
          <w:tcPr>
            <w:tcW w:type="dxa" w:w="3500"/>
            <w:tcBorders>
              <w:top w:val="single" w:color="D0D5DD" w:sz="2"/>
              <w:left w:val="single" w:color="D0D5DD" w:sz="2"/>
              <w:bottom w:val="single" w:color="D0D5DD" w:sz="2"/>
              <w:right w:val="single" w:color="D0D5DD" w:sz="2"/>
            </w:tcBorders>
            <w:shd w:fill="F5F5F5" w:val="clear"/>
            <w:tcMar>
              <w:top w:type="dxa" w:w="80"/>
              <w:left w:type="dxa" w:w="140"/>
              <w:bottom w:type="dxa" w:w="80"/>
              <w:right w:type="dxa" w:w="140"/>
            </w:tcMar>
          </w:tcPr>
          <w:p>
            <w:r>
              <w:rPr>
                <w:rFonts w:ascii="Arial" w:cs="Arial" w:eastAsia="Arial" w:hAnsi="Arial"/>
                <w:b/>
                <w:bCs/>
                <w:color w:val="1B1F3A"/>
                <w:sz w:val="20"/>
                <w:szCs w:val="20"/>
              </w:rPr>
              <w:t xml:space="preserve">Campaign phases</w:t>
            </w:r>
          </w:p>
        </w:tc>
        <w:tc>
          <w:tcPr>
            <w:tcW w:type="dxa" w:w="5860"/>
            <w:tcBorders>
              <w:top w:val="single" w:color="D0D5DD" w:sz="2"/>
              <w:left w:val="single" w:color="D0D5DD" w:sz="2"/>
              <w:bottom w:val="single" w:color="D0D5DD" w:sz="2"/>
              <w:right w:val="single" w:color="D0D5DD" w:sz="2"/>
            </w:tcBorders>
            <w:tcMar>
              <w:top w:type="dxa" w:w="80"/>
              <w:left w:type="dxa" w:w="140"/>
              <w:bottom w:type="dxa" w:w="80"/>
              <w:right w:type="dxa" w:w="140"/>
            </w:tcMar>
          </w:tcPr>
          <w:p>
            <w:r>
              <w:rPr>
                <w:rFonts w:ascii="Arial" w:cs="Arial" w:eastAsia="Arial" w:hAnsi="Arial"/>
                <w:color w:val="333333"/>
                <w:sz w:val="20"/>
                <w:szCs w:val="20"/>
              </w:rPr>
              <w:t xml:space="preserve">Intrigue (1–7) → Education (8–16) → Desire (17–23) → Launch (24–30)</w:t>
            </w:r>
          </w:p>
        </w:tc>
      </w:tr>
      <w:tr>
        <w:tc>
          <w:tcPr>
            <w:tcW w:type="dxa" w:w="3500"/>
            <w:tcBorders>
              <w:top w:val="single" w:color="D0D5DD" w:sz="2"/>
              <w:left w:val="single" w:color="D0D5DD" w:sz="2"/>
              <w:bottom w:val="single" w:color="D0D5DD" w:sz="2"/>
              <w:right w:val="single" w:color="D0D5DD" w:sz="2"/>
            </w:tcBorders>
            <w:shd w:fill="F5F5F5" w:val="clear"/>
            <w:tcMar>
              <w:top w:type="dxa" w:w="80"/>
              <w:left w:type="dxa" w:w="140"/>
              <w:bottom w:type="dxa" w:w="80"/>
              <w:right w:type="dxa" w:w="140"/>
            </w:tcMar>
          </w:tcPr>
          <w:p>
            <w:r>
              <w:rPr>
                <w:rFonts w:ascii="Arial" w:cs="Arial" w:eastAsia="Arial" w:hAnsi="Arial"/>
                <w:b/>
                <w:bCs/>
                <w:color w:val="1B1F3A"/>
                <w:sz w:val="20"/>
                <w:szCs w:val="20"/>
              </w:rPr>
              <w:t xml:space="preserve">Target ICP</w:t>
            </w:r>
          </w:p>
        </w:tc>
        <w:tc>
          <w:tcPr>
            <w:tcW w:type="dxa" w:w="5860"/>
            <w:tcBorders>
              <w:top w:val="single" w:color="D0D5DD" w:sz="2"/>
              <w:left w:val="single" w:color="D0D5DD" w:sz="2"/>
              <w:bottom w:val="single" w:color="D0D5DD" w:sz="2"/>
              <w:right w:val="single" w:color="D0D5DD" w:sz="2"/>
            </w:tcBorders>
            <w:tcMar>
              <w:top w:type="dxa" w:w="80"/>
              <w:left w:type="dxa" w:w="140"/>
              <w:bottom w:type="dxa" w:w="80"/>
              <w:right w:type="dxa" w:w="140"/>
            </w:tcMar>
          </w:tcPr>
          <w:p>
            <w:r>
              <w:rPr>
                <w:rFonts w:ascii="Arial" w:cs="Arial" w:eastAsia="Arial" w:hAnsi="Arial"/>
                <w:color w:val="333333"/>
                <w:sz w:val="20"/>
                <w:szCs w:val="20"/>
              </w:rPr>
              <w:t xml:space="preserve">Founders, executives, chiefs of staff, investors</w:t>
            </w:r>
          </w:p>
        </w:tc>
      </w:tr>
      <w:tr>
        <w:tc>
          <w:tcPr>
            <w:tcW w:type="dxa" w:w="3500"/>
            <w:tcBorders>
              <w:top w:val="single" w:color="D0D5DD" w:sz="2"/>
              <w:left w:val="single" w:color="D0D5DD" w:sz="2"/>
              <w:bottom w:val="single" w:color="D0D5DD" w:sz="2"/>
              <w:right w:val="single" w:color="D0D5DD" w:sz="2"/>
            </w:tcBorders>
            <w:shd w:fill="F5F5F5" w:val="clear"/>
            <w:tcMar>
              <w:top w:type="dxa" w:w="80"/>
              <w:left w:type="dxa" w:w="140"/>
              <w:bottom w:type="dxa" w:w="80"/>
              <w:right w:type="dxa" w:w="140"/>
            </w:tcMar>
          </w:tcPr>
          <w:p>
            <w:r>
              <w:rPr>
                <w:rFonts w:ascii="Arial" w:cs="Arial" w:eastAsia="Arial" w:hAnsi="Arial"/>
                <w:b/>
                <w:bCs/>
                <w:color w:val="1B1F3A"/>
                <w:sz w:val="20"/>
                <w:szCs w:val="20"/>
              </w:rPr>
              <w:t xml:space="preserve">Core product offer</w:t>
            </w:r>
          </w:p>
        </w:tc>
        <w:tc>
          <w:tcPr>
            <w:tcW w:type="dxa" w:w="5860"/>
            <w:tcBorders>
              <w:top w:val="single" w:color="D0D5DD" w:sz="2"/>
              <w:left w:val="single" w:color="D0D5DD" w:sz="2"/>
              <w:bottom w:val="single" w:color="D0D5DD" w:sz="2"/>
              <w:right w:val="single" w:color="D0D5DD" w:sz="2"/>
            </w:tcBorders>
            <w:tcMar>
              <w:top w:type="dxa" w:w="80"/>
              <w:left w:type="dxa" w:w="140"/>
              <w:bottom w:type="dxa" w:w="80"/>
              <w:right w:type="dxa" w:w="140"/>
            </w:tcMar>
          </w:tcPr>
          <w:p>
            <w:r>
              <w:rPr>
                <w:rFonts w:ascii="Arial" w:cs="Arial" w:eastAsia="Arial" w:hAnsi="Arial"/>
                <w:color w:val="333333"/>
                <w:sz w:val="20"/>
                <w:szCs w:val="20"/>
              </w:rPr>
              <w:t xml:space="preserve">Waitlist / early access to donna.app</w:t>
            </w:r>
          </w:p>
        </w:tc>
      </w:tr>
      <w:tr>
        <w:tc>
          <w:tcPr>
            <w:tcW w:type="dxa" w:w="3500"/>
            <w:tcBorders>
              <w:top w:val="single" w:color="D0D5DD" w:sz="2"/>
              <w:left w:val="single" w:color="D0D5DD" w:sz="2"/>
              <w:bottom w:val="single" w:color="D0D5DD" w:sz="2"/>
              <w:right w:val="single" w:color="D0D5DD" w:sz="2"/>
            </w:tcBorders>
            <w:shd w:fill="F5F5F5" w:val="clear"/>
            <w:tcMar>
              <w:top w:type="dxa" w:w="80"/>
              <w:left w:type="dxa" w:w="140"/>
              <w:bottom w:type="dxa" w:w="80"/>
              <w:right w:type="dxa" w:w="140"/>
            </w:tcMar>
          </w:tcPr>
          <w:p>
            <w:r>
              <w:rPr>
                <w:rFonts w:ascii="Arial" w:cs="Arial" w:eastAsia="Arial" w:hAnsi="Arial"/>
                <w:b/>
                <w:bCs/>
                <w:color w:val="1B1F3A"/>
                <w:sz w:val="20"/>
                <w:szCs w:val="20"/>
              </w:rPr>
              <w:t xml:space="preserve">Brand voice</w:t>
            </w:r>
          </w:p>
        </w:tc>
        <w:tc>
          <w:tcPr>
            <w:tcW w:type="dxa" w:w="5860"/>
            <w:tcBorders>
              <w:top w:val="single" w:color="D0D5DD" w:sz="2"/>
              <w:left w:val="single" w:color="D0D5DD" w:sz="2"/>
              <w:bottom w:val="single" w:color="D0D5DD" w:sz="2"/>
              <w:right w:val="single" w:color="D0D5DD" w:sz="2"/>
            </w:tcBorders>
            <w:tcMar>
              <w:top w:type="dxa" w:w="80"/>
              <w:left w:type="dxa" w:w="140"/>
              <w:bottom w:type="dxa" w:w="80"/>
              <w:right w:type="dxa" w:w="140"/>
            </w:tcMar>
          </w:tcPr>
          <w:p>
            <w:r>
              <w:rPr>
                <w:rFonts w:ascii="Arial" w:cs="Arial" w:eastAsia="Arial" w:hAnsi="Arial"/>
                <w:color w:val="333333"/>
                <w:sz w:val="20"/>
                <w:szCs w:val="20"/>
              </w:rPr>
              <w:t xml:space="preserve">Confident, precise, understated. “See everything. Miss nothing.”</w:t>
            </w:r>
          </w:p>
        </w:tc>
      </w:tr>
    </w:tbl>
    <w:p>
      <w:pPr>
        <w:spacing w:before="0" w:after="200"/>
      </w:pPr>
    </w:p>
    <w:p>
      <w:pPr>
        <w:pStyle w:val="Heading2"/>
        <w:spacing w:before="320" w:after="120"/>
      </w:pPr>
      <w:r>
        <w:rPr>
          <w:rFonts w:ascii="Arial" w:cs="Arial" w:eastAsia="Arial" w:hAnsi="Arial"/>
          <w:b/>
          <w:bCs/>
          <w:color w:val="1B1F3A"/>
          <w:sz w:val="24"/>
          <w:szCs w:val="24"/>
        </w:rPr>
        <w:t xml:space="preserve">Content Strengths We Can Leverage for Paid</w:t>
      </w:r>
    </w:p>
    <w:p>
      <w:pPr>
        <w:spacing w:before="0" w:after="160"/>
      </w:pPr>
      <w:r>
        <w:rPr>
          <w:rFonts w:ascii="Arial" w:cs="Arial" w:eastAsia="Arial" w:hAnsi="Arial"/>
          <w:color w:val="1B1F3A"/>
          <w:sz w:val="22"/>
          <w:szCs w:val="22"/>
        </w:rPr>
        <w:t xml:space="preserve">Having reviewed all 30 posts and all caption variants, four content strengths stand out as directly translatable to high-performing paid ads:</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Exceptional hooks. The campaign already uses stop-the-scroll openers naturally: “Your inbox is not a to-do list. It’s a crime scene.” (Day 4), “84 unread. 1 briefing.” (Day 8), “4 seconds.” (Day 15). These lines need zero creative reworking for paid.</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Objection-handling built in. Day 11 (privacy), Day 12 (not a chatbot), and Day 14 (autonomy tiers) directly address the three biggest purchase objections for an AI inbox tool. These are tailor-made for mid-funnel retargeting.</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Strong social proof assets. Day 7 (800+ waitlist), Day 13 (beta quote: “I felt like the most prepared person in the room”), and Day 17 (founder use case) give us credibility signals that compress conversion timelines when used in retargeting.</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Three caption styles already written. The B-variant (Punchy) is already formatted for X promoted posts and Instagram Stories. The A-variant (Storytelling) is perfectly formatted for LinkedIn Sponsored Content. No extra copywriting required.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7DAA" w:sz="6"/>
              <w:left w:val="single" w:color="4E7DAA" w:sz="18"/>
              <w:bottom w:val="single" w:color="D0D5DD" w:sz="2"/>
              <w:right w:val="single" w:color="D0D5DD" w:sz="2"/>
            </w:tcBorders>
            <w:shd w:fill="EEF4FB" w:val="clear"/>
            <w:tcMar>
              <w:top w:type="dxa" w:w="120"/>
              <w:left w:type="dxa" w:w="180"/>
              <w:bottom w:type="dxa" w:w="120"/>
              <w:right w:type="dxa" w:w="180"/>
            </w:tcMar>
          </w:tcPr>
          <w:p>
            <w:pPr>
              <w:spacing w:before="0" w:after="60"/>
            </w:pPr>
            <w:r>
              <w:rPr>
                <w:rFonts w:ascii="Arial" w:cs="Arial" w:eastAsia="Arial" w:hAnsi="Arial"/>
                <w:b/>
                <w:bCs/>
                <w:color w:val="4E7DAA"/>
                <w:sz w:val="20"/>
                <w:szCs w:val="20"/>
              </w:rPr>
              <w:t xml:space="preserve">Key Strategic Observation</w:t>
            </w:r>
          </w:p>
          <w:p>
            <w:pPr>
              <w:spacing w:before="0" w:after="0"/>
            </w:pPr>
            <w:r>
              <w:rPr>
                <w:rFonts w:ascii="Arial" w:cs="Arial" w:eastAsia="Arial" w:hAnsi="Arial"/>
                <w:color w:val="1B1F3A"/>
                <w:sz w:val="21"/>
                <w:szCs w:val="21"/>
              </w:rPr>
              <w:t xml:space="preserve">This is a B2B SaaS product with a clearly defined professional ICP. LinkedIn is not just one option — it should be the primary paid channel, because it is the only platform where you can precision-target by job title, seniority, and company size. Instagram builds brand volume and visual awareness. X/Twitter builds community credibility. Each has a distinct role.</w:t>
            </w:r>
          </w:p>
        </w:tc>
      </w:tr>
    </w:tbl>
    <w:p>
      <w:r>
        <w:br w:type="page"/>
      </w:r>
    </w:p>
    <w:p>
      <w:pPr>
        <w:pStyle w:val="Heading1"/>
        <w:pBdr>
          <w:bottom w:val="single" w:color="E8845C" w:sz="6" w:space="4"/>
        </w:pBdr>
        <w:spacing w:before="480" w:after="200"/>
      </w:pPr>
      <w:r>
        <w:rPr>
          <w:rFonts w:ascii="Arial" w:cs="Arial" w:eastAsia="Arial" w:hAnsi="Arial"/>
          <w:b/>
          <w:bCs/>
          <w:color w:val="1B1F3A"/>
          <w:sz w:val="28"/>
          <w:szCs w:val="28"/>
        </w:rPr>
        <w:t xml:space="preserve">02 — Platform ROAS Benchmarks &amp; Strategic Fit</w:t>
      </w:r>
    </w:p>
    <w:p>
      <w:pPr>
        <w:spacing w:before="0" w:after="160"/>
      </w:pPr>
      <w:r>
        <w:rPr>
          <w:rFonts w:ascii="Arial" w:cs="Arial" w:eastAsia="Arial" w:hAnsi="Arial"/>
          <w:color w:val="1B1F3A"/>
          <w:sz w:val="22"/>
          <w:szCs w:val="22"/>
        </w:rPr>
        <w:t xml:space="preserve">The table below summarises realistic ROAS benchmarks for each platform, calibrated to a B2B SaaS product targeting senior professionals at a product-led growth stage. Donna is running a waitlist model, so ‘conversion’ is a free signup, not a paid transaction — ROAS here is measured as cost-per-qualified-signup (CPL) relative to estimated LTV.</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1B1F3A" w:sz="4"/>
              <w:left w:val="single" w:color="1B1F3A" w:sz="4"/>
              <w:bottom w:val="single" w:color="1B1F3A" w:sz="4"/>
              <w:right w:val="single" w:color="1B1F3A" w:sz="4"/>
            </w:tcBorders>
            <w:shd w:fill="1B1F3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Platform</w:t>
            </w:r>
          </w:p>
        </w:tc>
        <w:tc>
          <w:tcPr>
            <w:tcW w:type="dxa" w:w="4800"/>
            <w:tcBorders>
              <w:top w:val="single" w:color="1B1F3A" w:sz="4"/>
              <w:left w:val="single" w:color="1B1F3A" w:sz="4"/>
              <w:bottom w:val="single" w:color="1B1F3A" w:sz="4"/>
              <w:right w:val="single" w:color="1B1F3A" w:sz="4"/>
            </w:tcBorders>
            <w:shd w:fill="1B1F3A" w:val="clear"/>
            <w:tcMar>
              <w:top w:type="dxa" w:w="100"/>
              <w:left w:type="dxa" w:w="140"/>
              <w:bottom w:type="dxa" w:w="100"/>
              <w:right w:type="dxa" w:w="140"/>
            </w:tcMar>
          </w:tcPr>
          <w:p>
            <w:r>
              <w:rPr>
                <w:rFonts w:ascii="Arial" w:cs="Arial" w:eastAsia="Arial" w:hAnsi="Arial"/>
                <w:b/>
                <w:bCs/>
                <w:color w:val="FFFFFF"/>
                <w:sz w:val="20"/>
                <w:szCs w:val="20"/>
              </w:rPr>
              <w:t xml:space="preserve">Best Use for Donna</w:t>
            </w:r>
          </w:p>
        </w:tc>
        <w:tc>
          <w:tcPr>
            <w:tcW w:type="dxa" w:w="2160"/>
            <w:tcBorders>
              <w:top w:val="single" w:color="1B1F3A" w:sz="4"/>
              <w:left w:val="single" w:color="1B1F3A" w:sz="4"/>
              <w:bottom w:val="single" w:color="1B1F3A" w:sz="4"/>
              <w:right w:val="single" w:color="1B1F3A" w:sz="4"/>
            </w:tcBorders>
            <w:shd w:fill="1B1F3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Expected CPL</w:t>
            </w:r>
          </w:p>
        </w:tc>
      </w:tr>
      <w:tr>
        <w:tc>
          <w:tcPr>
            <w:tcW w:type="dxa" w:w="2400"/>
            <w:tcBorders>
              <w:top w:val="single" w:color="4E7DAA" w:sz="6"/>
              <w:left w:val="single" w:color="4E7DAA" w:sz="6"/>
              <w:bottom w:val="single" w:color="4E7DAA" w:sz="6"/>
              <w:right w:val="single" w:color="4E7DAA" w:sz="6"/>
            </w:tcBorders>
            <w:shd w:fill="4E7DA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LinkedIn</w:t>
            </w:r>
          </w:p>
        </w:tc>
        <w:tc>
          <w:tcPr>
            <w:tcW w:type="dxa" w:w="4800"/>
            <w:tcBorders>
              <w:top w:val="single" w:color="D0D5DD" w:sz="2"/>
              <w:left w:val="single" w:color="D0D5DD" w:sz="2"/>
              <w:bottom w:val="single" w:color="D0D5DD" w:sz="2"/>
              <w:right w:val="single" w:color="D0D5DD" w:sz="2"/>
            </w:tcBorders>
            <w:shd w:fill="FAFAFA" w:val="clear"/>
            <w:tcMar>
              <w:top w:type="dxa" w:w="80"/>
              <w:left w:type="dxa" w:w="120"/>
              <w:bottom w:type="dxa" w:w="80"/>
              <w:right w:type="dxa" w:w="120"/>
            </w:tcMar>
          </w:tcPr>
          <w:p>
            <w:r>
              <w:rPr>
                <w:rFonts w:ascii="Arial" w:cs="Arial" w:eastAsia="Arial" w:hAnsi="Arial"/>
                <w:color w:val="1B1F3A"/>
                <w:sz w:val="20"/>
                <w:szCs w:val="20"/>
              </w:rPr>
              <w:t xml:space="preserve">Primary conversion channel. Lead Gen Forms for waitlist signups. Best ICP targeting precision.</w:t>
            </w:r>
          </w:p>
        </w:tc>
        <w:tc>
          <w:tcPr>
            <w:tcW w:type="dxa" w:w="2160"/>
            <w:tcBorders>
              <w:top w:val="single" w:color="D0D5DD" w:sz="2"/>
              <w:left w:val="single" w:color="D0D5DD" w:sz="2"/>
              <w:bottom w:val="single" w:color="D0D5DD" w:sz="2"/>
              <w:right w:val="single" w:color="D0D5DD" w:sz="2"/>
            </w:tcBorders>
            <w:shd w:fill="FAFAFA" w:val="clear"/>
            <w:tcMar>
              <w:top w:type="dxa" w:w="80"/>
              <w:left w:type="dxa" w:w="120"/>
              <w:bottom w:type="dxa" w:w="80"/>
              <w:right w:type="dxa" w:w="120"/>
            </w:tcMar>
          </w:tcPr>
          <w:p>
            <w:pPr>
              <w:jc w:val="center"/>
            </w:pPr>
            <w:r>
              <w:rPr>
                <w:rFonts w:ascii="Arial" w:cs="Arial" w:eastAsia="Arial" w:hAnsi="Arial"/>
                <w:b/>
                <w:bCs/>
                <w:color w:val="1B1F3A"/>
                <w:sz w:val="20"/>
                <w:szCs w:val="20"/>
              </w:rPr>
              <w:t xml:space="preserve">Low-Mid · $30–$80</w:t>
            </w:r>
          </w:p>
        </w:tc>
      </w:tr>
      <w:tr>
        <w:tc>
          <w:tcPr>
            <w:tcW w:type="dxa" w:w="2400"/>
            <w:tcBorders>
              <w:top w:val="single" w:color="E8845C" w:sz="6"/>
              <w:left w:val="single" w:color="E8845C" w:sz="6"/>
              <w:bottom w:val="single" w:color="E8845C" w:sz="6"/>
              <w:right w:val="single" w:color="E8845C" w:sz="6"/>
            </w:tcBorders>
            <w:shd w:fill="E884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Instagram</w:t>
            </w:r>
          </w:p>
        </w:tc>
        <w:tc>
          <w:tcPr>
            <w:tcW w:type="dxa" w:w="4800"/>
            <w:tcBorders>
              <w:top w:val="single" w:color="D0D5DD" w:sz="2"/>
              <w:left w:val="single" w:color="D0D5DD" w:sz="2"/>
              <w:bottom w:val="single" w:color="D0D5DD" w:sz="2"/>
              <w:right w:val="single" w:color="D0D5DD" w:sz="2"/>
            </w:tcBorders>
            <w:shd w:fill="FAFAFA" w:val="clear"/>
            <w:tcMar>
              <w:top w:type="dxa" w:w="80"/>
              <w:left w:type="dxa" w:w="120"/>
              <w:bottom w:type="dxa" w:w="80"/>
              <w:right w:type="dxa" w:w="120"/>
            </w:tcMar>
          </w:tcPr>
          <w:p>
            <w:r>
              <w:rPr>
                <w:rFonts w:ascii="Arial" w:cs="Arial" w:eastAsia="Arial" w:hAnsi="Arial"/>
                <w:color w:val="1B1F3A"/>
                <w:sz w:val="20"/>
                <w:szCs w:val="20"/>
              </w:rPr>
              <w:t xml:space="preserve">Brand awareness + retargeting. Visual storytelling and Reels for reach. Drives traffic.</w:t>
            </w:r>
          </w:p>
        </w:tc>
        <w:tc>
          <w:tcPr>
            <w:tcW w:type="dxa" w:w="2160"/>
            <w:tcBorders>
              <w:top w:val="single" w:color="D0D5DD" w:sz="2"/>
              <w:left w:val="single" w:color="D0D5DD" w:sz="2"/>
              <w:bottom w:val="single" w:color="D0D5DD" w:sz="2"/>
              <w:right w:val="single" w:color="D0D5DD" w:sz="2"/>
            </w:tcBorders>
            <w:shd w:fill="FAFAFA" w:val="clear"/>
            <w:tcMar>
              <w:top w:type="dxa" w:w="80"/>
              <w:left w:type="dxa" w:w="120"/>
              <w:bottom w:type="dxa" w:w="80"/>
              <w:right w:type="dxa" w:w="120"/>
            </w:tcMar>
          </w:tcPr>
          <w:p>
            <w:pPr>
              <w:jc w:val="center"/>
            </w:pPr>
            <w:r>
              <w:rPr>
                <w:rFonts w:ascii="Arial" w:cs="Arial" w:eastAsia="Arial" w:hAnsi="Arial"/>
                <w:b/>
                <w:bCs/>
                <w:color w:val="1B1F3A"/>
                <w:sz w:val="20"/>
                <w:szCs w:val="20"/>
              </w:rPr>
              <w:t xml:space="preserve">Mid · $15–$40</w:t>
            </w:r>
          </w:p>
        </w:tc>
      </w:tr>
      <w:tr>
        <w:tc>
          <w:tcPr>
            <w:tcW w:type="dxa" w:w="2400"/>
            <w:tcBorders>
              <w:top w:val="single" w:color="555555" w:sz="6"/>
              <w:left w:val="single" w:color="555555" w:sz="6"/>
              <w:bottom w:val="single" w:color="555555" w:sz="6"/>
              <w:right w:val="single" w:color="555555" w:sz="6"/>
            </w:tcBorders>
            <w:shd w:fill="55555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X / Twitter</w:t>
            </w:r>
          </w:p>
        </w:tc>
        <w:tc>
          <w:tcPr>
            <w:tcW w:type="dxa" w:w="4800"/>
            <w:tcBorders>
              <w:top w:val="single" w:color="D0D5DD" w:sz="2"/>
              <w:left w:val="single" w:color="D0D5DD" w:sz="2"/>
              <w:bottom w:val="single" w:color="D0D5DD" w:sz="2"/>
              <w:right w:val="single" w:color="D0D5DD" w:sz="2"/>
            </w:tcBorders>
            <w:shd w:fill="FAFAFA" w:val="clear"/>
            <w:tcMar>
              <w:top w:type="dxa" w:w="80"/>
              <w:left w:type="dxa" w:w="120"/>
              <w:bottom w:type="dxa" w:w="80"/>
              <w:right w:type="dxa" w:w="120"/>
            </w:tcMar>
          </w:tcPr>
          <w:p>
            <w:r>
              <w:rPr>
                <w:rFonts w:ascii="Arial" w:cs="Arial" w:eastAsia="Arial" w:hAnsi="Arial"/>
                <w:color w:val="1B1F3A"/>
                <w:sz w:val="20"/>
                <w:szCs w:val="20"/>
              </w:rPr>
              <w:t xml:space="preserve">Community credibility + thought leadership. Promoted tweets for reach among tech ICP.</w:t>
            </w:r>
          </w:p>
        </w:tc>
        <w:tc>
          <w:tcPr>
            <w:tcW w:type="dxa" w:w="2160"/>
            <w:tcBorders>
              <w:top w:val="single" w:color="D0D5DD" w:sz="2"/>
              <w:left w:val="single" w:color="D0D5DD" w:sz="2"/>
              <w:bottom w:val="single" w:color="D0D5DD" w:sz="2"/>
              <w:right w:val="single" w:color="D0D5DD" w:sz="2"/>
            </w:tcBorders>
            <w:shd w:fill="FAFAFA" w:val="clear"/>
            <w:tcMar>
              <w:top w:type="dxa" w:w="80"/>
              <w:left w:type="dxa" w:w="120"/>
              <w:bottom w:type="dxa" w:w="80"/>
              <w:right w:type="dxa" w:w="120"/>
            </w:tcMar>
          </w:tcPr>
          <w:p>
            <w:pPr>
              <w:jc w:val="center"/>
            </w:pPr>
            <w:r>
              <w:rPr>
                <w:rFonts w:ascii="Arial" w:cs="Arial" w:eastAsia="Arial" w:hAnsi="Arial"/>
                <w:b/>
                <w:bCs/>
                <w:color w:val="1B1F3A"/>
                <w:sz w:val="20"/>
                <w:szCs w:val="20"/>
              </w:rPr>
              <w:t xml:space="preserve">High · $40–$90</w:t>
            </w:r>
          </w:p>
        </w:tc>
      </w:tr>
    </w:tbl>
    <w:p>
      <w:pPr>
        <w:spacing w:before="0" w:after="200"/>
      </w:pPr>
    </w:p>
    <w:p>
      <w:pPr>
        <w:spacing w:before="0" w:after="160"/>
      </w:pPr>
      <w:r>
        <w:rPr>
          <w:rFonts w:ascii="Arial" w:cs="Arial" w:eastAsia="Arial" w:hAnsi="Arial"/>
          <w:color w:val="1B1F3A"/>
          <w:sz w:val="22"/>
          <w:szCs w:val="22"/>
        </w:rPr>
        <w:t xml:space="preserve">Note on CPL: for a product targeting founders and C-suite with potential LTV of $2,000–$10,000+/year, a $50–80 CPL on LinkedIn is highly efficient. Do not optimise for lowest CPL — optimise for lowest CPL among qualified ICP.</w:t>
      </w:r>
    </w:p>
    <w:p>
      <w:pPr>
        <w:spacing w:before="0" w:after="100"/>
      </w:pPr>
    </w:p>
    <w:p>
      <w:pPr>
        <w:pStyle w:val="Heading2"/>
        <w:spacing w:before="320" w:after="120"/>
      </w:pPr>
      <w:r>
        <w:rPr>
          <w:rFonts w:ascii="Arial" w:cs="Arial" w:eastAsia="Arial" w:hAnsi="Arial"/>
          <w:b/>
          <w:bCs/>
          <w:color w:val="1B1F3A"/>
          <w:sz w:val="24"/>
          <w:szCs w:val="24"/>
        </w:rPr>
        <w:t xml:space="preserve">LinkedIn — Primary Conversion Engine</w:t>
      </w:r>
    </w:p>
    <w:p>
      <w:pPr>
        <w:spacing w:before="0" w:after="160"/>
      </w:pPr>
      <w:r>
        <w:rPr>
          <w:rFonts w:ascii="Arial" w:cs="Arial" w:eastAsia="Arial" w:hAnsi="Arial"/>
          <w:color w:val="1B1F3A"/>
          <w:sz w:val="22"/>
          <w:szCs w:val="22"/>
        </w:rPr>
        <w:t xml:space="preserve">LinkedIn is the highest-priority paid channel for Donna, despite being the most expensive on a CPM basis. The reason is simple: it is the only platform where you can target ‘Chief of Staff at a 100-person tech company’ with precision. Every dollar wasted on the wrong audience in other channels is money LinkedIn would have spent reaching the right one.</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Use Sponsored Content with the A-variant (Storytelling) captions for feed placements. LinkedIn’s algorithm rewards dwell time, and long-form text posts earn it.</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Thought Leader Ads — running the founder’s personal LinkedIn posts as paid ads — consistently outperform company page ads by 2–3x in CTR. The Day 1, 5, 10, and 12 posts are ideal for this format.</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Lead Gen Forms should be the primary CTA. Pre-filled from LinkedIn profiles, they remove friction entirely. The offer is ‘Join the Early Access Waitlist’ — simple, no-commitment, and perfectly matched to what the campaign already drives toward.</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Target by job title (Chief of Staff, CEO, Founder, VP Operations, Managing Director), seniority (Director and above), company size (20–500 employees), and industry (Technology, Financial Services, Consulting, Venture Capital).</w:t>
      </w:r>
    </w:p>
    <w:p>
      <w:pPr>
        <w:spacing w:before="0" w:after="80"/>
      </w:pPr>
    </w:p>
    <w:p>
      <w:pPr>
        <w:pStyle w:val="Heading2"/>
        <w:spacing w:before="320" w:after="120"/>
      </w:pPr>
      <w:r>
        <w:rPr>
          <w:rFonts w:ascii="Arial" w:cs="Arial" w:eastAsia="Arial" w:hAnsi="Arial"/>
          <w:b/>
          <w:bCs/>
          <w:color w:val="1B1F3A"/>
          <w:sz w:val="24"/>
          <w:szCs w:val="24"/>
        </w:rPr>
        <w:t xml:space="preserve">Instagram — Visual Volume &amp; Retargeting Layer</w:t>
      </w:r>
    </w:p>
    <w:p>
      <w:pPr>
        <w:spacing w:before="0" w:after="160"/>
      </w:pPr>
      <w:r>
        <w:rPr>
          <w:rFonts w:ascii="Arial" w:cs="Arial" w:eastAsia="Arial" w:hAnsi="Arial"/>
          <w:color w:val="1B1F3A"/>
          <w:sz w:val="22"/>
          <w:szCs w:val="22"/>
        </w:rPr>
        <w:t xml:space="preserve">Instagram sits in the middle of the funnel for Donna. Its primary jobs are (1) building brand visual recognition through Reels and Story ads, and (2) retargeting anyone who has visited donna.app with feature-specific content. Instagram’s CPMs are substantially lower than LinkedIn, making it ideal for reach-based objectives.</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Reels ads are the highest-priority format. Instagram gives Reels preferential algorithmic distribution and lower CPMs. A 15–25 second video built around the Day 2 pain hook (“84 unread”) or the Day 6 morning ritual visual would perform strongly.</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Story ads with the B-variant (Punchy) captions work well for warm retargeting. Single-image Stories with a strong hook line and ‘Join Waitlist’ CTA link.</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The Instagram ICP is slightly broader than LinkedIn — founders and ambitious professionals rather than specifically chiefs of staff. Frame Instagram creative around the aspirational morning ritual angle rather than the professional productivity angle.</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Retarget all website visitors (donna.app) with a 30-day window. This is where Instagram delivers its best ROAS. The audience is already warm; the creative job is simply to close.</w:t>
      </w:r>
    </w:p>
    <w:p>
      <w:pPr>
        <w:spacing w:before="0" w:after="80"/>
      </w:pPr>
    </w:p>
    <w:p>
      <w:pPr>
        <w:pStyle w:val="Heading2"/>
        <w:spacing w:before="320" w:after="120"/>
      </w:pPr>
      <w:r>
        <w:rPr>
          <w:rFonts w:ascii="Arial" w:cs="Arial" w:eastAsia="Arial" w:hAnsi="Arial"/>
          <w:b/>
          <w:bCs/>
          <w:color w:val="1B1F3A"/>
          <w:sz w:val="24"/>
          <w:szCs w:val="24"/>
        </w:rPr>
        <w:t xml:space="preserve">X/Twitter — Thought Leadership &amp; Community Credibility</w:t>
      </w:r>
    </w:p>
    <w:p>
      <w:pPr>
        <w:spacing w:before="0" w:after="160"/>
      </w:pPr>
      <w:r>
        <w:rPr>
          <w:rFonts w:ascii="Arial" w:cs="Arial" w:eastAsia="Arial" w:hAnsi="Arial"/>
          <w:color w:val="1B1F3A"/>
          <w:sz w:val="22"/>
          <w:szCs w:val="22"/>
        </w:rPr>
        <w:t xml:space="preserve">X has the lowest ROAS of the three platforms for a product like Donna, but it plays a specific and valuable role: building credibility with the technical and founder community that will become Donna’s early advocates and word-of-mouth engine. High organic engagement on X makes paid amplification more efficient.</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Promoted Tweets with the B-variant (Punchy) single-post options. Threads do not work well as paid ads — use them organically. For paid, single-post punchy lines with a link perform best.</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Day 4 (“crime scene” quote), Day 12 (not a chatbot distinction), and Day 16 (technical pipeline post) are the three strongest X paid candidates. They are quotable, shareable, and generate the kind of replies that extend organic reach.</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Target by interests (AI, productivity, startups, SaaS) and follower lookalikes (people who follow Superhuman, Notion, Linear, and similar productivity-adjacent B2B tools).</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Run Promoted Account campaigns alongside Promoted Tweet campaigns to build a genuine following. Donna’s organic X content is strong enough that new followers will convert to waitlist over time.</w:t>
      </w:r>
    </w:p>
    <w:p>
      <w:r>
        <w:br w:type="page"/>
      </w:r>
    </w:p>
    <w:p>
      <w:pPr>
        <w:pStyle w:val="Heading1"/>
        <w:pBdr>
          <w:bottom w:val="single" w:color="E8845C" w:sz="6" w:space="4"/>
        </w:pBdr>
        <w:spacing w:before="480" w:after="200"/>
      </w:pPr>
      <w:r>
        <w:rPr>
          <w:rFonts w:ascii="Arial" w:cs="Arial" w:eastAsia="Arial" w:hAnsi="Arial"/>
          <w:b/>
          <w:bCs/>
          <w:color w:val="1B1F3A"/>
          <w:sz w:val="28"/>
          <w:szCs w:val="28"/>
        </w:rPr>
        <w:t xml:space="preserve">03 — Top 10 Posts to Run as Paid Ads</w:t>
      </w:r>
    </w:p>
    <w:p>
      <w:pPr>
        <w:spacing w:before="0" w:after="160"/>
      </w:pPr>
      <w:r>
        <w:rPr>
          <w:rFonts w:ascii="Arial" w:cs="Arial" w:eastAsia="Arial" w:hAnsi="Arial"/>
          <w:color w:val="1B1F3A"/>
          <w:sz w:val="22"/>
          <w:szCs w:val="22"/>
        </w:rPr>
        <w:t xml:space="preserve">Of the 30 posts in the campaign, the following 10 are the strongest paid ad candidates. They are selected based on hook strength, objection-handling value, and match to platform ad mechanics. The caption variant recommended for each is the one already formatted closest to paid ad standards.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480"/>
        <w:gridCol w:w="3680"/>
      </w:tblGrid>
      <w:tr>
        <w:tc>
          <w:tcPr>
            <w:tcW w:type="dxa" w:w="1000"/>
            <w:tcBorders>
              <w:top w:val="single" w:color="1B1F3A" w:sz="4"/>
              <w:left w:val="single" w:color="1B1F3A" w:sz="4"/>
              <w:bottom w:val="single" w:color="1B1F3A" w:sz="4"/>
              <w:right w:val="single" w:color="1B1F3A" w:sz="4"/>
            </w:tcBorders>
            <w:shd w:fill="1B1F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Post</w:t>
            </w:r>
          </w:p>
        </w:tc>
        <w:tc>
          <w:tcPr>
            <w:tcW w:type="dxa" w:w="2200"/>
            <w:tcBorders>
              <w:top w:val="single" w:color="1B1F3A" w:sz="4"/>
              <w:left w:val="single" w:color="1B1F3A" w:sz="4"/>
              <w:bottom w:val="single" w:color="1B1F3A" w:sz="4"/>
              <w:right w:val="single" w:color="1B1F3A" w:sz="4"/>
            </w:tcBorders>
            <w:shd w:fill="1B1F3A" w:val="clear"/>
            <w:tcMar>
              <w:top w:type="dxa" w:w="80"/>
              <w:left w:type="dxa" w:w="120"/>
              <w:bottom w:type="dxa" w:w="80"/>
              <w:right w:type="dxa" w:w="120"/>
            </w:tcMar>
          </w:tcPr>
          <w:p>
            <w:r>
              <w:rPr>
                <w:rFonts w:ascii="Arial" w:cs="Arial" w:eastAsia="Arial" w:hAnsi="Arial"/>
                <w:b/>
                <w:bCs/>
                <w:color w:val="FFFFFF"/>
                <w:sz w:val="19"/>
                <w:szCs w:val="19"/>
              </w:rPr>
              <w:t xml:space="preserve">Title &amp; Variant</w:t>
            </w:r>
          </w:p>
        </w:tc>
        <w:tc>
          <w:tcPr>
            <w:tcW w:type="dxa" w:w="2480"/>
            <w:tcBorders>
              <w:top w:val="single" w:color="1B1F3A" w:sz="4"/>
              <w:left w:val="single" w:color="1B1F3A" w:sz="4"/>
              <w:bottom w:val="single" w:color="1B1F3A" w:sz="4"/>
              <w:right w:val="single" w:color="1B1F3A" w:sz="4"/>
            </w:tcBorders>
            <w:shd w:fill="1B1F3A" w:val="clear"/>
            <w:tcMar>
              <w:top w:type="dxa" w:w="80"/>
              <w:left w:type="dxa" w:w="120"/>
              <w:bottom w:type="dxa" w:w="80"/>
              <w:right w:type="dxa" w:w="120"/>
            </w:tcMar>
          </w:tcPr>
          <w:p>
            <w:r>
              <w:rPr>
                <w:rFonts w:ascii="Arial" w:cs="Arial" w:eastAsia="Arial" w:hAnsi="Arial"/>
                <w:b/>
                <w:bCs/>
                <w:color w:val="FFFFFF"/>
                <w:sz w:val="19"/>
                <w:szCs w:val="19"/>
              </w:rPr>
              <w:t xml:space="preserve">Hook Line</w:t>
            </w:r>
          </w:p>
        </w:tc>
        <w:tc>
          <w:tcPr>
            <w:tcW w:type="dxa" w:w="3680"/>
            <w:tcBorders>
              <w:top w:val="single" w:color="1B1F3A" w:sz="4"/>
              <w:left w:val="single" w:color="1B1F3A" w:sz="4"/>
              <w:bottom w:val="single" w:color="1B1F3A" w:sz="4"/>
              <w:right w:val="single" w:color="1B1F3A" w:sz="4"/>
            </w:tcBorders>
            <w:shd w:fill="1B1F3A" w:val="clear"/>
            <w:tcMar>
              <w:top w:type="dxa" w:w="80"/>
              <w:left w:type="dxa" w:w="120"/>
              <w:bottom w:type="dxa" w:w="80"/>
              <w:right w:type="dxa" w:w="120"/>
            </w:tcMar>
          </w:tcPr>
          <w:p>
            <w:r>
              <w:rPr>
                <w:rFonts w:ascii="Arial" w:cs="Arial" w:eastAsia="Arial" w:hAnsi="Arial"/>
                <w:b/>
                <w:bCs/>
                <w:color w:val="FFFFFF"/>
                <w:sz w:val="19"/>
                <w:szCs w:val="19"/>
              </w:rPr>
              <w:t xml:space="preserve">Why This Performs as a Paid Ad</w:t>
            </w:r>
          </w:p>
        </w:tc>
      </w:tr>
      <w:tr>
        <w:tc>
          <w:tcPr>
            <w:tcW w:type="dxa" w:w="1000"/>
            <w:tcBorders>
              <w:top w:val="single" w:color="D0D5DD" w:sz="2"/>
              <w:left w:val="single" w:color="D0D5DD" w:sz="2"/>
              <w:bottom w:val="single" w:color="D0D5DD" w:sz="2"/>
              <w:right w:val="single" w:color="D0D5DD" w:sz="2"/>
            </w:tcBorders>
            <w:shd w:fill="F5F5F5" w:val="clear"/>
            <w:tcMar>
              <w:top w:type="dxa" w:w="80"/>
              <w:left w:type="dxa" w:w="100"/>
              <w:bottom w:type="dxa" w:w="80"/>
              <w:right w:type="dxa" w:w="100"/>
            </w:tcMar>
            <w:vAlign w:val="top"/>
          </w:tcPr>
          <w:p>
            <w:pPr>
              <w:jc w:val="center"/>
            </w:pPr>
            <w:r>
              <w:rPr>
                <w:rFonts w:ascii="Arial" w:cs="Arial" w:eastAsia="Arial" w:hAnsi="Arial"/>
                <w:b/>
                <w:bCs/>
                <w:color w:val="E8845C"/>
                <w:sz w:val="24"/>
                <w:szCs w:val="24"/>
              </w:rPr>
              <w:t xml:space="preserve">D01 ★</w:t>
            </w:r>
          </w:p>
          <w:p>
            <w:pPr>
              <w:jc w:val="center"/>
            </w:pPr>
            <w:r>
              <w:rPr>
                <w:rFonts w:ascii="Arial" w:cs="Arial" w:eastAsia="Arial" w:hAnsi="Arial"/>
                <w:color w:val="666666"/>
                <w:sz w:val="18"/>
                <w:szCs w:val="18"/>
              </w:rPr>
              <w:t xml:space="preserve">“Reads your inbox, calendar, Slack &amp; docs overnight. One briefing. 7:30 AM.”</w:t>
            </w:r>
          </w:p>
        </w:tc>
        <w:tc>
          <w:tcPr>
            <w:tcW w:type="dxa" w:w="220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b/>
                <w:bCs/>
                <w:color w:val="1B1F3A"/>
                <w:sz w:val="21"/>
                <w:szCs w:val="21"/>
              </w:rPr>
              <w:t xml:space="preserve">Launch Announcement · B-Punchy</w:t>
            </w:r>
          </w:p>
        </w:tc>
        <w:tc>
          <w:tcPr>
            <w:tcW w:type="dxa" w:w="2480"/>
            <w:tcBorders>
              <w:top w:val="single" w:color="D0D5DD" w:sz="2"/>
              <w:left w:val="single" w:color="D0D5DD" w:sz="2"/>
              <w:bottom w:val="single" w:color="D0D5DD" w:sz="2"/>
              <w:right w:val="single" w:color="D0D5DD" w:sz="2"/>
            </w:tcBorders>
            <w:shd w:fill="FFFBF5" w:val="clear"/>
            <w:tcMar>
              <w:top w:type="dxa" w:w="80"/>
              <w:left w:type="dxa" w:w="120"/>
              <w:bottom w:type="dxa" w:w="80"/>
              <w:right w:type="dxa" w:w="120"/>
            </w:tcMar>
            <w:vAlign w:val="top"/>
          </w:tcPr>
          <w:p>
            <w:r>
              <w:rPr>
                <w:rFonts w:ascii="Arial" w:cs="Arial" w:eastAsia="Arial" w:hAnsi="Arial"/>
                <w:i/>
                <w:iCs/>
                <w:color w:val="333333"/>
                <w:sz w:val="20"/>
                <w:szCs w:val="20"/>
              </w:rPr>
              <w:t xml:space="preserve">Best top-of-funnel introduction. B-variant is already in paid ad format. Strong CTA. Run on all three platforms simultaneously as first contact.</w:t>
            </w:r>
          </w:p>
        </w:tc>
        <w:tc>
          <w:tcPr>
            <w:tcW w:type="dxa" w:w="368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color w:val="444444"/>
                <w:sz w:val="20"/>
                <w:szCs w:val="20"/>
              </w:rPr>
            </w:r>
          </w:p>
        </w:tc>
      </w:tr>
      <w:tr>
        <w:tc>
          <w:tcPr>
            <w:tcW w:type="dxa" w:w="1000"/>
            <w:tcBorders>
              <w:top w:val="single" w:color="D0D5DD" w:sz="2"/>
              <w:left w:val="single" w:color="D0D5DD" w:sz="2"/>
              <w:bottom w:val="single" w:color="D0D5DD" w:sz="2"/>
              <w:right w:val="single" w:color="D0D5DD" w:sz="2"/>
            </w:tcBorders>
            <w:shd w:fill="F5F5F5" w:val="clear"/>
            <w:tcMar>
              <w:top w:type="dxa" w:w="80"/>
              <w:left w:type="dxa" w:w="100"/>
              <w:bottom w:type="dxa" w:w="80"/>
              <w:right w:type="dxa" w:w="100"/>
            </w:tcMar>
            <w:vAlign w:val="top"/>
          </w:tcPr>
          <w:p>
            <w:pPr>
              <w:jc w:val="center"/>
            </w:pPr>
            <w:r>
              <w:rPr>
                <w:rFonts w:ascii="Arial" w:cs="Arial" w:eastAsia="Arial" w:hAnsi="Arial"/>
                <w:b/>
                <w:bCs/>
                <w:color w:val="E8845C"/>
                <w:sz w:val="24"/>
                <w:szCs w:val="24"/>
              </w:rPr>
              <w:t xml:space="preserve">D02</w:t>
            </w:r>
          </w:p>
          <w:p>
            <w:pPr>
              <w:jc w:val="center"/>
            </w:pPr>
            <w:r>
              <w:rPr>
                <w:rFonts w:ascii="Arial" w:cs="Arial" w:eastAsia="Arial" w:hAnsi="Arial"/>
                <w:color w:val="666666"/>
                <w:sz w:val="18"/>
                <w:szCs w:val="18"/>
              </w:rPr>
              <w:t xml:space="preserve">“84 unread. Finds something actionable maybe twice.”</w:t>
            </w:r>
          </w:p>
        </w:tc>
        <w:tc>
          <w:tcPr>
            <w:tcW w:type="dxa" w:w="220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b/>
                <w:bCs/>
                <w:color w:val="1B1F3A"/>
                <w:sz w:val="21"/>
                <w:szCs w:val="21"/>
              </w:rPr>
              <w:t xml:space="preserve">The Pain Post · A-Storytelling</w:t>
            </w:r>
          </w:p>
        </w:tc>
        <w:tc>
          <w:tcPr>
            <w:tcW w:type="dxa" w:w="2480"/>
            <w:tcBorders>
              <w:top w:val="single" w:color="D0D5DD" w:sz="2"/>
              <w:left w:val="single" w:color="D0D5DD" w:sz="2"/>
              <w:bottom w:val="single" w:color="D0D5DD" w:sz="2"/>
              <w:right w:val="single" w:color="D0D5DD" w:sz="2"/>
            </w:tcBorders>
            <w:shd w:fill="FFFBF5" w:val="clear"/>
            <w:tcMar>
              <w:top w:type="dxa" w:w="80"/>
              <w:left w:type="dxa" w:w="120"/>
              <w:bottom w:type="dxa" w:w="80"/>
              <w:right w:type="dxa" w:w="120"/>
            </w:tcMar>
            <w:vAlign w:val="top"/>
          </w:tcPr>
          <w:p>
            <w:r>
              <w:rPr>
                <w:rFonts w:ascii="Arial" w:cs="Arial" w:eastAsia="Arial" w:hAnsi="Arial"/>
                <w:i/>
                <w:iCs/>
                <w:color w:val="333333"/>
                <w:sz w:val="20"/>
                <w:szCs w:val="20"/>
              </w:rPr>
              <w:t xml:space="preserve">Pain-framing ads outperform feature ads 2:1 at top of funnel. The split card visual (chaos vs. clarity) is scroll-stopping. Ideal for Instagram Reels opener and LinkedIn feed.</w:t>
            </w:r>
          </w:p>
        </w:tc>
        <w:tc>
          <w:tcPr>
            <w:tcW w:type="dxa" w:w="368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color w:val="444444"/>
                <w:sz w:val="20"/>
                <w:szCs w:val="20"/>
              </w:rPr>
            </w:r>
          </w:p>
        </w:tc>
      </w:tr>
      <w:tr>
        <w:tc>
          <w:tcPr>
            <w:tcW w:type="dxa" w:w="1000"/>
            <w:tcBorders>
              <w:top w:val="single" w:color="D0D5DD" w:sz="2"/>
              <w:left w:val="single" w:color="D0D5DD" w:sz="2"/>
              <w:bottom w:val="single" w:color="D0D5DD" w:sz="2"/>
              <w:right w:val="single" w:color="D0D5DD" w:sz="2"/>
            </w:tcBorders>
            <w:shd w:fill="F5F5F5" w:val="clear"/>
            <w:tcMar>
              <w:top w:type="dxa" w:w="80"/>
              <w:left w:type="dxa" w:w="100"/>
              <w:bottom w:type="dxa" w:w="80"/>
              <w:right w:type="dxa" w:w="100"/>
            </w:tcMar>
            <w:vAlign w:val="top"/>
          </w:tcPr>
          <w:p>
            <w:pPr>
              <w:jc w:val="center"/>
            </w:pPr>
            <w:r>
              <w:rPr>
                <w:rFonts w:ascii="Arial" w:cs="Arial" w:eastAsia="Arial" w:hAnsi="Arial"/>
                <w:b/>
                <w:bCs/>
                <w:color w:val="E8845C"/>
                <w:sz w:val="24"/>
                <w:szCs w:val="24"/>
              </w:rPr>
              <w:t xml:space="preserve">D04 ★</w:t>
            </w:r>
          </w:p>
          <w:p>
            <w:pPr>
              <w:jc w:val="center"/>
            </w:pPr>
            <w:r>
              <w:rPr>
                <w:rFonts w:ascii="Arial" w:cs="Arial" w:eastAsia="Arial" w:hAnsi="Arial"/>
                <w:color w:val="666666"/>
                <w:sz w:val="18"/>
                <w:szCs w:val="18"/>
              </w:rPr>
              <w:t xml:space="preserve">“Your inbox is not a to-do list. It’s a crime scene.”</w:t>
            </w:r>
          </w:p>
        </w:tc>
        <w:tc>
          <w:tcPr>
            <w:tcW w:type="dxa" w:w="220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b/>
                <w:bCs/>
                <w:color w:val="1B1F3A"/>
                <w:sz w:val="21"/>
                <w:szCs w:val="21"/>
              </w:rPr>
              <w:t xml:space="preserve">The Crime Scene · B-Punchy</w:t>
            </w:r>
          </w:p>
        </w:tc>
        <w:tc>
          <w:tcPr>
            <w:tcW w:type="dxa" w:w="2480"/>
            <w:tcBorders>
              <w:top w:val="single" w:color="D0D5DD" w:sz="2"/>
              <w:left w:val="single" w:color="D0D5DD" w:sz="2"/>
              <w:bottom w:val="single" w:color="D0D5DD" w:sz="2"/>
              <w:right w:val="single" w:color="D0D5DD" w:sz="2"/>
            </w:tcBorders>
            <w:shd w:fill="FFFBF5" w:val="clear"/>
            <w:tcMar>
              <w:top w:type="dxa" w:w="80"/>
              <w:left w:type="dxa" w:w="120"/>
              <w:bottom w:type="dxa" w:w="80"/>
              <w:right w:type="dxa" w:w="120"/>
            </w:tcMar>
            <w:vAlign w:val="top"/>
          </w:tcPr>
          <w:p>
            <w:r>
              <w:rPr>
                <w:rFonts w:ascii="Arial" w:cs="Arial" w:eastAsia="Arial" w:hAnsi="Arial"/>
                <w:i/>
                <w:iCs/>
                <w:color w:val="333333"/>
                <w:sz w:val="20"/>
                <w:szCs w:val="20"/>
              </w:rPr>
              <w:t xml:space="preserve">The single most quotable line in the entire campaign. Short enough for X promoted tweet. Provocative enough to stop the scroll. This line alone will drive the most organic amplification.</w:t>
            </w:r>
          </w:p>
        </w:tc>
        <w:tc>
          <w:tcPr>
            <w:tcW w:type="dxa" w:w="368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color w:val="444444"/>
                <w:sz w:val="20"/>
                <w:szCs w:val="20"/>
              </w:rPr>
            </w:r>
          </w:p>
        </w:tc>
      </w:tr>
      <w:tr>
        <w:tc>
          <w:tcPr>
            <w:tcW w:type="dxa" w:w="1000"/>
            <w:tcBorders>
              <w:top w:val="single" w:color="D0D5DD" w:sz="2"/>
              <w:left w:val="single" w:color="D0D5DD" w:sz="2"/>
              <w:bottom w:val="single" w:color="D0D5DD" w:sz="2"/>
              <w:right w:val="single" w:color="D0D5DD" w:sz="2"/>
            </w:tcBorders>
            <w:shd w:fill="F5F5F5" w:val="clear"/>
            <w:tcMar>
              <w:top w:type="dxa" w:w="80"/>
              <w:left w:type="dxa" w:w="100"/>
              <w:bottom w:type="dxa" w:w="80"/>
              <w:right w:type="dxa" w:w="100"/>
            </w:tcMar>
            <w:vAlign w:val="top"/>
          </w:tcPr>
          <w:p>
            <w:pPr>
              <w:jc w:val="center"/>
            </w:pPr>
            <w:r>
              <w:rPr>
                <w:rFonts w:ascii="Arial" w:cs="Arial" w:eastAsia="Arial" w:hAnsi="Arial"/>
                <w:b/>
                <w:bCs/>
                <w:color w:val="E8845C"/>
                <w:sz w:val="24"/>
                <w:szCs w:val="24"/>
              </w:rPr>
              <w:t xml:space="preserve">D05</w:t>
            </w:r>
          </w:p>
          <w:p>
            <w:pPr>
              <w:jc w:val="center"/>
            </w:pPr>
            <w:r>
              <w:rPr>
                <w:rFonts w:ascii="Arial" w:cs="Arial" w:eastAsia="Arial" w:hAnsi="Arial"/>
                <w:color w:val="666666"/>
                <w:sz w:val="18"/>
                <w:szCs w:val="18"/>
              </w:rPr>
              <w:t xml:space="preserve">“I’ll send it by Friday.” — you, three weeks ago.</w:t>
            </w:r>
          </w:p>
        </w:tc>
        <w:tc>
          <w:tcPr>
            <w:tcW w:type="dxa" w:w="220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b/>
                <w:bCs/>
                <w:color w:val="1B1F3A"/>
                <w:sz w:val="21"/>
                <w:szCs w:val="21"/>
              </w:rPr>
              <w:t xml:space="preserve">Commitment Tracking · A-Storytelling</w:t>
            </w:r>
          </w:p>
        </w:tc>
        <w:tc>
          <w:tcPr>
            <w:tcW w:type="dxa" w:w="2480"/>
            <w:tcBorders>
              <w:top w:val="single" w:color="D0D5DD" w:sz="2"/>
              <w:left w:val="single" w:color="D0D5DD" w:sz="2"/>
              <w:bottom w:val="single" w:color="D0D5DD" w:sz="2"/>
              <w:right w:val="single" w:color="D0D5DD" w:sz="2"/>
            </w:tcBorders>
            <w:shd w:fill="FFFBF5" w:val="clear"/>
            <w:tcMar>
              <w:top w:type="dxa" w:w="80"/>
              <w:left w:type="dxa" w:w="120"/>
              <w:bottom w:type="dxa" w:w="80"/>
              <w:right w:type="dxa" w:w="120"/>
            </w:tcMar>
            <w:vAlign w:val="top"/>
          </w:tcPr>
          <w:p>
            <w:r>
              <w:rPr>
                <w:rFonts w:ascii="Arial" w:cs="Arial" w:eastAsia="Arial" w:hAnsi="Arial"/>
                <w:i/>
                <w:iCs/>
                <w:color w:val="333333"/>
                <w:sz w:val="20"/>
                <w:szCs w:val="20"/>
              </w:rPr>
              <w:t xml:space="preserve">Speaks directly to the universal exec/founder guilt of forgotten promises. The UI visual with source refs builds immediate product credibility. Run on LinkedIn to founders and chiefs of staff.</w:t>
            </w:r>
          </w:p>
        </w:tc>
        <w:tc>
          <w:tcPr>
            <w:tcW w:type="dxa" w:w="368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color w:val="444444"/>
                <w:sz w:val="20"/>
                <w:szCs w:val="20"/>
              </w:rPr>
            </w:r>
          </w:p>
        </w:tc>
      </w:tr>
      <w:tr>
        <w:tc>
          <w:tcPr>
            <w:tcW w:type="dxa" w:w="1000"/>
            <w:tcBorders>
              <w:top w:val="single" w:color="D0D5DD" w:sz="2"/>
              <w:left w:val="single" w:color="D0D5DD" w:sz="2"/>
              <w:bottom w:val="single" w:color="D0D5DD" w:sz="2"/>
              <w:right w:val="single" w:color="D0D5DD" w:sz="2"/>
            </w:tcBorders>
            <w:shd w:fill="F5F5F5" w:val="clear"/>
            <w:tcMar>
              <w:top w:type="dxa" w:w="80"/>
              <w:left w:type="dxa" w:w="100"/>
              <w:bottom w:type="dxa" w:w="80"/>
              <w:right w:type="dxa" w:w="100"/>
            </w:tcMar>
            <w:vAlign w:val="top"/>
          </w:tcPr>
          <w:p>
            <w:pPr>
              <w:jc w:val="center"/>
            </w:pPr>
            <w:r>
              <w:rPr>
                <w:rFonts w:ascii="Arial" w:cs="Arial" w:eastAsia="Arial" w:hAnsi="Arial"/>
                <w:b/>
                <w:bCs/>
                <w:color w:val="E8845C"/>
                <w:sz w:val="24"/>
                <w:szCs w:val="24"/>
              </w:rPr>
              <w:t xml:space="preserve">D08</w:t>
            </w:r>
          </w:p>
          <w:p>
            <w:pPr>
              <w:jc w:val="center"/>
            </w:pPr>
            <w:r>
              <w:rPr>
                <w:rFonts w:ascii="Arial" w:cs="Arial" w:eastAsia="Arial" w:hAnsi="Arial"/>
                <w:color w:val="666666"/>
                <w:sz w:val="18"/>
                <w:szCs w:val="18"/>
              </w:rPr>
              <w:t xml:space="preserve">POV: your morning briefing is already written.</w:t>
            </w:r>
          </w:p>
        </w:tc>
        <w:tc>
          <w:tcPr>
            <w:tcW w:type="dxa" w:w="220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b/>
                <w:bCs/>
                <w:color w:val="1B1F3A"/>
                <w:sz w:val="21"/>
                <w:szCs w:val="21"/>
              </w:rPr>
              <w:t xml:space="preserve">Morning Briefing Reveal · C-Conv.</w:t>
            </w:r>
          </w:p>
        </w:tc>
        <w:tc>
          <w:tcPr>
            <w:tcW w:type="dxa" w:w="2480"/>
            <w:tcBorders>
              <w:top w:val="single" w:color="D0D5DD" w:sz="2"/>
              <w:left w:val="single" w:color="D0D5DD" w:sz="2"/>
              <w:bottom w:val="single" w:color="D0D5DD" w:sz="2"/>
              <w:right w:val="single" w:color="D0D5DD" w:sz="2"/>
            </w:tcBorders>
            <w:shd w:fill="FFFBF5" w:val="clear"/>
            <w:tcMar>
              <w:top w:type="dxa" w:w="80"/>
              <w:left w:type="dxa" w:w="120"/>
              <w:bottom w:type="dxa" w:w="80"/>
              <w:right w:type="dxa" w:w="120"/>
            </w:tcMar>
            <w:vAlign w:val="top"/>
          </w:tcPr>
          <w:p>
            <w:r>
              <w:rPr>
                <w:rFonts w:ascii="Arial" w:cs="Arial" w:eastAsia="Arial" w:hAnsi="Arial"/>
                <w:i/>
                <w:iCs/>
                <w:color w:val="333333"/>
                <w:sz w:val="20"/>
                <w:szCs w:val="20"/>
              </w:rPr>
              <w:t xml:space="preserve">First product reveal. The Telegram mockup visual is the clearest product demo in the campaign. C-variant Instagram caption format perfectly mirrors UGC-style paid ads. Strongest mid-funnel Instagram creative.</w:t>
            </w:r>
          </w:p>
        </w:tc>
        <w:tc>
          <w:tcPr>
            <w:tcW w:type="dxa" w:w="368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color w:val="444444"/>
                <w:sz w:val="20"/>
                <w:szCs w:val="20"/>
              </w:rPr>
            </w:r>
          </w:p>
        </w:tc>
      </w:tr>
      <w:tr>
        <w:tc>
          <w:tcPr>
            <w:tcW w:type="dxa" w:w="1000"/>
            <w:tcBorders>
              <w:top w:val="single" w:color="D0D5DD" w:sz="2"/>
              <w:left w:val="single" w:color="D0D5DD" w:sz="2"/>
              <w:bottom w:val="single" w:color="D0D5DD" w:sz="2"/>
              <w:right w:val="single" w:color="D0D5DD" w:sz="2"/>
            </w:tcBorders>
            <w:shd w:fill="F5F5F5" w:val="clear"/>
            <w:tcMar>
              <w:top w:type="dxa" w:w="80"/>
              <w:left w:type="dxa" w:w="100"/>
              <w:bottom w:type="dxa" w:w="80"/>
              <w:right w:type="dxa" w:w="100"/>
            </w:tcMar>
            <w:vAlign w:val="top"/>
          </w:tcPr>
          <w:p>
            <w:pPr>
              <w:jc w:val="center"/>
            </w:pPr>
            <w:r>
              <w:rPr>
                <w:rFonts w:ascii="Arial" w:cs="Arial" w:eastAsia="Arial" w:hAnsi="Arial"/>
                <w:b/>
                <w:bCs/>
                <w:color w:val="E8845C"/>
                <w:sz w:val="24"/>
                <w:szCs w:val="24"/>
              </w:rPr>
              <w:t xml:space="preserve">D10</w:t>
            </w:r>
          </w:p>
          <w:p>
            <w:pPr>
              <w:jc w:val="center"/>
            </w:pPr>
            <w:r>
              <w:rPr>
                <w:rFonts w:ascii="Arial" w:cs="Arial" w:eastAsia="Arial" w:hAnsi="Arial"/>
                <w:color w:val="666666"/>
                <w:sz w:val="18"/>
                <w:szCs w:val="18"/>
              </w:rPr>
              <w:t xml:space="preserve">“The relationship you most regret neglecting is probably the one you didn’t notice going cold.”</w:t>
            </w:r>
          </w:p>
        </w:tc>
        <w:tc>
          <w:tcPr>
            <w:tcW w:type="dxa" w:w="220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b/>
                <w:bCs/>
                <w:color w:val="1B1F3A"/>
                <w:sz w:val="21"/>
                <w:szCs w:val="21"/>
              </w:rPr>
              <w:t xml:space="preserve">Heartbeat Monitor · A-Storytelling</w:t>
            </w:r>
          </w:p>
        </w:tc>
        <w:tc>
          <w:tcPr>
            <w:tcW w:type="dxa" w:w="2480"/>
            <w:tcBorders>
              <w:top w:val="single" w:color="D0D5DD" w:sz="2"/>
              <w:left w:val="single" w:color="D0D5DD" w:sz="2"/>
              <w:bottom w:val="single" w:color="D0D5DD" w:sz="2"/>
              <w:right w:val="single" w:color="D0D5DD" w:sz="2"/>
            </w:tcBorders>
            <w:shd w:fill="FFFBF5" w:val="clear"/>
            <w:tcMar>
              <w:top w:type="dxa" w:w="80"/>
              <w:left w:type="dxa" w:w="120"/>
              <w:bottom w:type="dxa" w:w="80"/>
              <w:right w:type="dxa" w:w="120"/>
            </w:tcMar>
            <w:vAlign w:val="top"/>
          </w:tcPr>
          <w:p>
            <w:r>
              <w:rPr>
                <w:rFonts w:ascii="Arial" w:cs="Arial" w:eastAsia="Arial" w:hAnsi="Arial"/>
                <w:i/>
                <w:iCs/>
                <w:color w:val="333333"/>
                <w:sz w:val="20"/>
                <w:szCs w:val="20"/>
              </w:rPr>
              <w:t xml:space="preserve">Unique differentiator — no competitor offers this. The three-row UI visual (green/amber/red pulse) is visually compelling. Perfect LinkedIn Thought Leader Ad for the relationship-intelligence angle.</w:t>
            </w:r>
          </w:p>
        </w:tc>
        <w:tc>
          <w:tcPr>
            <w:tcW w:type="dxa" w:w="368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color w:val="444444"/>
                <w:sz w:val="20"/>
                <w:szCs w:val="20"/>
              </w:rPr>
            </w:r>
          </w:p>
        </w:tc>
      </w:tr>
      <w:tr>
        <w:tc>
          <w:tcPr>
            <w:tcW w:type="dxa" w:w="1000"/>
            <w:tcBorders>
              <w:top w:val="single" w:color="D0D5DD" w:sz="2"/>
              <w:left w:val="single" w:color="D0D5DD" w:sz="2"/>
              <w:bottom w:val="single" w:color="D0D5DD" w:sz="2"/>
              <w:right w:val="single" w:color="D0D5DD" w:sz="2"/>
            </w:tcBorders>
            <w:shd w:fill="F5F5F5" w:val="clear"/>
            <w:tcMar>
              <w:top w:type="dxa" w:w="80"/>
              <w:left w:type="dxa" w:w="100"/>
              <w:bottom w:type="dxa" w:w="80"/>
              <w:right w:type="dxa" w:w="100"/>
            </w:tcMar>
            <w:vAlign w:val="top"/>
          </w:tcPr>
          <w:p>
            <w:pPr>
              <w:jc w:val="center"/>
            </w:pPr>
            <w:r>
              <w:rPr>
                <w:rFonts w:ascii="Arial" w:cs="Arial" w:eastAsia="Arial" w:hAnsi="Arial"/>
                <w:b/>
                <w:bCs/>
                <w:color w:val="E8845C"/>
                <w:sz w:val="24"/>
                <w:szCs w:val="24"/>
              </w:rPr>
              <w:t xml:space="preserve">D12 ★</w:t>
            </w:r>
          </w:p>
          <w:p>
            <w:pPr>
              <w:jc w:val="center"/>
            </w:pPr>
            <w:r>
              <w:rPr>
                <w:rFonts w:ascii="Arial" w:cs="Arial" w:eastAsia="Arial" w:hAnsi="Arial"/>
                <w:color w:val="666666"/>
                <w:sz w:val="18"/>
                <w:szCs w:val="18"/>
              </w:rPr>
              <w:t xml:space="preserve">“Chatbots wait. donna doesn’t.”</w:t>
            </w:r>
          </w:p>
        </w:tc>
        <w:tc>
          <w:tcPr>
            <w:tcW w:type="dxa" w:w="220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b/>
                <w:bCs/>
                <w:color w:val="1B1F3A"/>
                <w:sz w:val="21"/>
                <w:szCs w:val="21"/>
              </w:rPr>
              <w:t xml:space="preserve">Not a Chatbot · B-Punchy</w:t>
            </w:r>
          </w:p>
        </w:tc>
        <w:tc>
          <w:tcPr>
            <w:tcW w:type="dxa" w:w="2480"/>
            <w:tcBorders>
              <w:top w:val="single" w:color="D0D5DD" w:sz="2"/>
              <w:left w:val="single" w:color="D0D5DD" w:sz="2"/>
              <w:bottom w:val="single" w:color="D0D5DD" w:sz="2"/>
              <w:right w:val="single" w:color="D0D5DD" w:sz="2"/>
            </w:tcBorders>
            <w:shd w:fill="FFFBF5" w:val="clear"/>
            <w:tcMar>
              <w:top w:type="dxa" w:w="80"/>
              <w:left w:type="dxa" w:w="120"/>
              <w:bottom w:type="dxa" w:w="80"/>
              <w:right w:type="dxa" w:w="120"/>
            </w:tcMar>
            <w:vAlign w:val="top"/>
          </w:tcPr>
          <w:p>
            <w:r>
              <w:rPr>
                <w:rFonts w:ascii="Arial" w:cs="Arial" w:eastAsia="Arial" w:hAnsi="Arial"/>
                <w:i/>
                <w:iCs/>
                <w:color w:val="333333"/>
                <w:sz w:val="20"/>
                <w:szCs w:val="20"/>
              </w:rPr>
              <w:t xml:space="preserve">Directly addresses the biggest market objection. The split-card visual (chatbot vs. donna) is tailor-made for LinkedIn’s comparison-style creative. This post will earn the highest CTR among tech-savvy B2B audiences.</w:t>
            </w:r>
          </w:p>
        </w:tc>
        <w:tc>
          <w:tcPr>
            <w:tcW w:type="dxa" w:w="368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color w:val="444444"/>
                <w:sz w:val="20"/>
                <w:szCs w:val="20"/>
              </w:rPr>
            </w:r>
          </w:p>
        </w:tc>
      </w:tr>
      <w:tr>
        <w:tc>
          <w:tcPr>
            <w:tcW w:type="dxa" w:w="1000"/>
            <w:tcBorders>
              <w:top w:val="single" w:color="D0D5DD" w:sz="2"/>
              <w:left w:val="single" w:color="D0D5DD" w:sz="2"/>
              <w:bottom w:val="single" w:color="D0D5DD" w:sz="2"/>
              <w:right w:val="single" w:color="D0D5DD" w:sz="2"/>
            </w:tcBorders>
            <w:shd w:fill="F5F5F5" w:val="clear"/>
            <w:tcMar>
              <w:top w:type="dxa" w:w="80"/>
              <w:left w:type="dxa" w:w="100"/>
              <w:bottom w:type="dxa" w:w="80"/>
              <w:right w:type="dxa" w:w="100"/>
            </w:tcMar>
            <w:vAlign w:val="top"/>
          </w:tcPr>
          <w:p>
            <w:pPr>
              <w:jc w:val="center"/>
            </w:pPr>
            <w:r>
              <w:rPr>
                <w:rFonts w:ascii="Arial" w:cs="Arial" w:eastAsia="Arial" w:hAnsi="Arial"/>
                <w:b/>
                <w:bCs/>
                <w:color w:val="E8845C"/>
                <w:sz w:val="24"/>
                <w:szCs w:val="24"/>
              </w:rPr>
              <w:t xml:space="preserve">D13</w:t>
            </w:r>
          </w:p>
          <w:p>
            <w:pPr>
              <w:jc w:val="center"/>
            </w:pPr>
            <w:r>
              <w:rPr>
                <w:rFonts w:ascii="Arial" w:cs="Arial" w:eastAsia="Arial" w:hAnsi="Arial"/>
                <w:color w:val="666666"/>
                <w:sz w:val="18"/>
                <w:szCs w:val="18"/>
              </w:rPr>
              <w:t xml:space="preserve">“I felt like the most prepared person in the room.”</w:t>
            </w:r>
          </w:p>
        </w:tc>
        <w:tc>
          <w:tcPr>
            <w:tcW w:type="dxa" w:w="220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b/>
                <w:bCs/>
                <w:color w:val="1B1F3A"/>
                <w:sz w:val="21"/>
                <w:szCs w:val="21"/>
              </w:rPr>
              <w:t xml:space="preserve">Meeting Prep Brief · B-Punchy</w:t>
            </w:r>
          </w:p>
        </w:tc>
        <w:tc>
          <w:tcPr>
            <w:tcW w:type="dxa" w:w="2480"/>
            <w:tcBorders>
              <w:top w:val="single" w:color="D0D5DD" w:sz="2"/>
              <w:left w:val="single" w:color="D0D5DD" w:sz="2"/>
              <w:bottom w:val="single" w:color="D0D5DD" w:sz="2"/>
              <w:right w:val="single" w:color="D0D5DD" w:sz="2"/>
            </w:tcBorders>
            <w:shd w:fill="FFFBF5" w:val="clear"/>
            <w:tcMar>
              <w:top w:type="dxa" w:w="80"/>
              <w:left w:type="dxa" w:w="120"/>
              <w:bottom w:type="dxa" w:w="80"/>
              <w:right w:type="dxa" w:w="120"/>
            </w:tcMar>
            <w:vAlign w:val="top"/>
          </w:tcPr>
          <w:p>
            <w:r>
              <w:rPr>
                <w:rFonts w:ascii="Arial" w:cs="Arial" w:eastAsia="Arial" w:hAnsi="Arial"/>
                <w:i/>
                <w:iCs/>
                <w:color w:val="333333"/>
                <w:sz w:val="20"/>
                <w:szCs w:val="20"/>
              </w:rPr>
              <w:t xml:space="preserve">Social proof with a specific, credible, emotionally resonant quote. One of only two posts with a direct testimonial. Run as retargeting to warm audiences who have already seen 2+ awareness ads.</w:t>
            </w:r>
          </w:p>
        </w:tc>
        <w:tc>
          <w:tcPr>
            <w:tcW w:type="dxa" w:w="368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color w:val="444444"/>
                <w:sz w:val="20"/>
                <w:szCs w:val="20"/>
              </w:rPr>
            </w:r>
          </w:p>
        </w:tc>
      </w:tr>
      <w:tr>
        <w:tc>
          <w:tcPr>
            <w:tcW w:type="dxa" w:w="1000"/>
            <w:tcBorders>
              <w:top w:val="single" w:color="D0D5DD" w:sz="2"/>
              <w:left w:val="single" w:color="D0D5DD" w:sz="2"/>
              <w:bottom w:val="single" w:color="D0D5DD" w:sz="2"/>
              <w:right w:val="single" w:color="D0D5DD" w:sz="2"/>
            </w:tcBorders>
            <w:shd w:fill="F5F5F5" w:val="clear"/>
            <w:tcMar>
              <w:top w:type="dxa" w:w="80"/>
              <w:left w:type="dxa" w:w="100"/>
              <w:bottom w:type="dxa" w:w="80"/>
              <w:right w:type="dxa" w:w="100"/>
            </w:tcMar>
            <w:vAlign w:val="top"/>
          </w:tcPr>
          <w:p>
            <w:pPr>
              <w:jc w:val="center"/>
            </w:pPr>
            <w:r>
              <w:rPr>
                <w:rFonts w:ascii="Arial" w:cs="Arial" w:eastAsia="Arial" w:hAnsi="Arial"/>
                <w:b/>
                <w:bCs/>
                <w:color w:val="E8845C"/>
                <w:sz w:val="24"/>
                <w:szCs w:val="24"/>
              </w:rPr>
              <w:t xml:space="preserve">D14</w:t>
            </w:r>
          </w:p>
          <w:p>
            <w:pPr>
              <w:jc w:val="center"/>
            </w:pPr>
            <w:r>
              <w:rPr>
                <w:rFonts w:ascii="Arial" w:cs="Arial" w:eastAsia="Arial" w:hAnsi="Arial"/>
                <w:color w:val="666666"/>
                <w:sz w:val="18"/>
                <w:szCs w:val="18"/>
              </w:rPr>
              <w:t xml:space="preserve">“An intelligence layer that takes actions you didn’t ask for is a liability, not a tool.”</w:t>
            </w:r>
          </w:p>
        </w:tc>
        <w:tc>
          <w:tcPr>
            <w:tcW w:type="dxa" w:w="220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b/>
                <w:bCs/>
                <w:color w:val="1B1F3A"/>
                <w:sz w:val="21"/>
                <w:szCs w:val="21"/>
              </w:rPr>
              <w:t xml:space="preserve">Autonomy Tiers · A-Storytelling</w:t>
            </w:r>
          </w:p>
        </w:tc>
        <w:tc>
          <w:tcPr>
            <w:tcW w:type="dxa" w:w="2480"/>
            <w:tcBorders>
              <w:top w:val="single" w:color="D0D5DD" w:sz="2"/>
              <w:left w:val="single" w:color="D0D5DD" w:sz="2"/>
              <w:bottom w:val="single" w:color="D0D5DD" w:sz="2"/>
              <w:right w:val="single" w:color="D0D5DD" w:sz="2"/>
            </w:tcBorders>
            <w:shd w:fill="FFFBF5" w:val="clear"/>
            <w:tcMar>
              <w:top w:type="dxa" w:w="80"/>
              <w:left w:type="dxa" w:w="120"/>
              <w:bottom w:type="dxa" w:w="80"/>
              <w:right w:type="dxa" w:w="120"/>
            </w:tcMar>
            <w:vAlign w:val="top"/>
          </w:tcPr>
          <w:p>
            <w:r>
              <w:rPr>
                <w:rFonts w:ascii="Arial" w:cs="Arial" w:eastAsia="Arial" w:hAnsi="Arial"/>
                <w:i/>
                <w:iCs/>
                <w:color w:val="333333"/>
                <w:sz w:val="20"/>
                <w:szCs w:val="20"/>
              </w:rPr>
              <w:t xml:space="preserve">Addresses the trust/safety objection. The three-tier visual is clean and legible at ad size. Run as mid-funnel retargeting to warm audiences on LinkedIn and Instagram after the awareness posts have landed.</w:t>
            </w:r>
          </w:p>
        </w:tc>
        <w:tc>
          <w:tcPr>
            <w:tcW w:type="dxa" w:w="368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color w:val="444444"/>
                <w:sz w:val="20"/>
                <w:szCs w:val="20"/>
              </w:rPr>
            </w:r>
          </w:p>
        </w:tc>
      </w:tr>
      <w:tr>
        <w:tc>
          <w:tcPr>
            <w:tcW w:type="dxa" w:w="1000"/>
            <w:tcBorders>
              <w:top w:val="single" w:color="D0D5DD" w:sz="2"/>
              <w:left w:val="single" w:color="D0D5DD" w:sz="2"/>
              <w:bottom w:val="single" w:color="D0D5DD" w:sz="2"/>
              <w:right w:val="single" w:color="D0D5DD" w:sz="2"/>
            </w:tcBorders>
            <w:shd w:fill="F5F5F5" w:val="clear"/>
            <w:tcMar>
              <w:top w:type="dxa" w:w="80"/>
              <w:left w:type="dxa" w:w="100"/>
              <w:bottom w:type="dxa" w:w="80"/>
              <w:right w:type="dxa" w:w="100"/>
            </w:tcMar>
            <w:vAlign w:val="top"/>
          </w:tcPr>
          <w:p>
            <w:pPr>
              <w:jc w:val="center"/>
            </w:pPr>
            <w:r>
              <w:rPr>
                <w:rFonts w:ascii="Arial" w:cs="Arial" w:eastAsia="Arial" w:hAnsi="Arial"/>
                <w:b/>
                <w:bCs/>
                <w:color w:val="E8845C"/>
                <w:sz w:val="24"/>
                <w:szCs w:val="24"/>
              </w:rPr>
              <w:t xml:space="preserve">D15</w:t>
            </w:r>
          </w:p>
          <w:p>
            <w:pPr>
              <w:jc w:val="center"/>
            </w:pPr>
            <w:r>
              <w:rPr>
                <w:rFonts w:ascii="Arial" w:cs="Arial" w:eastAsia="Arial" w:hAnsi="Arial"/>
                <w:color w:val="666666"/>
                <w:sz w:val="18"/>
                <w:szCs w:val="18"/>
              </w:rPr>
              <w:t xml:space="preserve">“Four seconds. From ‘I need to reply’ to a ready-to-review draft.”</w:t>
            </w:r>
          </w:p>
        </w:tc>
        <w:tc>
          <w:tcPr>
            <w:tcW w:type="dxa" w:w="220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b/>
                <w:bCs/>
                <w:color w:val="1B1F3A"/>
                <w:sz w:val="21"/>
                <w:szCs w:val="21"/>
              </w:rPr>
              <w:t xml:space="preserve">Reply Draft: 4 Seconds · B-Punchy</w:t>
            </w:r>
          </w:p>
        </w:tc>
        <w:tc>
          <w:tcPr>
            <w:tcW w:type="dxa" w:w="2480"/>
            <w:tcBorders>
              <w:top w:val="single" w:color="D0D5DD" w:sz="2"/>
              <w:left w:val="single" w:color="D0D5DD" w:sz="2"/>
              <w:bottom w:val="single" w:color="D0D5DD" w:sz="2"/>
              <w:right w:val="single" w:color="D0D5DD" w:sz="2"/>
            </w:tcBorders>
            <w:shd w:fill="FFFBF5" w:val="clear"/>
            <w:tcMar>
              <w:top w:type="dxa" w:w="80"/>
              <w:left w:type="dxa" w:w="120"/>
              <w:bottom w:type="dxa" w:w="80"/>
              <w:right w:type="dxa" w:w="120"/>
            </w:tcMar>
            <w:vAlign w:val="top"/>
          </w:tcPr>
          <w:p>
            <w:r>
              <w:rPr>
                <w:rFonts w:ascii="Arial" w:cs="Arial" w:eastAsia="Arial" w:hAnsi="Arial"/>
                <w:i/>
                <w:iCs/>
                <w:color w:val="333333"/>
                <w:sz w:val="20"/>
                <w:szCs w:val="20"/>
              </w:rPr>
              <w:t xml:space="preserve">Specific, quantified, surprising. The ‘4 seconds’ number dominates the visual and is impossible to scroll past. Perfect for Instagram Story ad format and X promoted tweet. Strong bottom-of-funnel conversion driver.</w:t>
            </w:r>
          </w:p>
        </w:tc>
        <w:tc>
          <w:tcPr>
            <w:tcW w:type="dxa" w:w="3680"/>
            <w:tcBorders>
              <w:top w:val="single" w:color="D0D5DD" w:sz="2"/>
              <w:left w:val="single" w:color="D0D5DD" w:sz="2"/>
              <w:bottom w:val="single" w:color="D0D5DD" w:sz="2"/>
              <w:right w:val="single" w:color="D0D5DD" w:sz="2"/>
            </w:tcBorders>
            <w:tcMar>
              <w:top w:type="dxa" w:w="80"/>
              <w:left w:type="dxa" w:w="120"/>
              <w:bottom w:type="dxa" w:w="80"/>
              <w:right w:type="dxa" w:w="120"/>
            </w:tcMar>
            <w:vAlign w:val="top"/>
          </w:tcPr>
          <w:p>
            <w:r>
              <w:rPr>
                <w:rFonts w:ascii="Arial" w:cs="Arial" w:eastAsia="Arial" w:hAnsi="Arial"/>
                <w:color w:val="444444"/>
                <w:sz w:val="20"/>
                <w:szCs w:val="20"/>
              </w:rPr>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7DAA" w:sz="6"/>
              <w:left w:val="single" w:color="4E7DAA" w:sz="18"/>
              <w:bottom w:val="single" w:color="D0D5DD" w:sz="2"/>
              <w:right w:val="single" w:color="D0D5DD" w:sz="2"/>
            </w:tcBorders>
            <w:shd w:fill="EEF4FB" w:val="clear"/>
            <w:tcMar>
              <w:top w:type="dxa" w:w="120"/>
              <w:left w:type="dxa" w:w="180"/>
              <w:bottom w:type="dxa" w:w="120"/>
              <w:right w:type="dxa" w:w="180"/>
            </w:tcMar>
          </w:tcPr>
          <w:p>
            <w:pPr>
              <w:spacing w:before="0" w:after="60"/>
            </w:pPr>
            <w:r>
              <w:rPr>
                <w:rFonts w:ascii="Arial" w:cs="Arial" w:eastAsia="Arial" w:hAnsi="Arial"/>
                <w:b/>
                <w:bCs/>
                <w:color w:val="4E7DAA"/>
                <w:sz w:val="20"/>
                <w:szCs w:val="20"/>
              </w:rPr>
              <w:t xml:space="preserve">★ Priority Tier: Run First</w:t>
            </w:r>
          </w:p>
          <w:p>
            <w:pPr>
              <w:spacing w:before="0" w:after="0"/>
            </w:pPr>
            <w:r>
              <w:rPr>
                <w:rFonts w:ascii="Arial" w:cs="Arial" w:eastAsia="Arial" w:hAnsi="Arial"/>
                <w:color w:val="1B1F3A"/>
                <w:sz w:val="21"/>
                <w:szCs w:val="21"/>
              </w:rPr>
              <w:t xml:space="preserve">Days 01, 04, and 12 are the three highest-priority paid ads. Start with these in week one. They cover introduction (D01), pain hook (D04), and objection-handling (D12) — the three things an audience needs before they will sign up for anything.</w:t>
            </w:r>
          </w:p>
        </w:tc>
      </w:tr>
    </w:tbl>
    <w:p>
      <w:r>
        <w:br w:type="page"/>
      </w:r>
    </w:p>
    <w:p>
      <w:pPr>
        <w:pStyle w:val="Heading1"/>
        <w:pBdr>
          <w:bottom w:val="single" w:color="E8845C" w:sz="6" w:space="4"/>
        </w:pBdr>
        <w:spacing w:before="480" w:after="200"/>
      </w:pPr>
      <w:r>
        <w:rPr>
          <w:rFonts w:ascii="Arial" w:cs="Arial" w:eastAsia="Arial" w:hAnsi="Arial"/>
          <w:b/>
          <w:bCs/>
          <w:color w:val="1B1F3A"/>
          <w:sz w:val="28"/>
          <w:szCs w:val="28"/>
        </w:rPr>
        <w:t xml:space="preserve">04 — Full-Funnel Cross-Platform Architecture</w:t>
      </w:r>
    </w:p>
    <w:p>
      <w:pPr>
        <w:spacing w:before="0" w:after="160"/>
      </w:pPr>
      <w:r>
        <w:rPr>
          <w:rFonts w:ascii="Arial" w:cs="Arial" w:eastAsia="Arial" w:hAnsi="Arial"/>
          <w:color w:val="1B1F3A"/>
          <w:sz w:val="22"/>
          <w:szCs w:val="22"/>
        </w:rPr>
        <w:t xml:space="preserve">The 30 posts map cleanly onto a three-stage funnel. The key strategic principle is that each stage requires a different creative job and a different platform emphasis. Running all posts at all stages on all platforms simultaneously is the most common paid social mistake — it burns budget and confuses the algorithm.</w:t>
      </w:r>
    </w:p>
    <w:p>
      <w:pPr>
        <w:spacing w:before="0" w:after="100"/>
      </w:pPr>
    </w:p>
    <w:p>
      <w:pPr>
        <w:pStyle w:val="Heading2"/>
        <w:spacing w:before="320" w:after="120"/>
      </w:pPr>
      <w:r>
        <w:rPr>
          <w:rFonts w:ascii="Arial" w:cs="Arial" w:eastAsia="Arial" w:hAnsi="Arial"/>
          <w:b/>
          <w:bCs/>
          <w:color w:val="1B1F3A"/>
          <w:sz w:val="24"/>
          <w:szCs w:val="24"/>
        </w:rPr>
        <w:t xml:space="preserve">Stage 1 — Awareness (Days 1–7 Content)</w:t>
      </w:r>
    </w:p>
    <w:p>
      <w:pPr>
        <w:spacing w:before="0" w:after="160"/>
      </w:pPr>
      <w:r>
        <w:rPr>
          <w:rFonts w:ascii="Arial" w:cs="Arial" w:eastAsia="Arial" w:hAnsi="Arial"/>
          <w:color w:val="1B1F3A"/>
          <w:sz w:val="22"/>
          <w:szCs w:val="22"/>
        </w:rPr>
        <w:t xml:space="preserve">The awareness stage’s job is to name the pain, introduce the brand, and build a retargeting pool. You are not selling yet. You are earning the right to sell.</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Primary platforms: Instagram Reels (volume reach) + X Promoted Tweets (tech community credibility)</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Secondary: LinkedIn Sponsored Content with D02 and D04 — the pain posts</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Creative to run: D01 B-variant (launch), D02 A-variant (pain post), D04 B-variant (crime scene)</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Objective setting: Reach and Video Views on Instagram, Engagement on X, Awareness on LinkedIn</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Audiences: Broad interest-based targeting on Instagram (founders, entrepreneurs, productivity). Follower lookalikes on X. Job title targeting on LinkedIn.</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Success metric at this stage: CPM, video completion rate, and size of retargeting pool built (aim for 1,000+ website visitors before scaling the next stage)</w:t>
      </w:r>
    </w:p>
    <w:p>
      <w:pPr>
        <w:spacing w:before="0" w:after="80"/>
      </w:pPr>
    </w:p>
    <w:p>
      <w:pPr>
        <w:pStyle w:val="Heading2"/>
        <w:spacing w:before="320" w:after="120"/>
      </w:pPr>
      <w:r>
        <w:rPr>
          <w:rFonts w:ascii="Arial" w:cs="Arial" w:eastAsia="Arial" w:hAnsi="Arial"/>
          <w:b/>
          <w:bCs/>
          <w:color w:val="1B1F3A"/>
          <w:sz w:val="24"/>
          <w:szCs w:val="24"/>
        </w:rPr>
        <w:t xml:space="preserve">Stage 2 — Education &amp; Consideration (Days 8–16 Content)</w:t>
      </w:r>
    </w:p>
    <w:p>
      <w:pPr>
        <w:spacing w:before="0" w:after="160"/>
      </w:pPr>
      <w:r>
        <w:rPr>
          <w:rFonts w:ascii="Arial" w:cs="Arial" w:eastAsia="Arial" w:hAnsi="Arial"/>
          <w:color w:val="1B1F3A"/>
          <w:sz w:val="22"/>
          <w:szCs w:val="22"/>
        </w:rPr>
        <w:t xml:space="preserve">This stage does the heavy lifting. The audience has seen the pain framing. Now we show the product, address objections, and build the case for signing up. This is where LinkedIn earns its spend.</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Primary platform: LinkedIn Sponsored Content and Thought Leader Ads</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Secondary: Instagram retargeting of Stage 1 video viewers and website visitors</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Creative to run: D08 C-variant, D10 A-variant, D12 B-variant (must-run), D13 B-variant, D14 A-variant</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Objective setting: Website Traffic and Lead Gen Form fills on LinkedIn. Conversions on Instagram.</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Audiences: Retargeting pools from Stage 1 + LinkedIn lookalikes built from website visitor lists. Upload the existing waitlist as a LinkedIn Matched Audience to exclude already-converted users and build lookalikes.</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Key tactic: Run D12 (‘Not a Chatbot’) as a LinkedIn Thought Leader Ad. This is the highest-leverage single creative in the entire campaign for the B2B audience. The split-card visual communicates the core differentiation instantly.</w:t>
      </w:r>
    </w:p>
    <w:p>
      <w:pPr>
        <w:spacing w:before="0" w:after="80"/>
      </w:pPr>
    </w:p>
    <w:p>
      <w:pPr>
        <w:pStyle w:val="Heading2"/>
        <w:spacing w:before="320" w:after="120"/>
      </w:pPr>
      <w:r>
        <w:rPr>
          <w:rFonts w:ascii="Arial" w:cs="Arial" w:eastAsia="Arial" w:hAnsi="Arial"/>
          <w:b/>
          <w:bCs/>
          <w:color w:val="1B1F3A"/>
          <w:sz w:val="24"/>
          <w:szCs w:val="24"/>
        </w:rPr>
        <w:t xml:space="preserve">Stage 3 — Conversion (Days 17–30 Content)</w:t>
      </w:r>
    </w:p>
    <w:p>
      <w:pPr>
        <w:spacing w:before="0" w:after="160"/>
      </w:pPr>
      <w:r>
        <w:rPr>
          <w:rFonts w:ascii="Arial" w:cs="Arial" w:eastAsia="Arial" w:hAnsi="Arial"/>
          <w:color w:val="1B1F3A"/>
          <w:sz w:val="22"/>
          <w:szCs w:val="22"/>
        </w:rPr>
        <w:t xml:space="preserve">The conversion stage has one job: get the signup. The audience is warm, they understand the product, and the creative should now create urgency and make the CTA irresistible. Do not introduce new information here — reinforce and convert.</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Primary platform: LinkedIn Lead Gen Forms (highest conversion rate for B2B signups) + Instagram link ads</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Creative to run: D15 B-variant (4 seconds), D17 A-variant (founder use case), D21 and D22 social proof posts, D24–26 early access urgency posts</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Objective setting: Lead Generation on LinkedIn. Conversions on Instagram. Keep X running organic content, not paid, at this stage.</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Urgency mechanics: The campaign’s existing copy already frames early access as limited and deliberate (‘first cohort is deliberately small’). Lean into this in ad copy. Add a deadline or cohort size limit to the Lead Gen Form headline.</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Retargeting: Anyone who clicked through to donna.app and did NOT convert should receive a different creative (D13 testimonial or D15 reply draft feature) rather than the same one they already saw.</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7DAA" w:sz="6"/>
              <w:left w:val="single" w:color="4E7DAA" w:sz="18"/>
              <w:bottom w:val="single" w:color="D0D5DD" w:sz="2"/>
              <w:right w:val="single" w:color="D0D5DD" w:sz="2"/>
            </w:tcBorders>
            <w:shd w:fill="EEF4FB" w:val="clear"/>
            <w:tcMar>
              <w:top w:type="dxa" w:w="120"/>
              <w:left w:type="dxa" w:w="180"/>
              <w:bottom w:type="dxa" w:w="120"/>
              <w:right w:type="dxa" w:w="180"/>
            </w:tcMar>
          </w:tcPr>
          <w:p>
            <w:pPr>
              <w:spacing w:before="0" w:after="60"/>
            </w:pPr>
            <w:r>
              <w:rPr>
                <w:rFonts w:ascii="Arial" w:cs="Arial" w:eastAsia="Arial" w:hAnsi="Arial"/>
                <w:b/>
                <w:bCs/>
                <w:color w:val="4E7DAA"/>
                <w:sz w:val="20"/>
                <w:szCs w:val="20"/>
              </w:rPr>
              <w:t xml:space="preserve">The Critical Sequence Rule</w:t>
            </w:r>
          </w:p>
          <w:p>
            <w:pPr>
              <w:spacing w:before="0" w:after="0"/>
            </w:pPr>
            <w:r>
              <w:rPr>
                <w:rFonts w:ascii="Arial" w:cs="Arial" w:eastAsia="Arial" w:hAnsi="Arial"/>
                <w:color w:val="1B1F3A"/>
                <w:sz w:val="21"/>
                <w:szCs w:val="21"/>
              </w:rPr>
              <w:t xml:space="preserve">Never run conversion creative (D24–30) to cold audiences. It will underperform and waste budget. The funnel works in sequence: awareness posts build the pool, education posts qualify the pool, conversion posts close the pool. Audiences who skipped Stage 1 and 2 will not convert in Stage 3.</w:t>
            </w:r>
          </w:p>
        </w:tc>
      </w:tr>
    </w:tbl>
    <w:p>
      <w:r>
        <w:br w:type="page"/>
      </w:r>
    </w:p>
    <w:p>
      <w:pPr>
        <w:pStyle w:val="Heading1"/>
        <w:pBdr>
          <w:bottom w:val="single" w:color="E8845C" w:sz="6" w:space="4"/>
        </w:pBdr>
        <w:spacing w:before="480" w:after="200"/>
      </w:pPr>
      <w:r>
        <w:rPr>
          <w:rFonts w:ascii="Arial" w:cs="Arial" w:eastAsia="Arial" w:hAnsi="Arial"/>
          <w:b/>
          <w:bCs/>
          <w:color w:val="1B1F3A"/>
          <w:sz w:val="28"/>
          <w:szCs w:val="28"/>
        </w:rPr>
        <w:t xml:space="preserve">05 — Budget Allocation &amp; Launch Sequence</w:t>
      </w:r>
    </w:p>
    <w:p>
      <w:pPr>
        <w:spacing w:before="0" w:after="160"/>
      </w:pPr>
      <w:r>
        <w:rPr>
          <w:rFonts w:ascii="Arial" w:cs="Arial" w:eastAsia="Arial" w:hAnsi="Arial"/>
          <w:color w:val="1B1F3A"/>
          <w:sz w:val="22"/>
          <w:szCs w:val="22"/>
        </w:rPr>
        <w:t xml:space="preserve">The following allocation assumes a 30-day launch budget and is structured to mirror the four campaign phases. Adjust absolute spend to your budget; the percentages and sequencing logic are what matter.</w:t>
      </w:r>
    </w:p>
    <w:p>
      <w:pPr>
        <w:spacing w:before="0" w:after="80"/>
      </w:pPr>
    </w:p>
    <w:p>
      <w:pPr>
        <w:pStyle w:val="Heading2"/>
        <w:spacing w:before="320" w:after="120"/>
      </w:pPr>
      <w:r>
        <w:rPr>
          <w:rFonts w:ascii="Arial" w:cs="Arial" w:eastAsia="Arial" w:hAnsi="Arial"/>
          <w:b/>
          <w:bCs/>
          <w:color w:val="1B1F3A"/>
          <w:sz w:val="24"/>
          <w:szCs w:val="24"/>
        </w:rPr>
        <w:t xml:space="preserve">Platform Split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1B1F3A" w:sz="4"/>
              <w:left w:val="single" w:color="1B1F3A" w:sz="4"/>
              <w:bottom w:val="single" w:color="1B1F3A" w:sz="4"/>
              <w:right w:val="single" w:color="1B1F3A" w:sz="4"/>
            </w:tcBorders>
            <w:shd w:fill="1B1F3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600"/>
            <w:tcBorders>
              <w:top w:val="single" w:color="1B1F3A" w:sz="4"/>
              <w:left w:val="single" w:color="1B1F3A" w:sz="4"/>
              <w:bottom w:val="single" w:color="1B1F3A" w:sz="4"/>
              <w:right w:val="single" w:color="1B1F3A" w:sz="4"/>
            </w:tcBorders>
            <w:shd w:fill="1B1F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Budget %</w:t>
            </w:r>
          </w:p>
        </w:tc>
        <w:tc>
          <w:tcPr>
            <w:tcW w:type="dxa" w:w="5360"/>
            <w:tcBorders>
              <w:top w:val="single" w:color="1B1F3A" w:sz="4"/>
              <w:left w:val="single" w:color="1B1F3A" w:sz="4"/>
              <w:bottom w:val="single" w:color="1B1F3A" w:sz="4"/>
              <w:right w:val="single" w:color="1B1F3A" w:sz="4"/>
            </w:tcBorders>
            <w:shd w:fill="1B1F3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D0D5DD" w:sz="2"/>
              <w:left w:val="single" w:color="D0D5DD" w:sz="2"/>
              <w:bottom w:val="single" w:color="D0D5DD" w:sz="2"/>
              <w:right w:val="single" w:color="D0D5DD" w:sz="2"/>
            </w:tcBorders>
            <w:shd w:fill="EEF4FB" w:val="clear"/>
            <w:tcMar>
              <w:top w:type="dxa" w:w="80"/>
              <w:left w:type="dxa" w:w="120"/>
              <w:bottom w:type="dxa" w:w="80"/>
              <w:right w:type="dxa" w:w="120"/>
            </w:tcMar>
          </w:tcPr>
          <w:p>
            <w:r>
              <w:rPr>
                <w:rFonts w:ascii="Arial" w:cs="Arial" w:eastAsia="Arial" w:hAnsi="Arial"/>
                <w:b/>
                <w:bCs/>
                <w:color w:val="1B1F3A"/>
                <w:sz w:val="21"/>
                <w:szCs w:val="21"/>
              </w:rPr>
              <w:t xml:space="preserve">LinkedIn</w:t>
            </w:r>
          </w:p>
        </w:tc>
        <w:tc>
          <w:tcPr>
            <w:tcW w:type="dxa" w:w="1600"/>
            <w:tcBorders>
              <w:top w:val="single" w:color="D0D5DD" w:sz="2"/>
              <w:left w:val="single" w:color="D0D5DD" w:sz="2"/>
              <w:bottom w:val="single" w:color="D0D5DD" w:sz="2"/>
              <w:right w:val="single" w:color="D0D5DD" w:sz="2"/>
            </w:tcBorders>
            <w:shd w:fill="F5F5F5" w:val="clear"/>
            <w:tcMar>
              <w:top w:type="dxa" w:w="80"/>
              <w:left w:type="dxa" w:w="120"/>
              <w:bottom w:type="dxa" w:w="80"/>
              <w:right w:type="dxa" w:w="120"/>
            </w:tcMar>
          </w:tcPr>
          <w:p>
            <w:pPr>
              <w:jc w:val="center"/>
            </w:pPr>
            <w:r>
              <w:rPr>
                <w:rFonts w:ascii="Arial" w:cs="Arial" w:eastAsia="Arial" w:hAnsi="Arial"/>
                <w:b/>
                <w:bCs/>
                <w:color w:val="4E7DAA"/>
                <w:sz w:val="22"/>
                <w:szCs w:val="22"/>
              </w:rPr>
              <w:t xml:space="preserve">50%</w:t>
            </w:r>
          </w:p>
        </w:tc>
        <w:tc>
          <w:tcPr>
            <w:tcW w:type="dxa" w:w="5360"/>
            <w:tcBorders>
              <w:top w:val="single" w:color="D0D5DD" w:sz="2"/>
              <w:left w:val="single" w:color="D0D5DD" w:sz="2"/>
              <w:bottom w:val="single" w:color="D0D5DD" w:sz="2"/>
              <w:right w:val="single" w:color="D0D5DD" w:sz="2"/>
            </w:tcBorders>
            <w:tcMar>
              <w:top w:type="dxa" w:w="80"/>
              <w:left w:type="dxa" w:w="120"/>
              <w:bottom w:type="dxa" w:w="80"/>
              <w:right w:type="dxa" w:w="120"/>
            </w:tcMar>
          </w:tcPr>
          <w:p>
            <w:r>
              <w:rPr>
                <w:rFonts w:ascii="Arial" w:cs="Arial" w:eastAsia="Arial" w:hAnsi="Arial"/>
                <w:color w:val="333333"/>
                <w:sz w:val="20"/>
                <w:szCs w:val="20"/>
              </w:rPr>
              <w:t xml:space="preserve">Highest ICP precision. Lead Gen Forms for direct waitlist conversion. Premium price justified by lead quality.</w:t>
            </w:r>
          </w:p>
        </w:tc>
      </w:tr>
      <w:tr>
        <w:tc>
          <w:tcPr>
            <w:tcW w:type="dxa" w:w="2400"/>
            <w:tcBorders>
              <w:top w:val="single" w:color="D0D5DD" w:sz="2"/>
              <w:left w:val="single" w:color="D0D5DD" w:sz="2"/>
              <w:bottom w:val="single" w:color="D0D5DD" w:sz="2"/>
              <w:right w:val="single" w:color="D0D5DD" w:sz="2"/>
            </w:tcBorders>
            <w:shd w:fill="FEF3EE" w:val="clear"/>
            <w:tcMar>
              <w:top w:type="dxa" w:w="80"/>
              <w:left w:type="dxa" w:w="120"/>
              <w:bottom w:type="dxa" w:w="80"/>
              <w:right w:type="dxa" w:w="120"/>
            </w:tcMar>
          </w:tcPr>
          <w:p>
            <w:r>
              <w:rPr>
                <w:rFonts w:ascii="Arial" w:cs="Arial" w:eastAsia="Arial" w:hAnsi="Arial"/>
                <w:b/>
                <w:bCs/>
                <w:color w:val="1B1F3A"/>
                <w:sz w:val="21"/>
                <w:szCs w:val="21"/>
              </w:rPr>
              <w:t xml:space="preserve">Instagram</w:t>
            </w:r>
          </w:p>
        </w:tc>
        <w:tc>
          <w:tcPr>
            <w:tcW w:type="dxa" w:w="1600"/>
            <w:tcBorders>
              <w:top w:val="single" w:color="D0D5DD" w:sz="2"/>
              <w:left w:val="single" w:color="D0D5DD" w:sz="2"/>
              <w:bottom w:val="single" w:color="D0D5DD" w:sz="2"/>
              <w:right w:val="single" w:color="D0D5DD" w:sz="2"/>
            </w:tcBorders>
            <w:shd w:fill="F5F5F5" w:val="clear"/>
            <w:tcMar>
              <w:top w:type="dxa" w:w="80"/>
              <w:left w:type="dxa" w:w="120"/>
              <w:bottom w:type="dxa" w:w="80"/>
              <w:right w:type="dxa" w:w="120"/>
            </w:tcMar>
          </w:tcPr>
          <w:p>
            <w:pPr>
              <w:jc w:val="center"/>
            </w:pPr>
            <w:r>
              <w:rPr>
                <w:rFonts w:ascii="Arial" w:cs="Arial" w:eastAsia="Arial" w:hAnsi="Arial"/>
                <w:b/>
                <w:bCs/>
                <w:color w:val="E8845C"/>
                <w:sz w:val="22"/>
                <w:szCs w:val="22"/>
              </w:rPr>
              <w:t xml:space="preserve">35%</w:t>
            </w:r>
          </w:p>
        </w:tc>
        <w:tc>
          <w:tcPr>
            <w:tcW w:type="dxa" w:w="5360"/>
            <w:tcBorders>
              <w:top w:val="single" w:color="D0D5DD" w:sz="2"/>
              <w:left w:val="single" w:color="D0D5DD" w:sz="2"/>
              <w:bottom w:val="single" w:color="D0D5DD" w:sz="2"/>
              <w:right w:val="single" w:color="D0D5DD" w:sz="2"/>
            </w:tcBorders>
            <w:tcMar>
              <w:top w:type="dxa" w:w="80"/>
              <w:left w:type="dxa" w:w="120"/>
              <w:bottom w:type="dxa" w:w="80"/>
              <w:right w:type="dxa" w:w="120"/>
            </w:tcMar>
          </w:tcPr>
          <w:p>
            <w:r>
              <w:rPr>
                <w:rFonts w:ascii="Arial" w:cs="Arial" w:eastAsia="Arial" w:hAnsi="Arial"/>
                <w:color w:val="333333"/>
                <w:sz w:val="20"/>
                <w:szCs w:val="20"/>
              </w:rPr>
              <w:t xml:space="preserve">Volume reach and retargeting. Lower CPM than LinkedIn, strong for visual brand-building and Reels awareness.</w:t>
            </w:r>
          </w:p>
        </w:tc>
      </w:tr>
      <w:tr>
        <w:tc>
          <w:tcPr>
            <w:tcW w:type="dxa" w:w="2400"/>
            <w:tcBorders>
              <w:top w:val="single" w:color="D0D5DD" w:sz="2"/>
              <w:left w:val="single" w:color="D0D5DD" w:sz="2"/>
              <w:bottom w:val="single" w:color="D0D5DD" w:sz="2"/>
              <w:right w:val="single" w:color="D0D5DD" w:sz="2"/>
            </w:tcBorders>
            <w:shd w:fill="F5F5F5" w:val="clear"/>
            <w:tcMar>
              <w:top w:type="dxa" w:w="80"/>
              <w:left w:type="dxa" w:w="120"/>
              <w:bottom w:type="dxa" w:w="80"/>
              <w:right w:type="dxa" w:w="120"/>
            </w:tcMar>
          </w:tcPr>
          <w:p>
            <w:r>
              <w:rPr>
                <w:rFonts w:ascii="Arial" w:cs="Arial" w:eastAsia="Arial" w:hAnsi="Arial"/>
                <w:b/>
                <w:bCs/>
                <w:color w:val="1B1F3A"/>
                <w:sz w:val="21"/>
                <w:szCs w:val="21"/>
              </w:rPr>
              <w:t xml:space="preserve">X / Twitter</w:t>
            </w:r>
          </w:p>
        </w:tc>
        <w:tc>
          <w:tcPr>
            <w:tcW w:type="dxa" w:w="1600"/>
            <w:tcBorders>
              <w:top w:val="single" w:color="D0D5DD" w:sz="2"/>
              <w:left w:val="single" w:color="D0D5DD" w:sz="2"/>
              <w:bottom w:val="single" w:color="D0D5DD" w:sz="2"/>
              <w:right w:val="single" w:color="D0D5DD" w:sz="2"/>
            </w:tcBorders>
            <w:shd w:fill="F5F5F5" w:val="clear"/>
            <w:tcMar>
              <w:top w:type="dxa" w:w="80"/>
              <w:left w:type="dxa" w:w="120"/>
              <w:bottom w:type="dxa" w:w="80"/>
              <w:right w:type="dxa" w:w="120"/>
            </w:tcMar>
          </w:tcPr>
          <w:p>
            <w:pPr>
              <w:jc w:val="center"/>
            </w:pPr>
            <w:r>
              <w:rPr>
                <w:rFonts w:ascii="Arial" w:cs="Arial" w:eastAsia="Arial" w:hAnsi="Arial"/>
                <w:b/>
                <w:bCs/>
                <w:color w:val="555555"/>
                <w:sz w:val="22"/>
                <w:szCs w:val="22"/>
              </w:rPr>
              <w:t xml:space="preserve">15%</w:t>
            </w:r>
          </w:p>
        </w:tc>
        <w:tc>
          <w:tcPr>
            <w:tcW w:type="dxa" w:w="5360"/>
            <w:tcBorders>
              <w:top w:val="single" w:color="D0D5DD" w:sz="2"/>
              <w:left w:val="single" w:color="D0D5DD" w:sz="2"/>
              <w:bottom w:val="single" w:color="D0D5DD" w:sz="2"/>
              <w:right w:val="single" w:color="D0D5DD" w:sz="2"/>
            </w:tcBorders>
            <w:tcMar>
              <w:top w:type="dxa" w:w="80"/>
              <w:left w:type="dxa" w:w="120"/>
              <w:bottom w:type="dxa" w:w="80"/>
              <w:right w:type="dxa" w:w="120"/>
            </w:tcMar>
          </w:tcPr>
          <w:p>
            <w:r>
              <w:rPr>
                <w:rFonts w:ascii="Arial" w:cs="Arial" w:eastAsia="Arial" w:hAnsi="Arial"/>
                <w:color w:val="333333"/>
                <w:sz w:val="20"/>
                <w:szCs w:val="20"/>
              </w:rPr>
              <w:t xml:space="preserve">Community credibility and organic amplification. Lower direct ROAS but strong earned media multiplier.</w:t>
            </w:r>
          </w:p>
        </w:tc>
      </w:tr>
    </w:tbl>
    <w:p>
      <w:pPr>
        <w:spacing w:before="0" w:after="200"/>
      </w:pPr>
    </w:p>
    <w:p>
      <w:pPr>
        <w:pStyle w:val="Heading2"/>
        <w:spacing w:before="320" w:after="120"/>
      </w:pPr>
      <w:r>
        <w:rPr>
          <w:rFonts w:ascii="Arial" w:cs="Arial" w:eastAsia="Arial" w:hAnsi="Arial"/>
          <w:b/>
          <w:bCs/>
          <w:color w:val="1B1F3A"/>
          <w:sz w:val="24"/>
          <w:szCs w:val="24"/>
        </w:rPr>
        <w:t xml:space="preserve">Week-by-Week Launch Sequence</w:t>
      </w:r>
    </w:p>
    <w:p>
      <w:pPr>
        <w:spacing w:before="240" w:after="80"/>
      </w:pPr>
      <w:r>
        <w:rPr>
          <w:rFonts w:ascii="Arial" w:cs="Arial" w:eastAsia="Arial" w:hAnsi="Arial"/>
          <w:b/>
          <w:bCs/>
          <w:color w:val="4E7DAA"/>
          <w:sz w:val="22"/>
          <w:szCs w:val="22"/>
        </w:rPr>
        <w:t xml:space="preserve">Week 1 — Seed Awareness (Days 1–7)</w:t>
      </w:r>
    </w:p>
    <w:p>
      <w:pPr>
        <w:spacing w:before="0" w:after="160"/>
      </w:pPr>
      <w:r>
        <w:rPr>
          <w:rFonts w:ascii="Arial" w:cs="Arial" w:eastAsia="Arial" w:hAnsi="Arial"/>
          <w:color w:val="1B1F3A"/>
          <w:sz w:val="22"/>
          <w:szCs w:val="22"/>
        </w:rPr>
        <w:t xml:space="preserve">Spend 20% of total budget. Run D01 and D04 across all platforms. Prioritise reach and video completion objectives. The goal is to build a retargeting audience of 500–1,000 website visitors and 1,000+ video viewers before turning on conversion campaigns. Do not run Lead Gen Forms yet — the audience is too cold.</w:t>
      </w:r>
    </w:p>
    <w:p>
      <w:pPr>
        <w:spacing w:before="240" w:after="80"/>
      </w:pPr>
      <w:r>
        <w:rPr>
          <w:rFonts w:ascii="Arial" w:cs="Arial" w:eastAsia="Arial" w:hAnsi="Arial"/>
          <w:b/>
          <w:bCs/>
          <w:color w:val="4E7DAA"/>
          <w:sz w:val="22"/>
          <w:szCs w:val="22"/>
        </w:rPr>
        <w:t xml:space="preserve">Week 2 — Build Consideration (Days 8–14)</w:t>
      </w:r>
    </w:p>
    <w:p>
      <w:pPr>
        <w:spacing w:before="0" w:after="160"/>
      </w:pPr>
      <w:r>
        <w:rPr>
          <w:rFonts w:ascii="Arial" w:cs="Arial" w:eastAsia="Arial" w:hAnsi="Arial"/>
          <w:color w:val="1B1F3A"/>
          <w:sz w:val="22"/>
          <w:szCs w:val="22"/>
        </w:rPr>
        <w:t xml:space="preserve">Spend 30% of total budget. Launch LinkedIn Lead Gen Form campaign with D12 (Not a Chatbot) as the creative. Run Instagram retargeting with D08 and D10. This is the highest-value week for qualified lead acquisition. LinkedIn CPLs may run high initially — allow the algorithm 50–70 form fills before optimising bids.</w:t>
      </w:r>
    </w:p>
    <w:p>
      <w:pPr>
        <w:spacing w:before="240" w:after="80"/>
      </w:pPr>
      <w:r>
        <w:rPr>
          <w:rFonts w:ascii="Arial" w:cs="Arial" w:eastAsia="Arial" w:hAnsi="Arial"/>
          <w:b/>
          <w:bCs/>
          <w:color w:val="4E7DAA"/>
          <w:sz w:val="22"/>
          <w:szCs w:val="22"/>
        </w:rPr>
        <w:t xml:space="preserve">Week 3 — Drive Desire (Days 15–23)</w:t>
      </w:r>
    </w:p>
    <w:p>
      <w:pPr>
        <w:spacing w:before="0" w:after="160"/>
      </w:pPr>
      <w:r>
        <w:rPr>
          <w:rFonts w:ascii="Arial" w:cs="Arial" w:eastAsia="Arial" w:hAnsi="Arial"/>
          <w:color w:val="1B1F3A"/>
          <w:sz w:val="22"/>
          <w:szCs w:val="22"/>
        </w:rPr>
        <w:t xml:space="preserve">Spend 30% of total budget. Introduce social proof creative (D13, D17 use case). Shift Instagram budget toward conversion-objective campaigns with link-click CTAs. Begin suppressing audiences who have already converted from further ad exposure. Rotate creatives — by this point, early viewers will have seen D01 and D04 multiple times.</w:t>
      </w:r>
    </w:p>
    <w:p>
      <w:pPr>
        <w:spacing w:before="240" w:after="80"/>
      </w:pPr>
      <w:r>
        <w:rPr>
          <w:rFonts w:ascii="Arial" w:cs="Arial" w:eastAsia="Arial" w:hAnsi="Arial"/>
          <w:b/>
          <w:bCs/>
          <w:color w:val="4E7DAA"/>
          <w:sz w:val="22"/>
          <w:szCs w:val="22"/>
        </w:rPr>
        <w:t xml:space="preserve">Week 4 — Close (Days 24–30)</w:t>
      </w:r>
    </w:p>
    <w:p>
      <w:pPr>
        <w:spacing w:before="0" w:after="160"/>
      </w:pPr>
      <w:r>
        <w:rPr>
          <w:rFonts w:ascii="Arial" w:cs="Arial" w:eastAsia="Arial" w:hAnsi="Arial"/>
          <w:color w:val="1B1F3A"/>
          <w:sz w:val="22"/>
          <w:szCs w:val="22"/>
        </w:rPr>
        <w:t xml:space="preserve">Spend 20% of total budget. Maximum urgency messaging. Run ‘last spots’ and ‘early access closes’ creative. Pull back spend on X and focus entirely on LinkedIn Lead Gen Forms and Instagram retargeting. This week should have the lowest CPL of the entire campaign because audiences are maximally warm.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7DAA" w:sz="6"/>
              <w:left w:val="single" w:color="4E7DAA" w:sz="18"/>
              <w:bottom w:val="single" w:color="D0D5DD" w:sz="2"/>
              <w:right w:val="single" w:color="D0D5DD" w:sz="2"/>
            </w:tcBorders>
            <w:shd w:fill="EEF4FB" w:val="clear"/>
            <w:tcMar>
              <w:top w:type="dxa" w:w="120"/>
              <w:left w:type="dxa" w:w="180"/>
              <w:bottom w:type="dxa" w:w="120"/>
              <w:right w:type="dxa" w:w="180"/>
            </w:tcMar>
          </w:tcPr>
          <w:p>
            <w:pPr>
              <w:spacing w:before="0" w:after="60"/>
            </w:pPr>
            <w:r>
              <w:rPr>
                <w:rFonts w:ascii="Arial" w:cs="Arial" w:eastAsia="Arial" w:hAnsi="Arial"/>
                <w:b/>
                <w:bCs/>
                <w:color w:val="4E7DAA"/>
                <w:sz w:val="20"/>
                <w:szCs w:val="20"/>
              </w:rPr>
              <w:t xml:space="preserve">Creative Fatigue Warning</w:t>
            </w:r>
          </w:p>
          <w:p>
            <w:pPr>
              <w:spacing w:before="0" w:after="0"/>
            </w:pPr>
            <w:r>
              <w:rPr>
                <w:rFonts w:ascii="Arial" w:cs="Arial" w:eastAsia="Arial" w:hAnsi="Arial"/>
                <w:color w:val="1B1F3A"/>
                <w:sz w:val="21"/>
                <w:szCs w:val="21"/>
              </w:rPr>
              <w:t xml:space="preserve">By Week 3, the first batch of creative (D01, D04) will be showing frequency scores above 2.5 on Instagram. At this point, performance typically drops 30–40%. Prepare replacement creatives from the D17–23 batch no later than Day 14. Rotate at least 3 creative variants per ad set to slow frequency build-up.</w:t>
            </w:r>
          </w:p>
        </w:tc>
      </w:tr>
    </w:tbl>
    <w:p>
      <w:r>
        <w:br w:type="page"/>
      </w:r>
    </w:p>
    <w:p>
      <w:pPr>
        <w:pStyle w:val="Heading1"/>
        <w:pBdr>
          <w:bottom w:val="single" w:color="E8845C" w:sz="6" w:space="4"/>
        </w:pBdr>
        <w:spacing w:before="480" w:after="200"/>
      </w:pPr>
      <w:r>
        <w:rPr>
          <w:rFonts w:ascii="Arial" w:cs="Arial" w:eastAsia="Arial" w:hAnsi="Arial"/>
          <w:b/>
          <w:bCs/>
          <w:color w:val="1B1F3A"/>
          <w:sz w:val="28"/>
          <w:szCs w:val="28"/>
        </w:rPr>
        <w:t xml:space="preserve">06 — Measurement, Attribution &amp; ROAS Targets</w:t>
      </w:r>
    </w:p>
    <w:p>
      <w:pPr>
        <w:spacing w:before="0" w:after="160"/>
      </w:pPr>
      <w:r>
        <w:rPr>
          <w:rFonts w:ascii="Arial" w:cs="Arial" w:eastAsia="Arial" w:hAnsi="Arial"/>
          <w:color w:val="1B1F3A"/>
          <w:sz w:val="22"/>
          <w:szCs w:val="22"/>
        </w:rPr>
        <w:t xml:space="preserve">Accurate measurement is the difference between a paid social programme that compounds and one that bleeds budget. The following setup is the minimum required before spending meaningfully on any platform.</w:t>
      </w:r>
    </w:p>
    <w:p>
      <w:pPr>
        <w:spacing w:before="0" w:after="60"/>
      </w:pPr>
    </w:p>
    <w:p>
      <w:pPr>
        <w:pStyle w:val="Heading2"/>
        <w:spacing w:before="320" w:after="120"/>
      </w:pPr>
      <w:r>
        <w:rPr>
          <w:rFonts w:ascii="Arial" w:cs="Arial" w:eastAsia="Arial" w:hAnsi="Arial"/>
          <w:b/>
          <w:bCs/>
          <w:color w:val="1B1F3A"/>
          <w:sz w:val="24"/>
          <w:szCs w:val="24"/>
        </w:rPr>
        <w:t xml:space="preserve">Technical Measurement Setup</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Meta Conversions API (CAPI): Must be implemented server-side alongside the Meta Pixel before running any Instagram ads. Without CAPI, iOS 17 privacy restrictions will hide 25–40% of conversion events from the platform, causing the algorithm to underoptimise. This is non-negotiable.</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LinkedIn Insight Tag: Install on donna.app for website visitor retargeting. Without this, LinkedIn retargeting audiences cannot be built.</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UTM parameters: Every ad link must carry UTM source, medium, campaign, content, and term parameters. This enables tracking in any analytics platform (GA4, PostHog, etc.) regardless of ad platform attribution.</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Conversion event: Define ‘waitlist signup confirmed’ as the primary conversion event across all platforms. Fire this event server-side on form submission, not client-side, to avoid ad blocker interference.</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Suppress converted users: Upload the waitlist CSV to LinkedIn Matched Audiences and Instagram Custom Audiences weekly. Exclude these users from conversion campaigns to avoid wasting budget on people who already signed up.</w:t>
      </w:r>
    </w:p>
    <w:p>
      <w:pPr>
        <w:spacing w:before="0" w:after="80"/>
      </w:pPr>
    </w:p>
    <w:p>
      <w:pPr>
        <w:pStyle w:val="Heading2"/>
        <w:spacing w:before="320" w:after="120"/>
      </w:pPr>
      <w:r>
        <w:rPr>
          <w:rFonts w:ascii="Arial" w:cs="Arial" w:eastAsia="Arial" w:hAnsi="Arial"/>
          <w:b/>
          <w:bCs/>
          <w:color w:val="1B1F3A"/>
          <w:sz w:val="24"/>
          <w:szCs w:val="24"/>
        </w:rPr>
        <w:t xml:space="preserve">Key 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1B1F3A" w:sz="4"/>
              <w:left w:val="single" w:color="1B1F3A" w:sz="4"/>
              <w:bottom w:val="single" w:color="1B1F3A" w:sz="4"/>
              <w:right w:val="single" w:color="1B1F3A" w:sz="4"/>
            </w:tcBorders>
            <w:shd w:fill="1B1F3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000"/>
            <w:tcBorders>
              <w:top w:val="single" w:color="1B1F3A" w:sz="4"/>
              <w:left w:val="single" w:color="1B1F3A" w:sz="4"/>
              <w:bottom w:val="single" w:color="1B1F3A" w:sz="4"/>
              <w:right w:val="single" w:color="1B1F3A" w:sz="4"/>
            </w:tcBorders>
            <w:shd w:fill="1B1F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LinkedIn</w:t>
            </w:r>
          </w:p>
        </w:tc>
        <w:tc>
          <w:tcPr>
            <w:tcW w:type="dxa" w:w="2000"/>
            <w:tcBorders>
              <w:top w:val="single" w:color="1B1F3A" w:sz="4"/>
              <w:left w:val="single" w:color="1B1F3A" w:sz="4"/>
              <w:bottom w:val="single" w:color="1B1F3A" w:sz="4"/>
              <w:right w:val="single" w:color="1B1F3A" w:sz="4"/>
            </w:tcBorders>
            <w:shd w:fill="1B1F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Instagram</w:t>
            </w:r>
          </w:p>
        </w:tc>
        <w:tc>
          <w:tcPr>
            <w:tcW w:type="dxa" w:w="2560"/>
            <w:tcBorders>
              <w:top w:val="single" w:color="1B1F3A" w:sz="4"/>
              <w:left w:val="single" w:color="1B1F3A" w:sz="4"/>
              <w:bottom w:val="single" w:color="1B1F3A" w:sz="4"/>
              <w:right w:val="single" w:color="1B1F3A" w:sz="4"/>
            </w:tcBorders>
            <w:shd w:fill="1B1F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X / Twitter</w:t>
            </w:r>
          </w:p>
        </w:tc>
      </w:tr>
      <w:tr>
        <w:tc>
          <w:tcPr>
            <w:tcW w:type="dxa" w:w="2800"/>
            <w:tcBorders>
              <w:top w:val="single" w:color="D0D5DD" w:sz="2"/>
              <w:left w:val="single" w:color="D0D5DD" w:sz="2"/>
              <w:bottom w:val="single" w:color="D0D5DD" w:sz="2"/>
              <w:right w:val="single" w:color="D0D5DD" w:sz="2"/>
            </w:tcBorders>
            <w:shd w:fill="F5F5F5" w:val="clear"/>
            <w:tcMar>
              <w:top w:type="dxa" w:w="80"/>
              <w:left w:type="dxa" w:w="120"/>
              <w:bottom w:type="dxa" w:w="80"/>
              <w:right w:type="dxa" w:w="120"/>
            </w:tcMar>
          </w:tcPr>
          <w:p>
            <w:r>
              <w:rPr>
                <w:rFonts w:ascii="Arial" w:cs="Arial" w:eastAsia="Arial" w:hAnsi="Arial"/>
                <w:b/>
                <w:bCs/>
                <w:color w:val="1B1F3A"/>
                <w:sz w:val="20"/>
                <w:szCs w:val="20"/>
              </w:rPr>
              <w:t xml:space="preserve">Cost per click (CPC)</w:t>
            </w:r>
          </w:p>
        </w:tc>
        <w:tc>
          <w:tcPr>
            <w:tcW w:type="dxa" w:w="200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4E7DAA"/>
                <w:sz w:val="20"/>
                <w:szCs w:val="20"/>
              </w:rPr>
              <w:t xml:space="preserve">$5–$12</w:t>
            </w:r>
          </w:p>
        </w:tc>
        <w:tc>
          <w:tcPr>
            <w:tcW w:type="dxa" w:w="200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E8845C"/>
                <w:sz w:val="20"/>
                <w:szCs w:val="20"/>
              </w:rPr>
              <w:t xml:space="preserve">$0.80–$2.50</w:t>
            </w:r>
          </w:p>
        </w:tc>
        <w:tc>
          <w:tcPr>
            <w:tcW w:type="dxa" w:w="256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555555"/>
                <w:sz w:val="20"/>
                <w:szCs w:val="20"/>
              </w:rPr>
              <w:t xml:space="preserve">$0.50–$2.00</w:t>
            </w:r>
          </w:p>
        </w:tc>
      </w:tr>
      <w:tr>
        <w:tc>
          <w:tcPr>
            <w:tcW w:type="dxa" w:w="2800"/>
            <w:tcBorders>
              <w:top w:val="single" w:color="D0D5DD" w:sz="2"/>
              <w:left w:val="single" w:color="D0D5DD" w:sz="2"/>
              <w:bottom w:val="single" w:color="D0D5DD" w:sz="2"/>
              <w:right w:val="single" w:color="D0D5DD" w:sz="2"/>
            </w:tcBorders>
            <w:shd w:fill="F5F5F5" w:val="clear"/>
            <w:tcMar>
              <w:top w:type="dxa" w:w="80"/>
              <w:left w:type="dxa" w:w="120"/>
              <w:bottom w:type="dxa" w:w="80"/>
              <w:right w:type="dxa" w:w="120"/>
            </w:tcMar>
          </w:tcPr>
          <w:p>
            <w:r>
              <w:rPr>
                <w:rFonts w:ascii="Arial" w:cs="Arial" w:eastAsia="Arial" w:hAnsi="Arial"/>
                <w:b/>
                <w:bCs/>
                <w:color w:val="1B1F3A"/>
                <w:sz w:val="20"/>
                <w:szCs w:val="20"/>
              </w:rPr>
              <w:t xml:space="preserve">Click-through rate (CTR)</w:t>
            </w:r>
          </w:p>
        </w:tc>
        <w:tc>
          <w:tcPr>
            <w:tcW w:type="dxa" w:w="200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4E7DAA"/>
                <w:sz w:val="20"/>
                <w:szCs w:val="20"/>
              </w:rPr>
              <w:t xml:space="preserve">0.4–1.2%</w:t>
            </w:r>
          </w:p>
        </w:tc>
        <w:tc>
          <w:tcPr>
            <w:tcW w:type="dxa" w:w="200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E8845C"/>
                <w:sz w:val="20"/>
                <w:szCs w:val="20"/>
              </w:rPr>
              <w:t xml:space="preserve">0.8–2.5%</w:t>
            </w:r>
          </w:p>
        </w:tc>
        <w:tc>
          <w:tcPr>
            <w:tcW w:type="dxa" w:w="256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555555"/>
                <w:sz w:val="20"/>
                <w:szCs w:val="20"/>
              </w:rPr>
              <w:t xml:space="preserve">0.5–1.5%</w:t>
            </w:r>
          </w:p>
        </w:tc>
      </w:tr>
      <w:tr>
        <w:tc>
          <w:tcPr>
            <w:tcW w:type="dxa" w:w="2800"/>
            <w:tcBorders>
              <w:top w:val="single" w:color="D0D5DD" w:sz="2"/>
              <w:left w:val="single" w:color="D0D5DD" w:sz="2"/>
              <w:bottom w:val="single" w:color="D0D5DD" w:sz="2"/>
              <w:right w:val="single" w:color="D0D5DD" w:sz="2"/>
            </w:tcBorders>
            <w:shd w:fill="F5F5F5" w:val="clear"/>
            <w:tcMar>
              <w:top w:type="dxa" w:w="80"/>
              <w:left w:type="dxa" w:w="120"/>
              <w:bottom w:type="dxa" w:w="80"/>
              <w:right w:type="dxa" w:w="120"/>
            </w:tcMar>
          </w:tcPr>
          <w:p>
            <w:r>
              <w:rPr>
                <w:rFonts w:ascii="Arial" w:cs="Arial" w:eastAsia="Arial" w:hAnsi="Arial"/>
                <w:b/>
                <w:bCs/>
                <w:color w:val="1B1F3A"/>
                <w:sz w:val="20"/>
                <w:szCs w:val="20"/>
              </w:rPr>
              <w:t xml:space="preserve">Lead Gen Form CVR</w:t>
            </w:r>
          </w:p>
        </w:tc>
        <w:tc>
          <w:tcPr>
            <w:tcW w:type="dxa" w:w="200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4E7DAA"/>
                <w:sz w:val="20"/>
                <w:szCs w:val="20"/>
              </w:rPr>
              <w:t xml:space="preserve">8–15%</w:t>
            </w:r>
          </w:p>
        </w:tc>
        <w:tc>
          <w:tcPr>
            <w:tcW w:type="dxa" w:w="200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E8845C"/>
                <w:sz w:val="20"/>
                <w:szCs w:val="20"/>
              </w:rPr>
              <w:t xml:space="preserve">N/A</w:t>
            </w:r>
          </w:p>
        </w:tc>
        <w:tc>
          <w:tcPr>
            <w:tcW w:type="dxa" w:w="256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555555"/>
                <w:sz w:val="20"/>
                <w:szCs w:val="20"/>
              </w:rPr>
              <w:t xml:space="preserve">N/A</w:t>
            </w:r>
          </w:p>
        </w:tc>
      </w:tr>
      <w:tr>
        <w:tc>
          <w:tcPr>
            <w:tcW w:type="dxa" w:w="2800"/>
            <w:tcBorders>
              <w:top w:val="single" w:color="D0D5DD" w:sz="2"/>
              <w:left w:val="single" w:color="D0D5DD" w:sz="2"/>
              <w:bottom w:val="single" w:color="D0D5DD" w:sz="2"/>
              <w:right w:val="single" w:color="D0D5DD" w:sz="2"/>
            </w:tcBorders>
            <w:shd w:fill="F5F5F5" w:val="clear"/>
            <w:tcMar>
              <w:top w:type="dxa" w:w="80"/>
              <w:left w:type="dxa" w:w="120"/>
              <w:bottom w:type="dxa" w:w="80"/>
              <w:right w:type="dxa" w:w="120"/>
            </w:tcMar>
          </w:tcPr>
          <w:p>
            <w:r>
              <w:rPr>
                <w:rFonts w:ascii="Arial" w:cs="Arial" w:eastAsia="Arial" w:hAnsi="Arial"/>
                <w:b/>
                <w:bCs/>
                <w:color w:val="1B1F3A"/>
                <w:sz w:val="20"/>
                <w:szCs w:val="20"/>
              </w:rPr>
              <w:t xml:space="preserve">Cost per waitlist signup (CPL)</w:t>
            </w:r>
          </w:p>
        </w:tc>
        <w:tc>
          <w:tcPr>
            <w:tcW w:type="dxa" w:w="200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4E7DAA"/>
                <w:sz w:val="20"/>
                <w:szCs w:val="20"/>
              </w:rPr>
              <w:t xml:space="preserve">$30–$80</w:t>
            </w:r>
          </w:p>
        </w:tc>
        <w:tc>
          <w:tcPr>
            <w:tcW w:type="dxa" w:w="200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E8845C"/>
                <w:sz w:val="20"/>
                <w:szCs w:val="20"/>
              </w:rPr>
              <w:t xml:space="preserve">$15–$40</w:t>
            </w:r>
          </w:p>
        </w:tc>
        <w:tc>
          <w:tcPr>
            <w:tcW w:type="dxa" w:w="256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555555"/>
                <w:sz w:val="20"/>
                <w:szCs w:val="20"/>
              </w:rPr>
              <w:t xml:space="preserve">$40–$90</w:t>
            </w:r>
          </w:p>
        </w:tc>
      </w:tr>
      <w:tr>
        <w:tc>
          <w:tcPr>
            <w:tcW w:type="dxa" w:w="2800"/>
            <w:tcBorders>
              <w:top w:val="single" w:color="D0D5DD" w:sz="2"/>
              <w:left w:val="single" w:color="D0D5DD" w:sz="2"/>
              <w:bottom w:val="single" w:color="D0D5DD" w:sz="2"/>
              <w:right w:val="single" w:color="D0D5DD" w:sz="2"/>
            </w:tcBorders>
            <w:shd w:fill="F5F5F5" w:val="clear"/>
            <w:tcMar>
              <w:top w:type="dxa" w:w="80"/>
              <w:left w:type="dxa" w:w="120"/>
              <w:bottom w:type="dxa" w:w="80"/>
              <w:right w:type="dxa" w:w="120"/>
            </w:tcMar>
          </w:tcPr>
          <w:p>
            <w:r>
              <w:rPr>
                <w:rFonts w:ascii="Arial" w:cs="Arial" w:eastAsia="Arial" w:hAnsi="Arial"/>
                <w:b/>
                <w:bCs/>
                <w:color w:val="1B1F3A"/>
                <w:sz w:val="20"/>
                <w:szCs w:val="20"/>
              </w:rPr>
              <w:t xml:space="preserve">Target frequency (cap)</w:t>
            </w:r>
          </w:p>
        </w:tc>
        <w:tc>
          <w:tcPr>
            <w:tcW w:type="dxa" w:w="200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4E7DAA"/>
                <w:sz w:val="20"/>
                <w:szCs w:val="20"/>
              </w:rPr>
              <w:t xml:space="preserve">3–4 per month</w:t>
            </w:r>
          </w:p>
        </w:tc>
        <w:tc>
          <w:tcPr>
            <w:tcW w:type="dxa" w:w="200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E8845C"/>
                <w:sz w:val="20"/>
                <w:szCs w:val="20"/>
              </w:rPr>
              <w:t xml:space="preserve">2–3 per week</w:t>
            </w:r>
          </w:p>
        </w:tc>
        <w:tc>
          <w:tcPr>
            <w:tcW w:type="dxa" w:w="256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555555"/>
                <w:sz w:val="20"/>
                <w:szCs w:val="20"/>
              </w:rPr>
              <w:t xml:space="preserve">5–7 per week</w:t>
            </w:r>
          </w:p>
        </w:tc>
      </w:tr>
      <w:tr>
        <w:tc>
          <w:tcPr>
            <w:tcW w:type="dxa" w:w="2800"/>
            <w:tcBorders>
              <w:top w:val="single" w:color="D0D5DD" w:sz="2"/>
              <w:left w:val="single" w:color="D0D5DD" w:sz="2"/>
              <w:bottom w:val="single" w:color="D0D5DD" w:sz="2"/>
              <w:right w:val="single" w:color="D0D5DD" w:sz="2"/>
            </w:tcBorders>
            <w:shd w:fill="F5F5F5" w:val="clear"/>
            <w:tcMar>
              <w:top w:type="dxa" w:w="80"/>
              <w:left w:type="dxa" w:w="120"/>
              <w:bottom w:type="dxa" w:w="80"/>
              <w:right w:type="dxa" w:w="120"/>
            </w:tcMar>
          </w:tcPr>
          <w:p>
            <w:r>
              <w:rPr>
                <w:rFonts w:ascii="Arial" w:cs="Arial" w:eastAsia="Arial" w:hAnsi="Arial"/>
                <w:b/>
                <w:bCs/>
                <w:color w:val="1B1F3A"/>
                <w:sz w:val="20"/>
                <w:szCs w:val="20"/>
              </w:rPr>
              <w:t xml:space="preserve">Break-even CPL (if LTV = $1,200)</w:t>
            </w:r>
          </w:p>
        </w:tc>
        <w:tc>
          <w:tcPr>
            <w:tcW w:type="dxa" w:w="200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4E7DAA"/>
                <w:sz w:val="20"/>
                <w:szCs w:val="20"/>
              </w:rPr>
              <w:t xml:space="preserve">$400</w:t>
            </w:r>
          </w:p>
        </w:tc>
        <w:tc>
          <w:tcPr>
            <w:tcW w:type="dxa" w:w="200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E8845C"/>
                <w:sz w:val="20"/>
                <w:szCs w:val="20"/>
              </w:rPr>
              <w:t xml:space="preserve">$400</w:t>
            </w:r>
          </w:p>
        </w:tc>
        <w:tc>
          <w:tcPr>
            <w:tcW w:type="dxa" w:w="2560"/>
            <w:tcBorders>
              <w:top w:val="single" w:color="D0D5DD" w:sz="2"/>
              <w:left w:val="single" w:color="D0D5DD" w:sz="2"/>
              <w:bottom w:val="single" w:color="D0D5DD" w:sz="2"/>
              <w:right w:val="single" w:color="D0D5DD" w:sz="2"/>
            </w:tcBorders>
            <w:tcMar>
              <w:top w:type="dxa" w:w="80"/>
              <w:left w:type="dxa" w:w="120"/>
              <w:bottom w:type="dxa" w:w="80"/>
              <w:right w:type="dxa" w:w="120"/>
            </w:tcMar>
          </w:tcPr>
          <w:p>
            <w:pPr>
              <w:jc w:val="center"/>
            </w:pPr>
            <w:r>
              <w:rPr>
                <w:rFonts w:ascii="Arial" w:cs="Arial" w:eastAsia="Arial" w:hAnsi="Arial"/>
                <w:color w:val="555555"/>
                <w:sz w:val="20"/>
                <w:szCs w:val="20"/>
              </w:rPr>
              <w:t xml:space="preserve">$400</w:t>
            </w:r>
          </w:p>
        </w:tc>
      </w:tr>
    </w:tbl>
    <w:p>
      <w:pPr>
        <w:spacing w:before="0" w:after="200"/>
      </w:pPr>
    </w:p>
    <w:p>
      <w:pPr>
        <w:pStyle w:val="Heading2"/>
        <w:spacing w:before="320" w:after="120"/>
      </w:pPr>
      <w:r>
        <w:rPr>
          <w:rFonts w:ascii="Arial" w:cs="Arial" w:eastAsia="Arial" w:hAnsi="Arial"/>
          <w:b/>
          <w:bCs/>
          <w:color w:val="1B1F3A"/>
          <w:sz w:val="24"/>
          <w:szCs w:val="24"/>
        </w:rPr>
        <w:t xml:space="preserve">The Single Highest-Leverage ROAS Action</w:t>
      </w:r>
    </w:p>
    <w:p>
      <w:pPr>
        <w:spacing w:before="0" w:after="160"/>
      </w:pPr>
      <w:r>
        <w:rPr>
          <w:rFonts w:ascii="Arial" w:cs="Arial" w:eastAsia="Arial" w:hAnsi="Arial"/>
          <w:color w:val="1B1F3A"/>
          <w:sz w:val="22"/>
          <w:szCs w:val="22"/>
        </w:rPr>
        <w:t xml:space="preserve">Before scaling any ad spend, improving the donna.app landing page conversion rate is the single highest-leverage ROAS action available. Every dollar of paid traffic delivers more return when the page it lands on converts at 4% instead of 1%.</w:t>
      </w:r>
    </w:p>
    <w:p>
      <w:pPr>
        <w:spacing w:before="0" w:after="160"/>
      </w:pPr>
      <w:r>
        <w:rPr>
          <w:rFonts w:ascii="Arial" w:cs="Arial" w:eastAsia="Arial" w:hAnsi="Arial"/>
          <w:color w:val="1B1F3A"/>
          <w:sz w:val="22"/>
          <w:szCs w:val="22"/>
        </w:rPr>
        <w:t xml:space="preserve">A/B test the waitlist page headline between two framings:</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Pain-led: “Your inbox is not a to-do list. It’s a crime scene.” (mirrors D04 ad creative)</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Benefit-led: “One briefing. Every morning. Everything that matters.” (mirrors D01 brand line)</w:t>
      </w:r>
    </w:p>
    <w:p>
      <w:pPr>
        <w:spacing w:before="0" w:after="160"/>
      </w:pPr>
      <w:r>
        <w:rPr>
          <w:rFonts w:ascii="Arial" w:cs="Arial" w:eastAsia="Arial" w:hAnsi="Arial"/>
          <w:color w:val="1B1F3A"/>
          <w:sz w:val="22"/>
          <w:szCs w:val="22"/>
        </w:rPr>
        <w:t xml:space="preserve">Whichever converts higher should become the default landing page for all paid traffic. A 2x improvement in landing page CVR is a 2x improvement in ROAS with zero additional ad spend.</w:t>
      </w:r>
    </w:p>
    <w:p>
      <w:pPr>
        <w:spacing w:before="0" w:after="100"/>
      </w:pPr>
    </w:p>
    <w:p>
      <w:pPr>
        <w:pStyle w:val="Heading2"/>
        <w:spacing w:before="320" w:after="120"/>
      </w:pPr>
      <w:r>
        <w:rPr>
          <w:rFonts w:ascii="Arial" w:cs="Arial" w:eastAsia="Arial" w:hAnsi="Arial"/>
          <w:b/>
          <w:bCs/>
          <w:color w:val="1B1F3A"/>
          <w:sz w:val="24"/>
          <w:szCs w:val="24"/>
        </w:rPr>
        <w:t xml:space="preserve">Monthly Review Cadence</w:t>
      </w:r>
    </w:p>
    <w:p>
      <w:pPr>
        <w:spacing w:before="0" w:after="160"/>
      </w:pPr>
      <w:r>
        <w:rPr>
          <w:rFonts w:ascii="Arial" w:cs="Arial" w:eastAsia="Arial" w:hAnsi="Arial"/>
          <w:color w:val="1B1F3A"/>
          <w:sz w:val="22"/>
          <w:szCs w:val="22"/>
        </w:rPr>
        <w:t xml:space="preserve">ROAS optimisation is not a set-and-forget activity. The following review rhythm will compound performance over the launch period:</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Weekly: Rotate creative if any ad set shows frequency above 2.5. Check CPL against benchmarks. Pause any ad set with zero conversions after 500 impressions.</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Bi-weekly: Upload updated waitlist to Matched Audiences for exclusion. Review which phase content is outperforming and reallocate budget toward it.</w:t>
      </w:r>
    </w:p>
    <w:p>
      <w:pPr>
        <w:pStyle w:val="ListParagraph"/>
        <w:numPr>
          <w:ilvl w:val="0"/>
          <w:numId w:val="2"/>
        </w:numPr>
        <w:spacing w:before="40" w:after="80"/>
        <w:ind w:left="720" w:hanging="360"/>
      </w:pPr>
      <w:r>
        <w:rPr>
          <w:rFonts w:ascii="Arial" w:cs="Arial" w:eastAsia="Arial" w:hAnsi="Arial"/>
          <w:b w:val="false"/>
          <w:bCs w:val="false"/>
          <w:color w:val="1B1F3A"/>
          <w:sz w:val="22"/>
          <w:szCs w:val="22"/>
        </w:rPr>
        <w:t xml:space="preserve">End of month: Run a full attribution review comparing last-click (what ad platforms report) against a first-touch model (what actually introduced the user to Donna). This will reveal the true value of awareness-stage spending that last-click attribution systematically undervalues.</w:t>
      </w:r>
    </w:p>
    <w:p>
      <w:pPr>
        <w:spacing w:before="0" w:after="200"/>
      </w:pPr>
    </w:p>
    <w:p>
      <w:pPr>
        <w:pBdr>
          <w:bottom w:val="single" w:color="E8845C" w:sz="4" w:space="1"/>
        </w:pBdr>
        <w:spacing w:before="160" w:after="160"/>
      </w:pPr>
    </w:p>
    <w:p>
      <w:pPr>
        <w:spacing w:before="200" w:after="80"/>
        <w:jc w:val="center"/>
      </w:pPr>
      <w:r>
        <w:rPr>
          <w:rFonts w:ascii="Arial" w:cs="Arial" w:eastAsia="Arial" w:hAnsi="Arial"/>
          <w:b/>
          <w:bCs/>
          <w:i/>
          <w:iCs/>
          <w:color w:val="E8845C"/>
          <w:sz w:val="24"/>
          <w:szCs w:val="24"/>
        </w:rPr>
        <w:t xml:space="preserve">See everything. Miss nothing.</w:t>
      </w:r>
    </w:p>
    <w:p>
      <w:pPr>
        <w:spacing w:before="0" w:after="0"/>
        <w:jc w:val="center"/>
      </w:pPr>
      <w:r>
        <w:rPr>
          <w:rFonts w:ascii="Arial" w:cs="Arial" w:eastAsia="Arial" w:hAnsi="Arial"/>
          <w:color w:val="888888"/>
          <w:sz w:val="18"/>
          <w:szCs w:val="18"/>
        </w:rPr>
        <w:t xml:space="preserve">donna Intelligence Inc.  ·  donna.app  ·  March 2026</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pBdr>
      <w:tabs>
        <w:tab w:val="right" w:pos="9360"/>
      </w:tabs>
      <w:spacing w:before="80" w:after="0"/>
    </w:pPr>
    <w:r>
      <w:rPr>
        <w:rFonts w:ascii="Arial" w:cs="Arial" w:eastAsia="Arial" w:hAnsi="Arial"/>
        <w:color w:val="888888"/>
        <w:sz w:val="16"/>
        <w:szCs w:val="16"/>
      </w:rPr>
      <w:t xml:space="preserve">Confidential  ·  donna Intelligence Inc.</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pBdr>
      <w:spacing w:before="0" w:after="120"/>
    </w:pPr>
    <w:r>
      <w:rPr>
        <w:rFonts w:ascii="Arial" w:cs="Arial" w:eastAsia="Arial" w:hAnsi="Arial"/>
        <w:b/>
        <w:bCs/>
        <w:i/>
        <w:iCs/>
        <w:color w:val="E8845C"/>
        <w:sz w:val="18"/>
        <w:szCs w:val="18"/>
      </w:rPr>
      <w:t xml:space="preserve">donna</w:t>
    </w:r>
    <w:r>
      <w:rPr>
        <w:rFonts w:ascii="Arial" w:cs="Arial" w:eastAsia="Arial" w:hAnsi="Arial"/>
        <w:color w:val="888888"/>
        <w:sz w:val="18"/>
        <w:szCs w:val="18"/>
      </w:rPr>
      <w:t xml:space="preserve">  ·  Paid Social Strategy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F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1F3A"/>
      <w:sz w:val="28"/>
      <w:szCs w:val="28"/>
    </w:rPr>
  </w:style>
  <w:style w:type="paragraph" w:styleId="Heading2">
    <w:name w:val="Heading 2"/>
    <w:basedOn w:val="Normal"/>
    <w:next w:val="Normal"/>
    <w:qFormat/>
    <w:pPr>
      <w:spacing w:before="320" w:after="120"/>
      <w:outlineLvl w:val="1"/>
    </w:pPr>
    <w:rPr>
      <w:rFonts w:ascii="Arial" w:cs="Arial" w:eastAsia="Arial" w:hAnsi="Arial"/>
      <w:b/>
      <w:bCs/>
      <w:color w:val="1B1F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2026-03-09T18:35:58.872Z</dcterms:created>
  <dcterms:modified xsi:type="dcterms:W3CDTF">2026-03-09T18:35:58.872Z</dcterms:modified>
</cp:coreProperties>
</file>

<file path=docProps/custom.xml><?xml version="1.0" encoding="utf-8"?>
<Properties xmlns="http://schemas.openxmlformats.org/officeDocument/2006/custom-properties" xmlns:vt="http://schemas.openxmlformats.org/officeDocument/2006/docPropsVTypes"/>
</file>