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Residual-Path Auditing and Minimum-Cost Remediation for Biometric Data Erasure</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four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both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These theorems cover the abstract core, not Python semantics, driver correctness, or real topology discovery. The production Python selector is therefore tested separately against an exhaustive oracle.</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233 tests with 90.30% measured coverage in the full CI-equivalent test command,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1"/>
      </w:pPr>
      <w:r>
        <w:t>9. Discussion</w:t>
      </w:r>
    </w:p>
    <w:p>
      <w:pPr>
        <w:keepLines/>
        <w:jc w:val="center"/>
      </w:pPr>
      <w:r>
        <w:drawing>
          <wp:inline xmlns:a="http://schemas.openxmlformats.org/drawingml/2006/main" xmlns:pic="http://schemas.openxmlformats.org/drawingml/2006/picture">
            <wp:extent cx="5577840" cy="3036824"/>
            <wp:docPr id="2" name="Picture 2" descr="Results chart: PCUG has 0 of 75 false COMPLETE verdicts versus 75 of 75 for typed-node; multi-service CDC reaches 17.64-fold speedup and 94.62 percent fewer written bytes."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036824"/>
                    </a:xfrm>
                    <a:prstGeom prst="rect"/>
                  </pic:spPr>
                </pic:pic>
              </a:graphicData>
            </a:graphic>
          </wp:inline>
        </w:drawing>
      </w:r>
    </w:p>
    <w:p>
      <w:pPr>
        <w:pStyle w:val="FigureCaption"/>
        <w:keepNext w:val="0"/>
      </w:pPr>
      <w:r>
        <w:t>Figure 2. Mechanism-stress result and measured multi-service holdout efficiency.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i w:val="0"/>
        </w:rPr>
        <w:t>Model scope.</w:t>
      </w:r>
      <w:r>
        <w:rPr>
          <w:rFonts w:ascii="Calibri" w:hAnsi="Calibri" w:eastAsia="Calibri"/>
          <w:b w:val="0"/>
          <w:i w:val="0"/>
        </w:rPr>
        <w:t xml:space="preserve"> The adaptive face result follows exposed earlier runs. Its six privacy statistics use no shadow models. Deep-model behavior, adaptive shadow-model attacks, sequential deletions, retained-user privacy, and population shift require separate preregistered experiments.</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v0.3.1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scripts/verify_measured_multiservice_v1.py</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A deletion request becomes a typed residual-path problem, completion becomes a conjunction of path closure and positive mandatory evidence, and correction becomes a minimum-cost action problem whose result must survive replay. The abstract guarantees are machine-checked; the optimizer conforms to an exhaustive oracle;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0.3.1, 2026: https://github.com/nazkari86-lab/erasemap.</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Residual-Path Auditing and Minimum-Cost Remediation for Biometric Data Erasure</dc:title>
  <dc:subject>Biometric erasure auditing, PCUG, CDC, and machine unlearning</dc:subject>
  <dc:creator>EraSeMap project — author fields intentionally left for submission</dc:creator>
  <cp:keywords>biometric erasure, machine unlearning, data lineage, verifiable deletion</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