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 xml:space="preserve">Throughout this paper, </w:t>
      </w:r>
      <w:r>
        <w:rPr>
          <w:rFonts w:ascii="Calibri" w:hAnsi="Calibri" w:eastAsia="Calibri"/>
          <w:b/>
          <w:i w:val="0"/>
        </w:rPr>
        <w:t>EraSeMap is one algorithm with five public stages</w:t>
      </w:r>
      <w:r>
        <w:rPr>
          <w:rFonts w:ascii="Calibri" w:hAnsi="Calibri" w:eastAsia="Calibri"/>
          <w:b w:val="0"/>
          <w:i w:val="0"/>
        </w:rPr>
        <w:t>: map, discover,</w:t>
      </w:r>
    </w:p>
    <w:p>
      <w:pPr>
        <w:widowControl/>
      </w:pPr>
      <w:r>
        <w:rPr>
          <w:rFonts w:ascii="Calibri" w:hAnsi="Calibri" w:eastAsia="Calibri"/>
          <w:b w:val="0"/>
          <w:i w:val="0"/>
        </w:rPr>
        <w:t>minimize, verify over time, and certify. PCUG, GhostGraph, CDC, RSE, MSC, and TRE are internal</w:t>
      </w:r>
    </w:p>
    <w:p>
      <w:pPr>
        <w:widowControl/>
      </w:pPr>
      <w:r>
        <w:rPr>
          <w:rFonts w:ascii="Calibri" w:hAnsi="Calibri" w:eastAsia="Calibri"/>
          <w:b w:val="0"/>
          <w:i w:val="0"/>
        </w:rPr>
        <w:t>representations, solvers, and experiment names retained for reproducibility, not separate products</w:t>
      </w:r>
    </w:p>
    <w:p>
      <w:pPr>
        <w:widowControl/>
      </w:pPr>
      <w:r>
        <w:rPr>
          <w:rFonts w:ascii="Calibri" w:hAnsi="Calibri" w:eastAsia="Calibri"/>
          <w:b w:val="0"/>
          <w:i w:val="0"/>
        </w:rPr>
        <w:t>or competing top-level algorithms.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val="0"/>
          <w:i w:val="0"/>
        </w:rPr>
        <w:t xml:space="preserve">GhostGraph adds active topology discovery when the registered recurrence map itself is uncertain. It maintains a finite version space of candidate graphs and selects the next synthetic intervention by an exact minimax partition rule. In the frozen v2 comparison, active minimax used 7 probes, returned 3 exact graph and 2 path-class recoveries, detected the outside-catalogue case, failed closed on missing evidence, and produced no false-confident output, oracle mismatch, recurrence after control, or retained-subject loss. Frozen random required 13 probes and exhaustive nonadaptive testing 49; passive declared lineage and flat tomography each produced one false-confident output. A separate run over digest-pinned Redis, Keycloak, MLflow, and Qdrant used 5 probes across 5 cases with the same safety endpoints. These remain project-authored bounded and local results. An independently signable blind challenge v2 is executable but has status </w:t>
      </w:r>
      <w:r>
        <w:rPr>
          <w:rFonts w:ascii="Menlo" w:hAnsi="Menlo" w:eastAsia="Menlo"/>
          <w:color w:val="173B57"/>
          <w:sz w:val="19"/>
        </w:rPr>
        <w:t>NOT_COLLECTED</w:t>
      </w:r>
      <w:r>
        <w:rPr>
          <w:rFonts w:ascii="Calibri" w:hAnsi="Calibri" w:eastAsia="Calibri"/>
          <w:b w:val="0"/>
          <w:i w:val="0"/>
        </w:rPr>
        <w:t xml:space="preserve"> until an outside evaluator authors and runs it.</w:t>
      </w:r>
    </w:p>
    <w:p>
      <w:pPr>
        <w:widowControl/>
      </w:pPr>
      <w:r>
        <w:rPr>
          <w:rFonts w:ascii="Calibri" w:hAnsi="Calibri" w:eastAsia="Calibri"/>
          <w:b w:val="0"/>
          <w:i w:val="0"/>
        </w:rPr>
        <w:t>GhostGraph-T changes the target from exact graph identity to the complete set of minimum erasure-operation cuts. A separately frozen 300-case benchmark achieved 300/300 correct action-or-OOD decisions, 50/50 held-out-family detections, zero false-confident outputs, and 1.28 mean probes versus 8.0 exhaustive. Exact graph recovery left 170 action-safe irrelevant-topology twins unresolved. Lean checks action-homogeneous stopping soundness and the impossibility of identifying different actions for query-indistinguishable graphs. Global optimization matched a separate recursive oracle but tied one-step minimax and greedy, so adaptive-baseline superiority is not claimed.</w:t>
      </w:r>
    </w:p>
    <w:p>
      <w:pPr>
        <w:widowControl/>
      </w:pPr>
      <w:r>
        <w:rPr>
          <w:rFonts w:ascii="Calibri" w:hAnsi="Calibri" w:eastAsia="Calibri"/>
          <w:b w:val="0"/>
          <w:i w:val="0"/>
        </w:rPr>
        <w:t>A preregistered three-seed NF4 QLoRA study on Qwen2.5-1.5B and TOFU produced a retained negative result. Post-audit accounting is six valid passes, two failures, and one semantically unevaluable perturbed-answer gate. The paired-gradient candidate missed the all-seed forgetting minimum, recovered only 33.8–39.1% of exact-reference forgetting, and failed world-fact utility. EraSeMap therefore kept the model channel incomplete. This is real-model project-operated evidence, not successful approximate unlearning or independent validation.</w:t>
      </w:r>
    </w:p>
    <w:p>
      <w:pPr>
        <w:widowControl/>
      </w:pPr>
      <w:r>
        <w:rPr>
          <w:rFonts w:ascii="Calibri" w:hAnsi="Calibri" w:eastAsia="Calibri"/>
          <w:b w:val="0"/>
          <w:i w:val="0"/>
        </w:rPr>
        <w:t>A separately frozen v2 corrected the evaluator and selected UCSGP only on author-disjoint development deletions. The selected configuration passed development but failed all five confirmation seeds by overscrubbing: normalized exact recovery was 4.957–8.632 against the required 0.8–1.25. It passed 8/12 gates, including at least 30.48x speedup and zero reload recurrence, but failed recovery, paraphrase, retain, and membership matching. This strengthens the falsifiable methodology while remaining a negative method result.</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i w:val="0"/>
        </w:rPr>
        <w:t>Hypothesis H6.</w:t>
      </w:r>
      <w:r>
        <w:rPr>
          <w:rFonts w:ascii="Calibri" w:hAnsi="Calibri" w:eastAsia="Calibri"/>
          <w:b w:val="0"/>
          <w:i w:val="0"/>
        </w:rPr>
        <w:t xml:space="preserve"> Within a frozen finite candidate catalogue, adaptive minimax interventions can recover an exact graph or erasure-relevant path class with fewer probes than frozen random or exhaustive testing while failing closed on missing evidence and outside-catalogue behavior. The null hypothesis is that active selection provides no probe or safety advantage under the same catalogue and evidence contract.</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seven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NumberedItem"/>
      </w:pPr>
      <w:r>
        <w:rPr>
          <w:rFonts w:ascii="Calibri" w:hAnsi="Calibri" w:eastAsia="Calibri"/>
        </w:rPr>
        <w:t xml:space="preserve">7. </w:t>
      </w:r>
      <w:r>
        <w:rPr>
          <w:rFonts w:ascii="Calibri" w:hAnsi="Calibri" w:eastAsia="Calibri"/>
          <w:b w:val="0"/>
          <w:i w:val="0"/>
        </w:rPr>
        <w:t>A GhostGraph layer that actively shrinks a finite topology version space, independently checks each minimax choice against a separate oracle, and exposes a blind signed protocol for future external evaluation.</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one deletion request passes through five mandatory stages and ends in COMPLETE_WITHIN_ENVELOPE, INCOMPLETE, or UNVERIFIED."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One EraSeMap algorithm: map, discover, minimize, verify over time, and certify.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2"/>
      </w:pPr>
      <w:r>
        <w:t>5.4 Erasure-action identifiability</w:t>
      </w:r>
    </w:p>
    <w:p>
      <w:pPr>
        <w:widowControl/>
      </w:pPr>
      <w:r>
        <w:rPr>
          <w:rFonts w:ascii="Calibri" w:hAnsi="Calibri" w:eastAsia="Calibri"/>
          <w:b w:val="0"/>
          <w:i w:val="0"/>
        </w:rPr>
        <w:t xml:space="preserve">Let </w:t>
      </w:r>
      <w:r>
        <w:rPr>
          <w:rFonts w:ascii="Calibri" w:hAnsi="Calibri" w:eastAsia="Calibri"/>
          <w:b/>
          <w:i w:val="0"/>
        </w:rPr>
        <w:t>A(G)</w:t>
      </w:r>
      <w:r>
        <w:rPr>
          <w:rFonts w:ascii="Calibri" w:hAnsi="Calibri" w:eastAsia="Calibri"/>
          <w:b w:val="0"/>
          <w:i w:val="0"/>
        </w:rPr>
        <w:t xml:space="preserve"> be the complete set of minimum-cardinality operation cuts intersecting every represented recovery path in graph </w:t>
      </w:r>
      <w:r>
        <w:rPr>
          <w:rFonts w:ascii="Calibri" w:hAnsi="Calibri" w:eastAsia="Calibri"/>
          <w:b/>
          <w:i w:val="0"/>
        </w:rPr>
        <w:t>G</w:t>
      </w:r>
      <w:r>
        <w:rPr>
          <w:rFonts w:ascii="Calibri" w:hAnsi="Calibri" w:eastAsia="Calibri"/>
          <w:b w:val="0"/>
          <w:i w:val="0"/>
        </w:rPr>
        <w:t xml:space="preserve">. Exact graph identity is unnecessary when all surviving graphs have the same </w:t>
      </w:r>
      <w:r>
        <w:rPr>
          <w:rFonts w:ascii="Calibri" w:hAnsi="Calibri" w:eastAsia="Calibri"/>
          <w:b/>
          <w:i w:val="0"/>
        </w:rPr>
        <w:t>A(G)</w:t>
      </w:r>
      <w:r>
        <w:rPr>
          <w:rFonts w:ascii="Calibri" w:hAnsi="Calibri" w:eastAsia="Calibri"/>
          <w:b w:val="0"/>
          <w:i w:val="0"/>
        </w:rPr>
        <w:t>. Lean proves that, under catalogue closure and sound observations, any member of an action-homogeneous survivor set prescribes the actual listed graph's action. It also proves the finite impossibility boundary: if two listed graphs need different actions but produce the same trace under every allowed query, no policy over those queries can establish action-identifiability.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445 collected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2"/>
      </w:pPr>
      <w:r>
        <w:t>7.10 Layer I: active GhostGraph topology discovery</w:t>
      </w:r>
    </w:p>
    <w:p>
      <w:pPr>
        <w:widowControl/>
      </w:pPr>
      <w:r>
        <w:rPr>
          <w:rFonts w:ascii="Calibri" w:hAnsi="Calibri" w:eastAsia="Calibri"/>
          <w:b w:val="0"/>
          <w:i w:val="0"/>
        </w:rPr>
        <w:t>The v2 protocol freezes five graph hypotheses, six allowed experiments, seven hidden cases, an exact trace model, an evidence contract, and six strategies before reveal. At each step, active minimax partitions the version space by predicted trace and minimizes, in order, the largest remaining bucket, squared bucket sizes, declared cost, and experiment ID. A separately implemented bitmask oracle recomputes each choice. The runner stops with an exact graph, erasure-relevant path class, OUT_OF_HYPOTHESIS, or UNVERIFIED; incomplete evidence never becomes confidence.</w:t>
      </w:r>
    </w:p>
    <w:p>
      <w:pPr>
        <w:widowControl/>
      </w:pPr>
      <w:r>
        <w:rPr>
          <w:rFonts w:ascii="Calibri" w:hAnsi="Calibri" w:eastAsia="Calibri"/>
          <w:b w:val="0"/>
          <w:i w:val="0"/>
        </w:rPr>
        <w:t>The live transfer freezes four digest-pinned stock services—Redis, Keycloak, MLflow, and Qdrant—and executes native API observations using isolated synthetic commitments. Five cases cover direct recurrence, multi-hop recurrence, an outside-catalogue graph, a path-equivalent graph, and a safe graph. The external v2 protocol removes pre-disclosed traces: the project receives case IDs and evidence flags, sends one adaptively selected experiment to an evaluator-controlled adapter, and receives only its trace. After reveal, verification recomputes every trace, version space, planner/oracle choice, source hash, commitment, and Ed25519 signature. No external submission is currently claimed.</w:t>
      </w:r>
    </w:p>
    <w:p>
      <w:pPr>
        <w:pStyle w:val="Heading2"/>
      </w:pPr>
      <w:r>
        <w:t>7.11 Layer J: GhostGraph-T action identification</w:t>
      </w:r>
    </w:p>
    <w:p>
      <w:pPr>
        <w:widowControl/>
      </w:pPr>
      <w:r>
        <w:rPr>
          <w:rFonts w:ascii="Calibri" w:hAnsi="Calibri" w:eastAsia="Calibri"/>
          <w:b w:val="0"/>
          <w:i w:val="0"/>
        </w:rPr>
        <w:t xml:space="preserve">The v1 protocol and core were committed before the first result. It freezes 120 instance-held-out, 80 composition-held-out, 50 family-held-out, and 50 temporal-shift cases; eight strategies; source and case-manifest hashes; Wilson intervals; and seven success gates. A held-out family is evaluated only for </w:t>
      </w:r>
      <w:r>
        <w:rPr>
          <w:rFonts w:ascii="Menlo" w:hAnsi="Menlo" w:eastAsia="Menlo"/>
          <w:color w:val="173B57"/>
          <w:sz w:val="19"/>
        </w:rPr>
        <w:t>OUT_OF_HYPOTHESIS</w:t>
      </w:r>
      <w:r>
        <w:rPr>
          <w:rFonts w:ascii="Calibri" w:hAnsi="Calibri" w:eastAsia="Calibri"/>
          <w:b w:val="0"/>
          <w:i w:val="0"/>
        </w:rPr>
        <w:t>, never for impossible post-hoc localization. The exact global policy minimizes worst-case declared cost over the full finite decision tree and is checked against a separately structured recursive oracle.</w:t>
      </w:r>
    </w:p>
    <w:p>
      <w:pPr>
        <w:pStyle w:val="Heading2"/>
      </w:pPr>
      <w:r>
        <w:t>7.12 Layer K: real Qwen–TOFU model channel</w:t>
      </w:r>
    </w:p>
    <w:p>
      <w:pPr>
        <w:widowControl/>
      </w:pPr>
      <w:r>
        <w:rPr>
          <w:rFonts w:ascii="Calibri" w:hAnsi="Calibri" w:eastAsia="Calibri"/>
          <w:b w:val="0"/>
          <w:i w:val="0"/>
        </w:rPr>
        <w:t xml:space="preserve">Before the first valid GPU run, the protocol froze a pinned Qwen2.5-1.5B base, TOFU revision, three seeds, NF4 QLoRA configuration, target/exact/candidate procedures, six evaluation sets, nine conjunctive gates, and artifact hashes. The exact reference retrains an adapter on </w:t>
      </w:r>
      <w:r>
        <w:rPr>
          <w:rFonts w:ascii="Menlo" w:hAnsi="Menlo" w:eastAsia="Menlo"/>
          <w:color w:val="173B57"/>
          <w:sz w:val="19"/>
        </w:rPr>
        <w:t>retain99</w:t>
      </w:r>
      <w:r>
        <w:rPr>
          <w:rFonts w:ascii="Calibri" w:hAnsi="Calibri" w:eastAsia="Calibri"/>
          <w:b w:val="0"/>
          <w:i w:val="0"/>
        </w:rPr>
        <w:t>; it does not alter Qwen pretraining. Offline verification recomputes per-example losses, membership AUC, reload recurrence, all gates, and the decision from downloaded arrays.</w:t>
      </w:r>
    </w:p>
    <w:p>
      <w:pPr>
        <w:pStyle w:val="Heading2"/>
      </w:pPr>
      <w:r>
        <w:t>7.13 Qwen–TOFU v2 correction and author-disjoint confirmation</w:t>
      </w:r>
    </w:p>
    <w:p>
      <w:pPr>
        <w:widowControl/>
      </w:pPr>
      <w:r>
        <w:rPr>
          <w:rFonts w:ascii="Calibri" w:hAnsi="Calibri" w:eastAsia="Calibri"/>
          <w:b w:val="0"/>
          <w:i w:val="0"/>
        </w:rPr>
        <w:t xml:space="preserve">After the v1 result, a semantic audit found that the perturbed split had been read through its ordinary </w:t>
      </w:r>
      <w:r>
        <w:rPr>
          <w:rFonts w:ascii="Menlo" w:hAnsi="Menlo" w:eastAsia="Menlo"/>
          <w:color w:val="173B57"/>
          <w:sz w:val="19"/>
        </w:rPr>
        <w:t>answer</w:t>
      </w:r>
      <w:r>
        <w:rPr>
          <w:rFonts w:ascii="Calibri" w:hAnsi="Calibri" w:eastAsia="Calibri"/>
          <w:b w:val="0"/>
          <w:i w:val="0"/>
        </w:rPr>
        <w:t xml:space="preserve"> field. The separate v2 protocol correctly evaluates paraphrased and five false answers. Six declared UCSGP configurations were selected using only </w:t>
      </w:r>
      <w:r>
        <w:rPr>
          <w:rFonts w:ascii="Menlo" w:hAnsi="Menlo" w:eastAsia="Menlo"/>
          <w:color w:val="173B57"/>
          <w:sz w:val="19"/>
        </w:rPr>
        <w:t>forget05</w:t>
      </w:r>
      <w:r>
        <w:rPr>
          <w:rFonts w:ascii="Calibri" w:hAnsi="Calibri" w:eastAsia="Calibri"/>
          <w:b w:val="0"/>
          <w:i w:val="0"/>
        </w:rPr>
        <w:t xml:space="preserve"> rows outside </w:t>
      </w:r>
      <w:r>
        <w:rPr>
          <w:rFonts w:ascii="Menlo" w:hAnsi="Menlo" w:eastAsia="Menlo"/>
          <w:color w:val="173B57"/>
          <w:sz w:val="19"/>
        </w:rPr>
        <w:t>forget01</w:t>
      </w:r>
      <w:r>
        <w:rPr>
          <w:rFonts w:ascii="Calibri" w:hAnsi="Calibri" w:eastAsia="Calibri"/>
          <w:b w:val="0"/>
          <w:i w:val="0"/>
        </w:rPr>
        <w:t xml:space="preserve">, </w:t>
      </w:r>
      <w:r>
        <w:rPr>
          <w:rFonts w:ascii="Menlo" w:hAnsi="Menlo" w:eastAsia="Menlo"/>
          <w:color w:val="173B57"/>
          <w:sz w:val="19"/>
        </w:rPr>
        <w:t>retain95</w:t>
      </w:r>
      <w:r>
        <w:rPr>
          <w:rFonts w:ascii="Calibri" w:hAnsi="Calibri" w:eastAsia="Calibri"/>
          <w:b w:val="0"/>
          <w:i w:val="0"/>
        </w:rPr>
        <w:t xml:space="preserve"> utility rows that exclude all reserved authors, and two development seeds. The chosen configuration was then locked for five untouched confirmation seeds. Its primary endpoint is normalized exact-retraining recovery, with a required per-seed interval of 0.8–1.25, plus retained, real-author, world-fact, truth-margin, membership-proxy, speed, and reload gates. Offline verification binds the source commit, protocol digest, raw arrays, adapter hashes, development selection, seed lists, recomputed aggregates, and decision.</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2"/>
      </w:pPr>
      <w:r>
        <w:t>8.9 GhostGraph active discovery</w:t>
      </w:r>
    </w:p>
    <w:p>
      <w:pPr>
        <w:widowControl/>
      </w:pPr>
      <w:r>
        <w:rPr>
          <w:rFonts w:ascii="Calibri" w:hAnsi="Calibri" w:eastAsia="Calibri"/>
          <w:b w:val="0"/>
          <w:i w:val="0"/>
        </w:rPr>
        <w:t xml:space="preserve">The frozen v2 run passed every gate. Active minimax required </w:t>
      </w:r>
      <w:r>
        <w:rPr>
          <w:rFonts w:ascii="Calibri" w:hAnsi="Calibri" w:eastAsia="Calibri"/>
          <w:b/>
          <w:i w:val="0"/>
        </w:rPr>
        <w:t>7</w:t>
      </w:r>
      <w:r>
        <w:rPr>
          <w:rFonts w:ascii="Calibri" w:hAnsi="Calibri" w:eastAsia="Calibri"/>
          <w:b w:val="0"/>
          <w:i w:val="0"/>
        </w:rPr>
        <w:t xml:space="preserve"> probes across seven cases, achieved </w:t>
      </w:r>
      <w:r>
        <w:rPr>
          <w:rFonts w:ascii="Calibri" w:hAnsi="Calibri" w:eastAsia="Calibri"/>
          <w:b/>
          <w:i w:val="0"/>
        </w:rPr>
        <w:t>3</w:t>
      </w:r>
      <w:r>
        <w:rPr>
          <w:rFonts w:ascii="Calibri" w:hAnsi="Calibri" w:eastAsia="Calibri"/>
          <w:b w:val="0"/>
          <w:i w:val="0"/>
        </w:rPr>
        <w:t xml:space="preserve"> exact graph and </w:t>
      </w:r>
      <w:r>
        <w:rPr>
          <w:rFonts w:ascii="Calibri" w:hAnsi="Calibri" w:eastAsia="Calibri"/>
          <w:b/>
          <w:i w:val="0"/>
        </w:rPr>
        <w:t>2</w:t>
      </w:r>
      <w:r>
        <w:rPr>
          <w:rFonts w:ascii="Calibri" w:hAnsi="Calibri" w:eastAsia="Calibri"/>
          <w:b w:val="0"/>
          <w:i w:val="0"/>
        </w:rPr>
        <w:t xml:space="preserve"> path-class recoveries, detected </w:t>
      </w:r>
      <w:r>
        <w:rPr>
          <w:rFonts w:ascii="Calibri" w:hAnsi="Calibri" w:eastAsia="Calibri"/>
          <w:b/>
          <w:i w:val="0"/>
        </w:rPr>
        <w:t>1/1</w:t>
      </w:r>
      <w:r>
        <w:rPr>
          <w:rFonts w:ascii="Calibri" w:hAnsi="Calibri" w:eastAsia="Calibri"/>
          <w:b w:val="0"/>
          <w:i w:val="0"/>
        </w:rPr>
        <w:t xml:space="preserve"> outside-catalogue case, returned UNVERIFIED for missing evidence, and recorded zero false confidence, planner/oracle mismatch, post-control recurrence, or retained-subject loss. Frozen random required </w:t>
      </w:r>
      <w:r>
        <w:rPr>
          <w:rFonts w:ascii="Calibri" w:hAnsi="Calibri" w:eastAsia="Calibri"/>
          <w:b/>
          <w:i w:val="0"/>
        </w:rPr>
        <w:t>13</w:t>
      </w:r>
      <w:r>
        <w:rPr>
          <w:rFonts w:ascii="Calibri" w:hAnsi="Calibri" w:eastAsia="Calibri"/>
          <w:b w:val="0"/>
          <w:i w:val="0"/>
        </w:rPr>
        <w:t xml:space="preserve"> probes for the same endpoints; nonadaptive exhaustive testing required </w:t>
      </w:r>
      <w:r>
        <w:rPr>
          <w:rFonts w:ascii="Calibri" w:hAnsi="Calibri" w:eastAsia="Calibri"/>
          <w:b/>
          <w:i w:val="0"/>
        </w:rPr>
        <w:t>49</w:t>
      </w:r>
      <w:r>
        <w:rPr>
          <w:rFonts w:ascii="Calibri" w:hAnsi="Calibri" w:eastAsia="Calibri"/>
          <w:b w:val="0"/>
          <w:i w:val="0"/>
        </w:rPr>
        <w:t xml:space="preserve">. Greedy separated-pairs tied active minimax at 7 probes in this small catalogue, so global query optimality is not claimed. Passive declared lineage and flat tomography each produced </w:t>
      </w:r>
      <w:r>
        <w:rPr>
          <w:rFonts w:ascii="Calibri" w:hAnsi="Calibri" w:eastAsia="Calibri"/>
          <w:b/>
          <w:i w:val="0"/>
        </w:rPr>
        <w:t>1</w:t>
      </w:r>
      <w:r>
        <w:rPr>
          <w:rFonts w:ascii="Calibri" w:hAnsi="Calibri" w:eastAsia="Calibri"/>
          <w:b w:val="0"/>
          <w:i w:val="0"/>
        </w:rPr>
        <w:t xml:space="preserve"> false-confident output; flat tomography also missed the outside-catalogue case.</w:t>
      </w:r>
    </w:p>
    <w:p>
      <w:pPr>
        <w:widowControl/>
      </w:pPr>
      <w:r>
        <w:rPr>
          <w:rFonts w:ascii="Calibri" w:hAnsi="Calibri" w:eastAsia="Calibri"/>
          <w:b w:val="0"/>
          <w:i w:val="0"/>
        </w:rPr>
        <w:t xml:space="preserve">The digest-pinned four-service run used </w:t>
      </w:r>
      <w:r>
        <w:rPr>
          <w:rFonts w:ascii="Calibri" w:hAnsi="Calibri" w:eastAsia="Calibri"/>
          <w:b/>
          <w:i w:val="0"/>
        </w:rPr>
        <w:t>5</w:t>
      </w:r>
      <w:r>
        <w:rPr>
          <w:rFonts w:ascii="Calibri" w:hAnsi="Calibri" w:eastAsia="Calibri"/>
          <w:b w:val="0"/>
          <w:i w:val="0"/>
        </w:rPr>
        <w:t xml:space="preserve"> probes across five cases, recovered three exact-or-path-class cases, detected the outside-catalogue case, recognized the safe case, and recorded zero false confidence, mismatch, recurrence, retained loss, or cleanup failure. This is stronger transfer evidence than an in-memory simulator but remains a project-operated local test. The external blind protocol is technically complete and adversarially tested, but its evidence status remains </w:t>
      </w:r>
      <w:r>
        <w:rPr>
          <w:rFonts w:ascii="Calibri" w:hAnsi="Calibri" w:eastAsia="Calibri"/>
          <w:b/>
          <w:i w:val="0"/>
        </w:rPr>
        <w:t>NOT_COLLECTED</w:t>
      </w:r>
      <w:r>
        <w:rPr>
          <w:rFonts w:ascii="Calibri" w:hAnsi="Calibri" w:eastAsia="Calibri"/>
          <w:b w:val="0"/>
          <w:i w:val="0"/>
        </w:rPr>
        <w:t>.</w:t>
      </w:r>
    </w:p>
    <w:p>
      <w:pPr>
        <w:pStyle w:val="Heading2"/>
      </w:pPr>
      <w:r>
        <w:t>8.10 GhostGraph-T action identification</w:t>
      </w:r>
    </w:p>
    <w:p>
      <w:pPr>
        <w:widowControl/>
      </w:pPr>
      <w:r>
        <w:rPr>
          <w:rFonts w:ascii="Calibri" w:hAnsi="Calibri" w:eastAsia="Calibri"/>
          <w:b w:val="0"/>
          <w:i w:val="0"/>
        </w:rPr>
        <w:t xml:space="preserve">The first locked run passed all frozen gates: </w:t>
      </w:r>
      <w:r>
        <w:rPr>
          <w:rFonts w:ascii="Calibri" w:hAnsi="Calibri" w:eastAsia="Calibri"/>
          <w:b/>
          <w:i w:val="0"/>
        </w:rPr>
        <w:t>300/300</w:t>
      </w:r>
      <w:r>
        <w:rPr>
          <w:rFonts w:ascii="Calibri" w:hAnsi="Calibri" w:eastAsia="Calibri"/>
          <w:b w:val="0"/>
          <w:i w:val="0"/>
        </w:rPr>
        <w:t xml:space="preserve"> correct action-or-OOD decisions, </w:t>
      </w:r>
      <w:r>
        <w:rPr>
          <w:rFonts w:ascii="Calibri" w:hAnsi="Calibri" w:eastAsia="Calibri"/>
          <w:b/>
          <w:i w:val="0"/>
        </w:rPr>
        <w:t>50/50</w:t>
      </w:r>
      <w:r>
        <w:rPr>
          <w:rFonts w:ascii="Calibri" w:hAnsi="Calibri" w:eastAsia="Calibri"/>
          <w:b w:val="0"/>
          <w:i w:val="0"/>
        </w:rPr>
        <w:t xml:space="preserve"> held-out-family detections, zero false-confident outputs (Wilson 95% upper bound 0.01265), and zero global-policy/oracle mismatches. The global policy used 1.28 mean probes at declared cost 8.84, compared with 8.0 probes and cost 28.0 for exhaustive testing. Exact-graph minimax resolved only 130/300 and returned UNVERIFIED for 170 irrelevant-topology twins; sink-only observation left 41 temporal cases unresolved; passive lineage produced 265 false-confident actions.</w:t>
      </w:r>
    </w:p>
    <w:p>
      <w:pPr>
        <w:widowControl/>
      </w:pPr>
      <w:r>
        <w:rPr>
          <w:rFonts w:ascii="Calibri" w:hAnsi="Calibri" w:eastAsia="Calibri"/>
          <w:b w:val="0"/>
          <w:i w:val="0"/>
        </w:rPr>
        <w:t>Global, one-step minimax, and greedy all achieved the same correctness, probes, and cost. This is a negative result against a superiority claim: the experiment supports action-equivalence stopping and bounded OOD rejection, not empirical dominance over the strongest adaptive baseline.</w:t>
      </w:r>
    </w:p>
    <w:p>
      <w:pPr>
        <w:pStyle w:val="Heading2"/>
      </w:pPr>
      <w:r>
        <w:t>8.11 Qwen–TOFU model-channel result</w:t>
      </w:r>
    </w:p>
    <w:p>
      <w:pPr>
        <w:widowControl/>
      </w:pPr>
      <w:r>
        <w:rPr>
          <w:rFonts w:ascii="Calibri" w:hAnsi="Calibri" w:eastAsia="Calibri"/>
          <w:b w:val="0"/>
          <w:i w:val="0"/>
        </w:rPr>
        <w:t xml:space="preserve">The first valid Tesla P100 run completed all three frozen seeds and returned </w:t>
      </w:r>
      <w:r>
        <w:rPr>
          <w:rFonts w:ascii="Calibri" w:hAnsi="Calibri" w:eastAsia="Calibri"/>
          <w:b/>
          <w:i w:val="0"/>
        </w:rPr>
        <w:t>FAIL</w:t>
      </w:r>
      <w:r>
        <w:rPr>
          <w:rFonts w:ascii="Calibri" w:hAnsi="Calibri" w:eastAsia="Calibri"/>
          <w:b w:val="0"/>
          <w:i w:val="0"/>
        </w:rPr>
        <w:t xml:space="preserve">. The original verifier reported seven of nine gates passed, but a later semantic audit found that the perturbed split was evaluated through its ordinary </w:t>
      </w:r>
      <w:r>
        <w:rPr>
          <w:rFonts w:ascii="Menlo" w:hAnsi="Menlo" w:eastAsia="Menlo"/>
          <w:color w:val="173B57"/>
          <w:sz w:val="19"/>
        </w:rPr>
        <w:t>answer</w:t>
      </w:r>
      <w:r>
        <w:rPr>
          <w:rFonts w:ascii="Calibri" w:hAnsi="Calibri" w:eastAsia="Calibri"/>
          <w:b w:val="0"/>
          <w:i w:val="0"/>
        </w:rPr>
        <w:t xml:space="preserve"> field. The corrected accounting is six valid passes, two failures, and one unevaluable gate. Minimum target memorization gain was 0.59827 and minimum exact forgetting lift was 0.14026. The candidate recovered 33.8–39.1% of exact-reference forgetting, stayed close on retained NLL (0.00920) and membership AUC (0.05750), and had zero save/reload recurrence.</w:t>
      </w:r>
    </w:p>
    <w:p>
      <w:pPr>
        <w:widowControl/>
      </w:pPr>
      <w:r>
        <w:rPr>
          <w:rFonts w:ascii="Calibri" w:hAnsi="Calibri" w:eastAsia="Calibri"/>
          <w:b w:val="0"/>
          <w:i w:val="0"/>
        </w:rPr>
        <w:t xml:space="preserve">However, minimum candidate forgetting lift was </w:t>
      </w:r>
      <w:r>
        <w:rPr>
          <w:rFonts w:ascii="Calibri" w:hAnsi="Calibri" w:eastAsia="Calibri"/>
          <w:b/>
          <w:i w:val="0"/>
        </w:rPr>
        <w:t>0.04837</w:t>
      </w:r>
      <w:r>
        <w:rPr>
          <w:rFonts w:ascii="Calibri" w:hAnsi="Calibri" w:eastAsia="Calibri"/>
          <w:b w:val="0"/>
          <w:i w:val="0"/>
        </w:rPr>
        <w:t xml:space="preserve">, below the frozen 0.05 gate, and maximum world-fact NLL degradation was </w:t>
      </w:r>
      <w:r>
        <w:rPr>
          <w:rFonts w:ascii="Calibri" w:hAnsi="Calibri" w:eastAsia="Calibri"/>
          <w:b/>
          <w:i w:val="0"/>
        </w:rPr>
        <w:t>0.45300</w:t>
      </w:r>
      <w:r>
        <w:rPr>
          <w:rFonts w:ascii="Calibri" w:hAnsi="Calibri" w:eastAsia="Calibri"/>
          <w:b w:val="0"/>
          <w:i w:val="0"/>
        </w:rPr>
        <w:t>, above the 0.20 gate; two of three seeds failed the utility endpoint. The result falsifies the v1 candidate's conjunctive success claim while demonstrating that EraSeMap does not convert partial metric agreement into completion.</w:t>
      </w:r>
    </w:p>
    <w:p>
      <w:pPr>
        <w:widowControl/>
      </w:pPr>
      <w:r>
        <w:rPr>
          <w:rFonts w:ascii="Calibri" w:hAnsi="Calibri" w:eastAsia="Calibri"/>
          <w:b w:val="0"/>
          <w:i w:val="0"/>
        </w:rPr>
        <w:t xml:space="preserve">The first scientifically valid v2 run also returned </w:t>
      </w:r>
      <w:r>
        <w:rPr>
          <w:rFonts w:ascii="Calibri" w:hAnsi="Calibri" w:eastAsia="Calibri"/>
          <w:b/>
          <w:i w:val="0"/>
        </w:rPr>
        <w:t>FAIL</w:t>
      </w:r>
      <w:r>
        <w:rPr>
          <w:rFonts w:ascii="Calibri" w:hAnsi="Calibri" w:eastAsia="Calibri"/>
          <w:b w:val="0"/>
          <w:i w:val="0"/>
        </w:rPr>
        <w:t xml:space="preserve">. Development selected </w:t>
      </w:r>
      <w:r>
        <w:rPr>
          <w:rFonts w:ascii="Menlo" w:hAnsi="Menlo" w:eastAsia="Menlo"/>
          <w:color w:val="173B57"/>
          <w:sz w:val="19"/>
        </w:rPr>
        <w:t>ucsgp-f035-a025</w:t>
      </w:r>
      <w:r>
        <w:rPr>
          <w:rFonts w:ascii="Calibri" w:hAnsi="Calibri" w:eastAsia="Calibri"/>
          <w:b w:val="0"/>
          <w:i w:val="0"/>
        </w:rPr>
        <w:t xml:space="preserve">, which passed all gates on two development seeds with normalized recovery 0.806–1.089. Without further tuning, five author-disjoint confirmation seeds produced recovery </w:t>
      </w:r>
      <w:r>
        <w:rPr>
          <w:rFonts w:ascii="Calibri" w:hAnsi="Calibri" w:eastAsia="Calibri"/>
          <w:b/>
          <w:i w:val="0"/>
        </w:rPr>
        <w:t>4.957–8.632</w:t>
      </w:r>
      <w:r>
        <w:rPr>
          <w:rFonts w:ascii="Calibri" w:hAnsi="Calibri" w:eastAsia="Calibri"/>
          <w:b w:val="0"/>
          <w:i w:val="0"/>
        </w:rPr>
        <w:t>, exceeding the frozen 1.25 upper bound on every seed. Maximum candidate/exact gaps were 0.85111 for paraphrase NLL, 0.18609 for retain NLL, and 0.41250 for membership AUC, against limits 0.20, 0.15, and 0.10. Truth-margin, world-fact, real-author, speed, and reload gates passed; minimum speedup was 30.48x and recurrence was zero. Overall, 8/12 gates passed. The same-environment v1 baseline under-forgot at 28.4–36.9% normalized recovery. Thus v2 identifies a real transfer trade-off—baseline under-forgetting versus UCSGP overscrubbing—rather than a successful approximate-unlearning method.</w:t>
      </w:r>
    </w:p>
    <w:p>
      <w:pPr>
        <w:pStyle w:val="Heading1"/>
      </w:pPr>
      <w:r>
        <w:t>9. Discussion</w:t>
      </w:r>
    </w:p>
    <w:p>
      <w:pPr>
        <w:keepLines/>
        <w:jc w:val="center"/>
      </w:pPr>
      <w:r>
        <w:drawing>
          <wp:inline xmlns:a="http://schemas.openxmlformats.org/drawingml/2006/main" xmlns:pic="http://schemas.openxmlformats.org/drawingml/2006/picture">
            <wp:extent cx="5577840" cy="4679188"/>
            <wp:docPr id="2" name="Picture 2" descr="Results chart: EraSeMap has 0 of 75 false COMPLETE verdicts versus 75 of 75 for typed-node; it is 17.64 times faster than rebuild-all with 94.62 percent fewer written bytes; its temporal stage detects 30 of 30 risks without recurrence; active discovery uses 7 probes versus 13 random and 49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679188"/>
                    </a:xfrm>
                    <a:prstGeom prst="rect"/>
                  </pic:spPr>
                </pic:pic>
              </a:graphicData>
            </a:graphic>
          </wp:inline>
        </w:drawing>
      </w:r>
    </w:p>
    <w:p>
      <w:pPr>
        <w:pStyle w:val="FigureCaption"/>
        <w:keepNext w:val="0"/>
      </w:pPr>
      <w:r>
        <w:t>Figure 2. Four measured properties of the unified EraSeMap algorithm: safety, efficiency, temporal verification, and active discovery.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GhostGraph addresses how to reduce a declared topology uncertainty envelope before repair. Its value is not a promise to discover arbitrary hidden infrastructure; it makes every intervention, version-space reduction, stopping decision, and outside-catalogue failure inspectable. The greedy tie shows that the present catalogue is too small to establish a universal adaptive advantage, while the false-confidence failures show why passive declarations and closed-catalogue localization require explicit fail-closed checks.</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Active-discovery scope.</w:t>
      </w:r>
      <w:r>
        <w:rPr>
          <w:rFonts w:ascii="Calibri" w:hAnsi="Calibri" w:eastAsia="Calibri"/>
          <w:b w:val="0"/>
          <w:i w:val="0"/>
        </w:rPr>
        <w:t xml:space="preserve"> GhostGraph uses finite project-authored catalogues, deterministic traces, and declared experiment costs. GhostGraph-T adds an exact global finite policy and an action-identifiability theorem, but the first 300 cases still tied one-step minimax and greedy. The live services are real processes, while hidden graphs and orchestration remain internal. The external blind challenge is protocol-ready but not independently authored or executed.</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python scripts/verify_ghostgraph_v2.py</w:t>
      </w:r>
    </w:p>
    <w:p>
      <w:pPr>
        <w:pStyle w:val="CodeBlock"/>
      </w:pPr>
      <w:r>
        <w:t>python scripts/verify_ghostgraph_live_v2.py</w:t>
      </w:r>
    </w:p>
    <w:p>
      <w:pPr>
        <w:pStyle w:val="CodeBlock"/>
      </w:pPr>
      <w:r>
        <w:t>python scripts/verify_ghostgraph_t_v1.py</w:t>
      </w:r>
    </w:p>
    <w:p>
      <w:pPr>
        <w:pStyle w:val="CodeBlock"/>
      </w:pPr>
      <w:r>
        <w:t>python -m external_ghostgraph_challenge.verify_v2</w:t>
      </w:r>
    </w:p>
    <w:p>
      <w:pPr>
        <w:pStyle w:val="CodeBlock"/>
      </w:pPr>
      <w:r>
        <w:t>PYTHONPATH=src:. python scripts/verify_qwen_tofu_kaggle_v2.py</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finite version-space discovery of deletion-regeneration topology</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identification of an erasure-action equivalence class with bounded OOD rejection</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 actively reduces topology uncertainty</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probes; 3 exact + 2 path-class; OUT and UNVERIFIED detected; live 5/5 cases with zero false confidence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Finite project-authored catalogue; greedy tied; external blind run is </w:t>
            </w:r>
            <w:r>
              <w:rPr>
                <w:rFonts w:ascii="Calibri" w:hAnsi="Calibri" w:eastAsia="Calibri"/>
                <w:color w:val="173B57"/>
                <w:sz w:val="18"/>
              </w:rPr>
              <w:t>NOT_COLLECTED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 identifies sufficient erasure actions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300/300 action-or-OOD; 50/50 family OOD; 0 false confidence; exact policy matches oracle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deterministic grammar; adaptive baselines tied; no open-world or independent claim</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Unified proof-carrying and regeneration-safe biometric erasure auditing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