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val="0"/>
          <w:i w:val="0"/>
        </w:rPr>
        <w:t>GhostGraph-T changes the target from exact graph identity to the complete set of minimum erasure-operation cuts. A separately frozen 300-case benchmark achieved 300/300 correct action-or-OOD decisions, 50/50 held-out-family detections, zero false-confident outputs, and 1.28 mean probes versus 8.0 exhaustive. Exact graph recovery left 170 action-safe irrelevant-topology twins unresolved. Lean checks action-homogeneous stopping soundness and the impossibility of identifying different actions for query-indistinguishable graphs. Global optimization matched a separate recursive oracle but tied one-step minimax and greedy, so adaptive-baseline superiority is not claimed.</w:t>
      </w:r>
    </w:p>
    <w:p>
      <w:pPr>
        <w:widowControl/>
      </w:pPr>
      <w:r>
        <w:rPr>
          <w:rFonts w:ascii="Calibri" w:hAnsi="Calibri" w:eastAsia="Calibri"/>
          <w:b w:val="0"/>
          <w:i w:val="0"/>
        </w:rPr>
        <w:t>A preregistered three-seed NF4 QLoRA study on Qwen2.5-1.5B and TOFU produced a retained negative result. The paired-gradient candidate passed seven of nine gates but missed the all-seed forgetting minimum and failed world-fact utility, while exact adapter retraining passed its forgetting gate. EraSeMap therefore kept the model channel incomplete. This is real-model project-operated evidence, not successful approximate unlearning or independent validation.</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2"/>
      </w:pPr>
      <w:r>
        <w:t>5.4 Erasure-action identifiability</w:t>
      </w:r>
    </w:p>
    <w:p>
      <w:pPr>
        <w:widowControl/>
      </w:pPr>
      <w:r>
        <w:rPr>
          <w:rFonts w:ascii="Calibri" w:hAnsi="Calibri" w:eastAsia="Calibri"/>
          <w:b w:val="0"/>
          <w:i w:val="0"/>
        </w:rPr>
        <w:t xml:space="preserve">Let </w:t>
      </w:r>
      <w:r>
        <w:rPr>
          <w:rFonts w:ascii="Calibri" w:hAnsi="Calibri" w:eastAsia="Calibri"/>
          <w:b/>
          <w:i w:val="0"/>
        </w:rPr>
        <w:t>A(G)</w:t>
      </w:r>
      <w:r>
        <w:rPr>
          <w:rFonts w:ascii="Calibri" w:hAnsi="Calibri" w:eastAsia="Calibri"/>
          <w:b w:val="0"/>
          <w:i w:val="0"/>
        </w:rPr>
        <w:t xml:space="preserve"> be the complete set of minimum-cardinality operation cuts intersecting every represented recovery path in graph </w:t>
      </w:r>
      <w:r>
        <w:rPr>
          <w:rFonts w:ascii="Calibri" w:hAnsi="Calibri" w:eastAsia="Calibri"/>
          <w:b/>
          <w:i w:val="0"/>
        </w:rPr>
        <w:t>G</w:t>
      </w:r>
      <w:r>
        <w:rPr>
          <w:rFonts w:ascii="Calibri" w:hAnsi="Calibri" w:eastAsia="Calibri"/>
          <w:b w:val="0"/>
          <w:i w:val="0"/>
        </w:rPr>
        <w:t xml:space="preserve">. Exact graph identity is unnecessary when all surviving graphs have the same </w:t>
      </w:r>
      <w:r>
        <w:rPr>
          <w:rFonts w:ascii="Calibri" w:hAnsi="Calibri" w:eastAsia="Calibri"/>
          <w:b/>
          <w:i w:val="0"/>
        </w:rPr>
        <w:t>A(G)</w:t>
      </w:r>
      <w:r>
        <w:rPr>
          <w:rFonts w:ascii="Calibri" w:hAnsi="Calibri" w:eastAsia="Calibri"/>
          <w:b w:val="0"/>
          <w:i w:val="0"/>
        </w:rPr>
        <w:t>. Lean proves that, under catalogue closure and sound observations, any member of an action-homogeneous survivor set prescribes the actual listed graph's action. It also proves the finite impossibility boundary: if two listed graphs need different actions but produce the same trace under every allowed query, no policy over those queries can establish action-identifiability.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445 collected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2"/>
      </w:pPr>
      <w:r>
        <w:t>7.11 Layer J: GhostGraph-T action identification</w:t>
      </w:r>
    </w:p>
    <w:p>
      <w:pPr>
        <w:widowControl/>
      </w:pPr>
      <w:r>
        <w:rPr>
          <w:rFonts w:ascii="Calibri" w:hAnsi="Calibri" w:eastAsia="Calibri"/>
          <w:b w:val="0"/>
          <w:i w:val="0"/>
        </w:rPr>
        <w:t xml:space="preserve">The v1 protocol and core were committed before the first result. It freezes 120 instance-held-out, 80 composition-held-out, 50 family-held-out, and 50 temporal-shift cases; eight strategies; source and case-manifest hashes; Wilson intervals; and seven success gates. A held-out family is evaluated only for </w:t>
      </w:r>
      <w:r>
        <w:rPr>
          <w:rFonts w:ascii="Menlo" w:hAnsi="Menlo" w:eastAsia="Menlo"/>
          <w:color w:val="173B57"/>
          <w:sz w:val="19"/>
        </w:rPr>
        <w:t>OUT_OF_HYPOTHESIS</w:t>
      </w:r>
      <w:r>
        <w:rPr>
          <w:rFonts w:ascii="Calibri" w:hAnsi="Calibri" w:eastAsia="Calibri"/>
          <w:b w:val="0"/>
          <w:i w:val="0"/>
        </w:rPr>
        <w:t>, never for impossible post-hoc localization. The exact global policy minimizes worst-case declared cost over the full finite decision tree and is checked against a separately structured recursive oracle.</w:t>
      </w:r>
    </w:p>
    <w:p>
      <w:pPr>
        <w:pStyle w:val="Heading2"/>
      </w:pPr>
      <w:r>
        <w:t>7.12 Layer K: real Qwen–TOFU model channel</w:t>
      </w:r>
    </w:p>
    <w:p>
      <w:pPr>
        <w:widowControl/>
      </w:pPr>
      <w:r>
        <w:rPr>
          <w:rFonts w:ascii="Calibri" w:hAnsi="Calibri" w:eastAsia="Calibri"/>
          <w:b w:val="0"/>
          <w:i w:val="0"/>
        </w:rPr>
        <w:t xml:space="preserve">Before the first valid GPU run, the protocol froze a pinned Qwen2.5-1.5B base, TOFU revision, three seeds, NF4 QLoRA configuration, target/exact/candidate procedures, six evaluation sets, nine conjunctive gates, and artifact hashes. The exact reference retrains an adapter on </w:t>
      </w:r>
      <w:r>
        <w:rPr>
          <w:rFonts w:ascii="Menlo" w:hAnsi="Menlo" w:eastAsia="Menlo"/>
          <w:color w:val="173B57"/>
          <w:sz w:val="19"/>
        </w:rPr>
        <w:t>retain99</w:t>
      </w:r>
      <w:r>
        <w:rPr>
          <w:rFonts w:ascii="Calibri" w:hAnsi="Calibri" w:eastAsia="Calibri"/>
          <w:b w:val="0"/>
          <w:i w:val="0"/>
        </w:rPr>
        <w:t>; it does not alter Qwen pretraining. Offline verification recomputes per-example losses, membership AUC, reload recurrence, all gates, and the decision from downloaded arrays.</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2"/>
      </w:pPr>
      <w:r>
        <w:t>8.10 GhostGraph-T action identification</w:t>
      </w:r>
    </w:p>
    <w:p>
      <w:pPr>
        <w:widowControl/>
      </w:pPr>
      <w:r>
        <w:rPr>
          <w:rFonts w:ascii="Calibri" w:hAnsi="Calibri" w:eastAsia="Calibri"/>
          <w:b w:val="0"/>
          <w:i w:val="0"/>
        </w:rPr>
        <w:t xml:space="preserve">The first locked run passed all frozen gates: </w:t>
      </w:r>
      <w:r>
        <w:rPr>
          <w:rFonts w:ascii="Calibri" w:hAnsi="Calibri" w:eastAsia="Calibri"/>
          <w:b/>
          <w:i w:val="0"/>
        </w:rPr>
        <w:t>300/300</w:t>
      </w:r>
      <w:r>
        <w:rPr>
          <w:rFonts w:ascii="Calibri" w:hAnsi="Calibri" w:eastAsia="Calibri"/>
          <w:b w:val="0"/>
          <w:i w:val="0"/>
        </w:rPr>
        <w:t xml:space="preserve"> correct action-or-OOD decisions, </w:t>
      </w:r>
      <w:r>
        <w:rPr>
          <w:rFonts w:ascii="Calibri" w:hAnsi="Calibri" w:eastAsia="Calibri"/>
          <w:b/>
          <w:i w:val="0"/>
        </w:rPr>
        <w:t>50/50</w:t>
      </w:r>
      <w:r>
        <w:rPr>
          <w:rFonts w:ascii="Calibri" w:hAnsi="Calibri" w:eastAsia="Calibri"/>
          <w:b w:val="0"/>
          <w:i w:val="0"/>
        </w:rPr>
        <w:t xml:space="preserve"> held-out-family detections, zero false-confident outputs (Wilson 95% upper bound 0.01265), and zero global-policy/oracle mismatches. The global policy used 1.28 mean probes at declared cost 8.84, compared with 8.0 probes and cost 28.0 for exhaustive testing. Exact-graph minimax resolved only 130/300 and returned UNVERIFIED for 170 irrelevant-topology twins; sink-only observation left 41 temporal cases unresolved; passive lineage produced 265 false-confident actions.</w:t>
      </w:r>
    </w:p>
    <w:p>
      <w:pPr>
        <w:widowControl/>
      </w:pPr>
      <w:r>
        <w:rPr>
          <w:rFonts w:ascii="Calibri" w:hAnsi="Calibri" w:eastAsia="Calibri"/>
          <w:b w:val="0"/>
          <w:i w:val="0"/>
        </w:rPr>
        <w:t>Global, one-step minimax, and greedy all achieved the same correctness, probes, and cost. This is a negative result against a superiority claim: the experiment supports action-equivalence stopping and bounded OOD rejection, not empirical dominance over the strongest adaptive baseline.</w:t>
      </w:r>
    </w:p>
    <w:p>
      <w:pPr>
        <w:pStyle w:val="Heading2"/>
      </w:pPr>
      <w:r>
        <w:t>8.11 Qwen–TOFU model-channel result</w:t>
      </w:r>
    </w:p>
    <w:p>
      <w:pPr>
        <w:widowControl/>
      </w:pPr>
      <w:r>
        <w:rPr>
          <w:rFonts w:ascii="Calibri" w:hAnsi="Calibri" w:eastAsia="Calibri"/>
          <w:b w:val="0"/>
          <w:i w:val="0"/>
        </w:rPr>
        <w:t xml:space="preserve">The first valid Tesla P100 run completed all three frozen seeds and returned </w:t>
      </w:r>
      <w:r>
        <w:rPr>
          <w:rFonts w:ascii="Calibri" w:hAnsi="Calibri" w:eastAsia="Calibri"/>
          <w:b/>
          <w:i w:val="0"/>
        </w:rPr>
        <w:t>FAIL</w:t>
      </w:r>
      <w:r>
        <w:rPr>
          <w:rFonts w:ascii="Calibri" w:hAnsi="Calibri" w:eastAsia="Calibri"/>
          <w:b w:val="0"/>
          <w:i w:val="0"/>
        </w:rPr>
        <w:t>. Seven of nine gates passed. Minimum target memorization gain was 0.59827 and minimum exact forgetting lift was 0.14026. The candidate stayed close to exact retraining on forget NLL (maximum gap 0.09454), retained NLL (0.00920), and membership AUC (0.05750), with zero save/reload recurrence.</w:t>
      </w:r>
    </w:p>
    <w:p>
      <w:pPr>
        <w:widowControl/>
      </w:pPr>
      <w:r>
        <w:rPr>
          <w:rFonts w:ascii="Calibri" w:hAnsi="Calibri" w:eastAsia="Calibri"/>
          <w:b w:val="0"/>
          <w:i w:val="0"/>
        </w:rPr>
        <w:t xml:space="preserve">However, minimum candidate forgetting lift was </w:t>
      </w:r>
      <w:r>
        <w:rPr>
          <w:rFonts w:ascii="Calibri" w:hAnsi="Calibri" w:eastAsia="Calibri"/>
          <w:b/>
          <w:i w:val="0"/>
        </w:rPr>
        <w:t>0.04837</w:t>
      </w:r>
      <w:r>
        <w:rPr>
          <w:rFonts w:ascii="Calibri" w:hAnsi="Calibri" w:eastAsia="Calibri"/>
          <w:b w:val="0"/>
          <w:i w:val="0"/>
        </w:rPr>
        <w:t xml:space="preserve">, below the frozen 0.05 gate, and maximum world-fact NLL degradation was </w:t>
      </w:r>
      <w:r>
        <w:rPr>
          <w:rFonts w:ascii="Calibri" w:hAnsi="Calibri" w:eastAsia="Calibri"/>
          <w:b/>
          <w:i w:val="0"/>
        </w:rPr>
        <w:t>0.45300</w:t>
      </w:r>
      <w:r>
        <w:rPr>
          <w:rFonts w:ascii="Calibri" w:hAnsi="Calibri" w:eastAsia="Calibri"/>
          <w:b w:val="0"/>
          <w:i w:val="0"/>
        </w:rPr>
        <w:t>, above the 0.20 gate; two of three seeds failed the utility endpoint. The result falsifies the v1 candidate's conjunctive success claim while demonstrating that EraSeMap does not convert partial metric agreement into completion.</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PCUG has 0 of 75 false COMPLETE verdicts versus 75 of 75 for typed-node; CDC reaches 17.64-fold speedup and 94.62 percent fewer written bytes; RSE detects 30 of 30 risks with no post-MSC recurrence; GhostGraph uses 7 probes versus 13 for frozen random and 49 for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finite project-authored catalogues, deterministic traces, and declared experiment costs. GhostGraph-T adds an exact global finite policy and an action-identifiability theorem, but the first 300 cases still tied one-step minimax and greedy. The live services are real processes, while hidden graphs and orchestration remain internal. The external blind challenge is protocol-ready but not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scripts/verify_ghostgraph_t_v1.py</w:t>
      </w:r>
    </w:p>
    <w:p>
      <w:pPr>
        <w:pStyle w:val="CodeBlock"/>
      </w:pPr>
      <w:r>
        <w:t>python -m external_ghostgraph_challenge.verify_v2</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identification of an erasure-action equivalence class with bounded OOD rejection</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 identifies sufficient erasure actions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300/300 action-or-OOD; 50/50 family OOD; 0 false confidence; exact policy matches oracle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deterministic grammar; adaptive baselines tied; no open-world or independent claim</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