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GhostGraph-T меняет цель с точной идентичности графа на полный набор минимальных erasure-operation cuts. Отдельно frozen benchmark из 300 случаев дал 300/300 корректных action-or-OOD решений, 50/50 обнаружений held-out family, ноль false-confident outputs и в среднем 1,28 probes против 8,0 exhaustive. Exact graph recovery оставил 170 action-safe twins с нерелевантной топологией неразрешёнными. Lean проверяет soundness остановки на action-homogeneous version space и невозможность определить разные действия для query-indistinguishable графов. Global optimization совпал с отдельным recursive oracle, но разделил результат с one-step minimax и greedy, поэтому превосходство над adaptive baselines не заявляется.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Preregistered three-seed NF4 QLoRA исследование Qwen2.5-1.5B и TOFU дало сохранённый отрицательный результат. Paired-gradient candidate прошёл семь из девяти gates, но не достиг all-seed forgetting minimum и провалил world-fact utility, тогда как exact adapter retraining прошёл свой forgetting gate. Поэтому EraSeMap оставил model channel незавершённым. Это project-operated evidence на реальной модели, а не успешное approximate unlearning или независимая validation.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2"/>
      </w:pPr>
      <w:r>
        <w:t>5.4 Идентифицируемость действия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 xml:space="preserve"> — полный набор минимальных по мощности operation cuts, пересекающих каждый представленный recovery path графа </w:t>
      </w:r>
      <w:r>
        <w:rPr>
          <w:rFonts w:ascii="Calibri" w:hAnsi="Calibri" w:eastAsia="Calibri"/>
          <w:b/>
          <w:i w:val="0"/>
        </w:rPr>
        <w:t>G</w:t>
      </w:r>
      <w:r>
        <w:rPr>
          <w:rFonts w:ascii="Calibri" w:hAnsi="Calibri" w:eastAsia="Calibri"/>
          <w:b w:val="0"/>
          <w:i w:val="0"/>
        </w:rPr>
        <w:t xml:space="preserve">. Точная идентичность графа не нужна, если все surviving graphs имеют одинаковое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>. Lean доказывает, что при catalogue closure и sound observations любой элемент action-homogeneous survivor set задаёт действие реального listed graph. Также доказана граница невозможности: если два listed graphs требуют разных действий, но дают одинаковую trace для каждого допустимого query, никакая policy над этими queries не может установить action-identifiability.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2"/>
      </w:pPr>
      <w:r>
        <w:t>7.11 Уровень J: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Протокол и core v1 были закоммичены до первого результата. Зафиксированы 120 instance-held-out, 80 composition-held-out, 50 family-held-out и 50 temporal-shift случаев; восемь стратегий; hashes кода и case manifest; Wilson intervals; семь gates. Held-out family оценивается только по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>, а не по невозможной post-hoc localization. Exact global policy минимизирует worst-case declared cost полного конечного decision tree и проверяется отдельно структурированным recursive oracle.</w:t>
      </w:r>
    </w:p>
    <w:p>
      <w:pPr>
        <w:pStyle w:val="Heading2"/>
      </w:pPr>
      <w:r>
        <w:t>7.12 Уровень K: model channel на реальных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До первого валидного GPU run протокол зафиксировал Qwen2.5-1.5B base, TOFU revision, три seeds, NF4 QLoRA configuration, target/exact/candidate procedures, шесть evaluation sets, девять conjunctive gates и hashes artifacts. Exact reference переобучает adapter на </w:t>
      </w:r>
      <w:r>
        <w:rPr>
          <w:rFonts w:ascii="Menlo" w:hAnsi="Menlo" w:eastAsia="Menlo"/>
          <w:color w:val="173B57"/>
          <w:sz w:val="19"/>
        </w:rPr>
        <w:t>retain99</w:t>
      </w:r>
      <w:r>
        <w:rPr>
          <w:rFonts w:ascii="Calibri" w:hAnsi="Calibri" w:eastAsia="Calibri"/>
          <w:b w:val="0"/>
          <w:i w:val="0"/>
        </w:rPr>
        <w:t>, но не изменяет Qwen pretraining. Offline verifier пересчитывает per-example losses, membership AUC, reload recurrence, все gates и решение из скачанных arrays.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8.10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locked run прошёл все gates: </w:t>
      </w:r>
      <w:r>
        <w:rPr>
          <w:rFonts w:ascii="Calibri" w:hAnsi="Calibri" w:eastAsia="Calibri"/>
          <w:b/>
          <w:i w:val="0"/>
        </w:rPr>
        <w:t>300/300</w:t>
      </w:r>
      <w:r>
        <w:rPr>
          <w:rFonts w:ascii="Calibri" w:hAnsi="Calibri" w:eastAsia="Calibri"/>
          <w:b w:val="0"/>
          <w:i w:val="0"/>
        </w:rPr>
        <w:t xml:space="preserve"> корректных action-or-OOD решений, </w:t>
      </w:r>
      <w:r>
        <w:rPr>
          <w:rFonts w:ascii="Calibri" w:hAnsi="Calibri" w:eastAsia="Calibri"/>
          <w:b/>
          <w:i w:val="0"/>
        </w:rPr>
        <w:t>50/50</w:t>
      </w:r>
      <w:r>
        <w:rPr>
          <w:rFonts w:ascii="Calibri" w:hAnsi="Calibri" w:eastAsia="Calibri"/>
          <w:b w:val="0"/>
          <w:i w:val="0"/>
        </w:rPr>
        <w:t xml:space="preserve"> held-out-family detections, ноль false-confident outputs (верхняя Wilson 95% граница 0,01265) и ноль global-policy/oracle mismatches. Global policy использовал в среднем 1,28 probes стоимостью 8,84 против 8,0 probes и стоимости 28,0 у exhaustive. Exact-graph minimax разрешил только 130/300 и вернул UNVERIFIED для 170 irrelevant-topology twins; sink-only observation оставил 41 temporal case неразрешённым; passive lineage дал 265 false-confident actions.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Global, one-step minimax и greedy получили одинаковые correctness, число probes и cost. Это отрицательный результат против claim о превосходстве: эксперимент поддерживает action-equivalence stopping и bounded OOD rejection, но не empirical dominance над сильнейшим adaptive baseline.</w:t>
      </w:r>
    </w:p>
    <w:p>
      <w:pPr>
        <w:pStyle w:val="Heading2"/>
      </w:pPr>
      <w:r>
        <w:t>8.11 Результат model channel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валидный run на Tesla P100 завершил все три frozen seeds и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>. Пройдено семь из девяти gates. Минимальный target memorization gain равен 0,59827, а minimum exact forgetting lift — 0,14026. Candidate близок к exact retraining по forget NLL (максимальный gap 0,09454), retained NLL (0,00920) и membership AUC (0,05750); save/reload recurrence равен нулю.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Однако minimum candidate forgetting lift равен </w:t>
      </w:r>
      <w:r>
        <w:rPr>
          <w:rFonts w:ascii="Calibri" w:hAnsi="Calibri" w:eastAsia="Calibri"/>
          <w:b/>
          <w:i w:val="0"/>
        </w:rPr>
        <w:t>0,04837</w:t>
      </w:r>
      <w:r>
        <w:rPr>
          <w:rFonts w:ascii="Calibri" w:hAnsi="Calibri" w:eastAsia="Calibri"/>
          <w:b w:val="0"/>
          <w:i w:val="0"/>
        </w:rPr>
        <w:t xml:space="preserve">, ниже frozen gate 0,05, а maximum world-fact NLL degradation равен </w:t>
      </w:r>
      <w:r>
        <w:rPr>
          <w:rFonts w:ascii="Calibri" w:hAnsi="Calibri" w:eastAsia="Calibri"/>
          <w:b/>
          <w:i w:val="0"/>
        </w:rPr>
        <w:t>0,45300</w:t>
      </w:r>
      <w:r>
        <w:rPr>
          <w:rFonts w:ascii="Calibri" w:hAnsi="Calibri" w:eastAsia="Calibri"/>
          <w:b w:val="0"/>
          <w:i w:val="0"/>
        </w:rPr>
        <w:t>, выше gate 0,20; два из трёх seeds провалили utility endpoint. Результат опровергает conjunctive success claim кандидата v1 и показывает, что EraSeMap не превращает частичное совпадение метрик в завершение.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конечные авторские каталоги, детерминированные traces и заявленные experiment costs. GhostGraph-T добавляет exact global finite policy и action-identifiability theorem, но первые 300 случаев всё равно дали ничью с one-step minimax и greedy. Live-сервисы являются реальными процессами, однако hidden graphs и orchestration внутренние.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scripts/verify_ghostgraph_t_v1.py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Активная идентификация erasure-action equivalence class с bounded OOD rejection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 определяет достаточное действие удаления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300/300 action-or-OOD; 50/50 family OOD; 0 false confidence; exact policy совпала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Авторская deterministic grammar; adaptive baselines дали ничью; нет open-world или independent claim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