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six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265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1"/>
      </w:pPr>
      <w:r>
        <w:t>9. Discussion</w:t>
      </w:r>
    </w:p>
    <w:p>
      <w:pPr>
        <w:keepLines/>
        <w:jc w:val="center"/>
      </w:pPr>
      <w:r>
        <w:drawing>
          <wp:inline xmlns:a="http://schemas.openxmlformats.org/drawingml/2006/main" xmlns:pic="http://schemas.openxmlformats.org/drawingml/2006/picture">
            <wp:extent cx="5577840" cy="3935476"/>
            <wp:docPr id="2" name="Picture 2" descr="Results chart: PCUG has 0 of 75 false COMPLETE verdicts versus 75 of 75 for typed-node; CDC reaches 17.64-fold speedup and 94.62 percent fewer written bytes; RSE detects 30 of 30 risks with no post-MSC recurrenc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3935476"/>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