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Regeneration-Safe Erasure Auditing for Biometric Systems</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built around a Proof-Carrying Unlearning Graph (PCUG). It refuses to report completion while a residual path, failed verifier, unknown mandatory channel, or unsuccessful action replay remains. The method produces one of three verdicts—COMPLETE, INCOMPLETE, or UNVERIFIED—together with the shortest residual counterexample and a minimum-cost Counterfactual Deletion Cut (CDC). Residual paths define what may still be usable; typed verifier channels define required evidence; and a finite optimization problem selects the least-cost permitted action set whose simulated post-action state passes the same frozen audit.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retained all 249 non-deleted records per trial, matched rebuild-all ridge weights within 2.22 × 10⁻¹⁵,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val="0"/>
          <w:i w:val="0"/>
        </w:rPr>
        <w:t>A separately preregistered first-run sequential study passed all six frozen gates over 25 release transitions; the largest upper 95% confidence bound for additional retained-user membership advantage relative to exact retraining was 0.00624 against a 0.05 limit. This bounded result is not independent confirmation or certified privacy.</w:t>
      </w:r>
    </w:p>
    <w:p>
      <w:pPr>
        <w:widowControl/>
      </w:pPr>
      <w:r>
        <w:rPr>
          <w:rFonts w:ascii="Calibri" w:hAnsi="Calibri" w:eastAsia="Calibri"/>
          <w:b w:val="0"/>
          <w:i w:val="0"/>
        </w:rPr>
        <w:t>The Regeneration-Safe Erasure (RSE) extension tests a different failure mode: data absent now can return after backup restore, legacy import, retry replay, or checkpoint redeployment. Its multi-path v2 protocol was publicly committed before implementation. The first run detected 30/30 registered temporal risks, verified 10/10 guarded safe cases, failed closed on 10/10 coverage faults, and produced 0/30 physical recurrences after the exact Minimal Stabilization Cut (MSC). Lean checks conditional MSC safety and minimum cost, while production branch-and-bound matched a separate exhaustive oracle in 16,384/16,384 finite-domain configurations. These are project-authored prospective and verification results, not independent or production evidence.</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temporal erasure; regeneration witness;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 xml:space="preserve">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 The core representation is the </w:t>
      </w:r>
      <w:r>
        <w:rPr>
          <w:rFonts w:ascii="Calibri" w:hAnsi="Calibri" w:eastAsia="Calibri"/>
          <w:b/>
          <w:i w:val="0"/>
        </w:rPr>
        <w:t>Proof-Carrying Unlearning Graph (PCUG)</w:t>
      </w:r>
      <w:r>
        <w:rPr>
          <w:rFonts w:ascii="Calibri" w:hAnsi="Calibri" w:eastAsia="Calibri"/>
          <w:b w:val="0"/>
          <w:i w:val="0"/>
        </w:rPr>
        <w:t xml:space="preserve">; its remediation object is the </w:t>
      </w:r>
      <w:r>
        <w:rPr>
          <w:rFonts w:ascii="Calibri" w:hAnsi="Calibri" w:eastAsia="Calibri"/>
          <w:b/>
          <w:i w:val="0"/>
        </w:rPr>
        <w:t>Counterfactual Deletion Cut (CDC)</w:t>
      </w:r>
      <w:r>
        <w:rPr>
          <w:rFonts w:ascii="Calibri" w:hAnsi="Calibri" w:eastAsia="Calibri"/>
          <w:b w:val="0"/>
          <w:i w:val="0"/>
        </w:rPr>
        <w:t>.</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i w:val="0"/>
        </w:rPr>
        <w:t>Hypothesis H3.</w:t>
      </w:r>
      <w:r>
        <w:rPr>
          <w:rFonts w:ascii="Calibri" w:hAnsi="Calibri" w:eastAsia="Calibri"/>
          <w:b w:val="0"/>
          <w:i w:val="0"/>
        </w:rPr>
        <w:t xml:space="preserve"> In a registered temporal topology, RSE can distinguish latent carriers that can regenerate a residual from guarded carriers that cannot, while snapshot-only and blanket-carrier baselines each fail on one side of this distinction. The null hypothesis is that RSE provides no improvement in risk detection or safe-case specificity.</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five bounded contributions:</w:t>
      </w:r>
    </w:p>
    <w:p>
      <w:pPr>
        <w:pStyle w:val="NumberedItem"/>
      </w:pPr>
      <w:r>
        <w:rPr>
          <w:rFonts w:ascii="Calibri" w:hAnsi="Calibri" w:eastAsia="Calibri"/>
        </w:rPr>
        <w:t xml:space="preserve">1. </w:t>
      </w:r>
      <w:r>
        <w:rPr>
          <w:rFonts w:ascii="Calibri" w:hAnsi="Calibri" w:eastAsia="Calibri"/>
          <w:b w:val="0"/>
          <w:i w:val="0"/>
        </w:rPr>
        <w:t>A typed residual-path model that keeps physical artifacts, model influence, unknown evidence, and policy blocks semantically distinct.</w:t>
      </w:r>
    </w:p>
    <w:p>
      <w:pPr>
        <w:pStyle w:val="NumberedItem"/>
      </w:pPr>
      <w:r>
        <w:rPr>
          <w:rFonts w:ascii="Calibri" w:hAnsi="Calibri" w:eastAsia="Calibri"/>
        </w:rPr>
        <w:t xml:space="preserve">2. </w:t>
      </w:r>
      <w:r>
        <w:rPr>
          <w:rFonts w:ascii="Calibri" w:hAnsi="Calibri" w:eastAsia="Calibri"/>
          <w:b w:val="0"/>
          <w:i w:val="0"/>
        </w:rPr>
        <w:t>A three-valued completion rule that fails closed, returns the shortest counterexample, and requires successful replay before accepting a correction.</w:t>
      </w:r>
    </w:p>
    <w:p>
      <w:pPr>
        <w:pStyle w:val="NumberedItem"/>
      </w:pPr>
      <w:r>
        <w:rPr>
          <w:rFonts w:ascii="Calibri" w:hAnsi="Calibri" w:eastAsia="Calibri"/>
        </w:rPr>
        <w:t xml:space="preserve">3. </w:t>
      </w:r>
      <w:r>
        <w:rPr>
          <w:rFonts w:ascii="Calibri" w:hAnsi="Calibri" w:eastAsia="Calibri"/>
          <w:b w:val="0"/>
          <w:i w:val="0"/>
        </w:rPr>
        <w:t>A finite minimum-cost CDC formulation with a machine-checked optimality theorem and executable oracle conformance.</w:t>
      </w:r>
    </w:p>
    <w:p>
      <w:pPr>
        <w:pStyle w:val="NumberedItem"/>
      </w:pPr>
      <w:r>
        <w:rPr>
          <w:rFonts w:ascii="Calibri" w:hAnsi="Calibri" w:eastAsia="Calibri"/>
        </w:rPr>
        <w:t xml:space="preserve">4. </w:t>
      </w: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NumberedItem"/>
      </w:pPr>
      <w:r>
        <w:rPr>
          <w:rFonts w:ascii="Calibri" w:hAnsi="Calibri" w:eastAsia="Calibri"/>
        </w:rPr>
        <w:t xml:space="preserve">5. </w:t>
      </w:r>
      <w:r>
        <w:rPr>
          <w:rFonts w:ascii="Calibri" w:hAnsi="Calibri" w:eastAsia="Calibri"/>
          <w:b w:val="0"/>
          <w:i w:val="0"/>
        </w:rPr>
        <w:t>A temporal RSE layer that computes registered reachable closure, returns a shortest regeneration witness, fails closed on transition-coverage gaps, and selects an exact minimum-cost stabilization cut.</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descr="Flow diagram: an erasure request passes through the residual-path graph, verifier channels, CDC selection, action execution, and replayed audit before COMPLETE."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From a subject request to verified completion through residual paths, CDC, and replay. Author-generated from the EraSeMap protocol.</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Counterfactual Deletion Cut</w:t>
      </w:r>
    </w:p>
    <w:p>
      <w:pPr>
        <w:widowControl/>
      </w:pPr>
      <w:r>
        <w:rPr>
          <w:rFonts w:ascii="Calibri" w:hAnsi="Calibri" w:eastAsia="Calibri"/>
          <w:b w:val="0"/>
          <w:i w:val="0"/>
        </w:rPr>
        <w:t xml:space="preserve">When the verdict is not COMPLETE, the system constructs a finite catalog </w:t>
      </w:r>
      <w:r>
        <w:rPr>
          <w:rFonts w:ascii="Calibri" w:hAnsi="Calibri" w:eastAsia="Calibri"/>
          <w:b/>
          <w:i w:val="0"/>
        </w:rPr>
        <w:t>A</w:t>
      </w:r>
      <w:r>
        <w:rPr>
          <w:rFonts w:ascii="Calibri" w:hAnsi="Calibri" w:eastAsia="Calibri"/>
          <w:b w:val="0"/>
          <w:i w:val="0"/>
        </w:rPr>
        <w:t xml:space="preserve"> of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a permission flag </w:t>
      </w:r>
      <w:r>
        <w:rPr>
          <w:rFonts w:ascii="Calibri" w:hAnsi="Calibri" w:eastAsia="Calibri"/>
          <w:b/>
          <w:i w:val="0"/>
        </w:rPr>
        <w:t>p(a) ∈ {0,1}</w:t>
      </w:r>
      <w:r>
        <w:rPr>
          <w:rFonts w:ascii="Calibri" w:hAnsi="Calibri" w:eastAsia="Calibri"/>
          <w:b w:val="0"/>
          <w:i w:val="0"/>
        </w:rPr>
        <w:t>.</w:t>
      </w:r>
    </w:p>
    <w:p>
      <w:pPr>
        <w:widowControl/>
      </w:pPr>
      <w:r>
        <w:rPr>
          <w:rFonts w:ascii="Calibri" w:hAnsi="Calibri" w:eastAsia="Calibri"/>
          <w:b w:val="0"/>
          <w:i w:val="0"/>
        </w:rPr>
        <w:t xml:space="preserve">For an action subset </w:t>
      </w:r>
      <w:r>
        <w:rPr>
          <w:rFonts w:ascii="Calibri" w:hAnsi="Calibri" w:eastAsia="Calibri"/>
          <w:b/>
          <w:i w:val="0"/>
        </w:rPr>
        <w:t>B ⊆ A</w:t>
      </w:r>
      <w:r>
        <w:rPr>
          <w:rFonts w:ascii="Calibri" w:hAnsi="Calibri" w:eastAsia="Calibri"/>
          <w:b w:val="0"/>
          <w:i w:val="0"/>
        </w:rPr>
        <w:t xml:space="preserve">, let </w:t>
      </w:r>
      <w:r>
        <w:rPr>
          <w:rFonts w:ascii="Calibri" w:hAnsi="Calibri" w:eastAsia="Calibri"/>
          <w:b/>
          <w:i w:val="0"/>
        </w:rPr>
        <w:t>Apply(G,B)</w:t>
      </w:r>
      <w:r>
        <w:rPr>
          <w:rFonts w:ascii="Calibri" w:hAnsi="Calibri" w:eastAsia="Calibri"/>
          <w:b w:val="0"/>
          <w:i w:val="0"/>
        </w:rPr>
        <w:t xml:space="preserve"> denote the deterministically simulated post-action graph and evidence. Let </w:t>
      </w:r>
      <w:r>
        <w:rPr>
          <w:rFonts w:ascii="Calibri" w:hAnsi="Calibri" w:eastAsia="Calibri"/>
          <w:b/>
          <w:i w:val="0"/>
        </w:rPr>
        <w:t>F</w:t>
      </w:r>
      <w:r>
        <w:rPr>
          <w:rFonts w:ascii="Calibri" w:hAnsi="Calibri" w:eastAsia="Calibri"/>
          <w:b w:val="0"/>
          <w:i w:val="0"/>
        </w:rPr>
        <w:t xml:space="preserve"> be the same frozen three-valued evaluator used for the original request. Feasibility is defined by replay, not by declared action coverage:</w:t>
      </w:r>
    </w:p>
    <w:p>
      <w:pPr>
        <w:pStyle w:val="Formula"/>
      </w:pPr>
      <w:r>
        <w:rPr>
          <w:rFonts w:ascii="Cambria Math" w:hAnsi="Cambria Math" w:eastAsia="Cambria Math"/>
          <w:sz w:val="23"/>
        </w:rPr>
        <w:t>Feasible(B) ⇔ (∀a ∈ B, p(a)=1) ∧ F(Apply(G,B)) = COMPLETE.</w:t>
      </w:r>
    </w:p>
    <w:p>
      <w:pPr>
        <w:widowControl/>
      </w:pPr>
      <w:r>
        <w:rPr>
          <w:rFonts w:ascii="Calibri" w:hAnsi="Calibri" w:eastAsia="Calibri"/>
          <w:b w:val="0"/>
          <w:i w:val="0"/>
        </w:rPr>
        <w:t>The exact CDC is</w:t>
      </w:r>
    </w:p>
    <w:p>
      <w:pPr>
        <w:pStyle w:val="Formula"/>
      </w:pPr>
      <w:r>
        <w:rPr>
          <w:rFonts w:ascii="Cambria Math" w:hAnsi="Cambria Math" w:eastAsia="Cambria Math"/>
          <w:sz w:val="23"/>
        </w:rPr>
        <w:t>B* ∈ arg min₍B⊆A : Feasible(B)₎ Σₐ∈B c(a).</w:t>
      </w:r>
    </w:p>
    <w:p>
      <w:pPr>
        <w:widowControl/>
      </w:pPr>
      <w:r>
        <w:rPr>
          <w:rFonts w:ascii="Calibri" w:hAnsi="Calibri" w:eastAsia="Calibri"/>
          <w:b w:val="0"/>
          <w:i w:val="0"/>
        </w:rPr>
        <w:t>Residual-coverage abstractions can help explain candidate actions, but set coverage alone is not accepted as proof: channel dependencies and interactions between actions can make nominal coverage insufficient. The frozen evaluator is therefore the authoritative feasibility predicate.</w:t>
      </w:r>
    </w:p>
    <w:p>
      <w:pPr>
        <w:widowControl/>
      </w:pPr>
      <w:r>
        <w:rPr>
          <w:rFonts w:ascii="Calibri" w:hAnsi="Calibri" w:eastAsia="Calibri"/>
          <w:b w:val="0"/>
          <w:i w:val="0"/>
        </w:rPr>
        <w:t>For at most 30 permitted actions, EraSeMap uses deterministic exact branch-and-bound over replay feasibility. Larger catalogs use a deterministic greedy fallback and are labeled non-optimal. Costs are fixtures unless a measured experiment explicitly calibrates them. A plan remains a counterfactual recommendation until its actions are executed in a disposable or authorized environment, topology and evidence are recollected, and the same audit is replayed. Only an observed replayed COMPLETE is accepted as completed remediation.</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NumberedItem"/>
      </w:pPr>
      <w:r>
        <w:rPr>
          <w:rFonts w:ascii="Calibri" w:hAnsi="Calibri" w:eastAsia="Calibri"/>
        </w:rPr>
        <w:t xml:space="preserve">1. </w:t>
      </w: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NumberedItem"/>
      </w:pPr>
      <w:r>
        <w:rPr>
          <w:rFonts w:ascii="Calibri" w:hAnsi="Calibri" w:eastAsia="Calibri"/>
        </w:rPr>
        <w:t xml:space="preserve">2. </w:t>
      </w: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NumberedItem"/>
      </w:pPr>
      <w:r>
        <w:rPr>
          <w:rFonts w:ascii="Calibri" w:hAnsi="Calibri" w:eastAsia="Calibri"/>
        </w:rPr>
        <w:t xml:space="preserve">3. </w:t>
      </w: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NumberedItem"/>
      </w:pPr>
      <w:r>
        <w:rPr>
          <w:rFonts w:ascii="Calibri" w:hAnsi="Calibri" w:eastAsia="Calibri"/>
        </w:rPr>
        <w:t xml:space="preserve">4. </w:t>
      </w: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these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xml:space="preserve">. For MSC, </w:t>
      </w:r>
      <w:r>
        <w:rPr>
          <w:rFonts w:ascii="Menlo" w:hAnsi="Menlo" w:eastAsia="Menlo"/>
          <w:color w:val="173B57"/>
          <w:sz w:val="19"/>
        </w:rPr>
        <w:t>selected_msc_safe_and_minimum</w:t>
      </w:r>
      <w:r>
        <w:rPr>
          <w:rFonts w:ascii="Calibri" w:hAnsi="Calibri" w:eastAsia="Calibri"/>
          <w:b w:val="0"/>
          <w:i w:val="0"/>
        </w:rPr>
        <w:t xml:space="preserve"> proves that when replay feasibility soundly implies temporal safety, the selected listed control set is temporally safe and no more expensive than another listed feasible set; the no-plan theorem preserves fail-closed behavior. These theorems cover the abstract core, not Python semantics, driver correctness, or real topology discovery. The production Python selectors are therefore tested separately against exhaustive oracles.</w:t>
      </w:r>
    </w:p>
    <w:p>
      <w:pPr>
        <w:pStyle w:val="Heading2"/>
      </w:pPr>
      <w:r>
        <w:t>5.3 Temporal composition</w:t>
      </w:r>
    </w:p>
    <w:p>
      <w:pPr>
        <w:widowControl/>
      </w:pPr>
      <w:r>
        <w:rPr>
          <w:rFonts w:ascii="Calibri" w:hAnsi="Calibri" w:eastAsia="Calibri"/>
          <w:b w:val="0"/>
          <w:i w:val="0"/>
        </w:rPr>
        <w:t xml:space="preserve">Let </w:t>
      </w:r>
      <w:r>
        <w:rPr>
          <w:rFonts w:ascii="Calibri" w:hAnsi="Calibri" w:eastAsia="Calibri"/>
          <w:b/>
          <w:i w:val="0"/>
        </w:rPr>
        <w:t>Q</w:t>
      </w:r>
      <w:r>
        <w:rPr>
          <w:rFonts w:ascii="Calibri" w:hAnsi="Calibri" w:eastAsia="Calibri"/>
          <w:b w:val="0"/>
          <w:i w:val="0"/>
        </w:rPr>
        <w:t xml:space="preserve"> be a finite state space, </w:t>
      </w:r>
      <w:r>
        <w:rPr>
          <w:rFonts w:ascii="Calibri" w:hAnsi="Calibri" w:eastAsia="Calibri"/>
          <w:b/>
          <w:i w:val="0"/>
        </w:rPr>
        <w:t>δᵣ</w:t>
      </w:r>
      <w:r>
        <w:rPr>
          <w:rFonts w:ascii="Calibri" w:hAnsi="Calibri" w:eastAsia="Calibri"/>
          <w:b w:val="0"/>
          <w:i w:val="0"/>
        </w:rPr>
        <w:t xml:space="preserve"> the registered transition relation, </w:t>
      </w:r>
      <w:r>
        <w:rPr>
          <w:rFonts w:ascii="Calibri" w:hAnsi="Calibri" w:eastAsia="Calibri"/>
          <w:b/>
          <w:i w:val="0"/>
        </w:rPr>
        <w:t>δₜ</w:t>
      </w:r>
      <w:r>
        <w:rPr>
          <w:rFonts w:ascii="Calibri" w:hAnsi="Calibri" w:eastAsia="Calibri"/>
          <w:b w:val="0"/>
          <w:i w:val="0"/>
        </w:rPr>
        <w:t xml:space="preserve"> the real data-bearing transition relation, and </w:t>
      </w:r>
      <w:r>
        <w:rPr>
          <w:rFonts w:ascii="Calibri" w:hAnsi="Calibri" w:eastAsia="Calibri"/>
          <w:b/>
          <w:i w:val="0"/>
        </w:rPr>
        <w:t>Residualᵤ(q)</w:t>
      </w:r>
      <w:r>
        <w:rPr>
          <w:rFonts w:ascii="Calibri" w:hAnsi="Calibri" w:eastAsia="Calibri"/>
          <w:b w:val="0"/>
          <w:i w:val="0"/>
        </w:rPr>
        <w:t xml:space="preserve"> the subject-residual predicate. Assume the post-deletion state </w:t>
      </w:r>
      <w:r>
        <w:rPr>
          <w:rFonts w:ascii="Calibri" w:hAnsi="Calibri" w:eastAsia="Calibri"/>
          <w:b/>
          <w:i w:val="0"/>
        </w:rPr>
        <w:t>q₀</w:t>
      </w:r>
      <w:r>
        <w:rPr>
          <w:rFonts w:ascii="Calibri" w:hAnsi="Calibri" w:eastAsia="Calibri"/>
          <w:b w:val="0"/>
          <w:i w:val="0"/>
        </w:rPr>
        <w:t xml:space="preserve"> is residual-free, every real transition is covered by a registered transition, and every registered transition preserves residual absence. Then every state reachable from </w:t>
      </w:r>
      <w:r>
        <w:rPr>
          <w:rFonts w:ascii="Calibri" w:hAnsi="Calibri" w:eastAsia="Calibri"/>
          <w:b/>
          <w:i w:val="0"/>
        </w:rPr>
        <w:t>q₀</w:t>
      </w:r>
      <w:r>
        <w:rPr>
          <w:rFonts w:ascii="Calibri" w:hAnsi="Calibri" w:eastAsia="Calibri"/>
          <w:b w:val="0"/>
          <w:i w:val="0"/>
        </w:rPr>
        <w:t xml:space="preserve"> under </w:t>
      </w:r>
      <w:r>
        <w:rPr>
          <w:rFonts w:ascii="Calibri" w:hAnsi="Calibri" w:eastAsia="Calibri"/>
          <w:b/>
          <w:i w:val="0"/>
        </w:rPr>
        <w:t>δₜ</w:t>
      </w:r>
      <w:r>
        <w:rPr>
          <w:rFonts w:ascii="Calibri" w:hAnsi="Calibri" w:eastAsia="Calibri"/>
          <w:b w:val="0"/>
          <w:i w:val="0"/>
        </w:rPr>
        <w:t xml:space="preserve"> remains residual-free.</w:t>
      </w:r>
    </w:p>
    <w:p>
      <w:pPr>
        <w:widowControl/>
      </w:pPr>
      <w:r>
        <w:rPr>
          <w:rFonts w:ascii="Calibri" w:hAnsi="Calibri" w:eastAsia="Calibri"/>
          <w:b w:val="0"/>
          <w:i w:val="0"/>
        </w:rPr>
        <w:t>Lean checks this induction over reflexive-transitive reachability. A separate checked counterexample constructs a hidden real transition that regenerates a residual when the coverage premise is removed. The theorem makes transition coverage an explicit deployment obligation rather than claiming it automatically.</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265 tests with at least 90% measured coverage in the full CI-equivalent test command, a pinned build backend, exact runtime/test constraints, SHA-pinned workflow actions,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 Its six paired privacy statistics use confidence, negative entropy, margin, energy, identity-deletion likelihood ratio, and nearest-embedding signals; the protocol uses zero shadow models, so this is a bounded attack panel rather than a full adaptive shadow-model privacy audit.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2"/>
      </w:pPr>
      <w:r>
        <w:t>7.6 Layer E: preregistered sequential-release privacy</w:t>
      </w:r>
    </w:p>
    <w:p>
      <w:pPr>
        <w:widowControl/>
      </w:pPr>
      <w:r>
        <w:rPr>
          <w:rFonts w:ascii="Calibri" w:hAnsi="Calibri" w:eastAsia="Calibri"/>
          <w:b w:val="0"/>
          <w:i w:val="0"/>
        </w:rPr>
        <w:t>Before the first confirmatory run, the repository froze five seeded deletion orders with five consecutive identity deletions each on Olivetti Faces. At every transition, exact retraining uses 100 epochs and a deletion-matched candidate restarts from the registered seed for 60 epochs using retained identities only. An observer compares two consecutive releases and attacks retained-user membership using absolute changes in confidence, energy, margin, and negative entropy. Candidate-minus-exact advantage is paired across all 25 transitions with deterministic bootstrap 95% intervals.</w:t>
      </w:r>
    </w:p>
    <w:p>
      <w:pPr>
        <w:widowControl/>
      </w:pPr>
      <w:r>
        <w:rPr>
          <w:rFonts w:ascii="Calibri" w:hAnsi="Calibri" w:eastAsia="Calibri"/>
          <w:b w:val="0"/>
          <w:i w:val="0"/>
        </w:rPr>
        <w:t>All six gates were frozen before execution: deleted classes absent; epoch-budget ratio at least 1.5×; retained-accuracy difference at least −0.02 on every transition; retained embedding MSE to exact at most 0.001; forgotten-verification AUC gap at most 0.05; and the largest upper confidence bound for additional privacy advantage at most 0.05. The run refuses a dirty worktree and records the pre-result commit, raw transitions, and artifact hashes.</w:t>
      </w:r>
    </w:p>
    <w:p>
      <w:pPr>
        <w:pStyle w:val="Heading2"/>
      </w:pPr>
      <w:r>
        <w:t>7.7 Layer F: preregistered multi-path temporal erasure</w:t>
      </w:r>
    </w:p>
    <w:p>
      <w:pPr>
        <w:widowControl/>
      </w:pPr>
      <w:r>
        <w:rPr>
          <w:rFonts w:ascii="Calibri" w:hAnsi="Calibri" w:eastAsia="Calibri"/>
          <w:b w:val="0"/>
          <w:i w:val="0"/>
        </w:rPr>
        <w:t xml:space="preserve">RSE v2 was committed at </w:t>
      </w:r>
      <w:r>
        <w:rPr>
          <w:rFonts w:ascii="Menlo" w:hAnsi="Menlo" w:eastAsia="Menlo"/>
          <w:color w:val="173B57"/>
          <w:sz w:val="19"/>
        </w:rPr>
        <w:t>110bb63</w:t>
      </w:r>
      <w:r>
        <w:rPr>
          <w:rFonts w:ascii="Calibri" w:hAnsi="Calibri" w:eastAsia="Calibri"/>
          <w:b w:val="0"/>
          <w:i w:val="0"/>
        </w:rPr>
        <w:t xml:space="preserve"> before implementation of its new adapters or first execution. Thirty risk cases cover AES-GCM backup restore, legacy export import, retry-queue replay, old-checkpoint redeployment, and mixed carriers. Ten safe cases retain all carriers but install a persistent subject tombstone. Ten coverage-fault cases invalidate a required transition attestation.</w:t>
      </w:r>
    </w:p>
    <w:p>
      <w:pPr>
        <w:widowControl/>
      </w:pPr>
      <w:r>
        <w:rPr>
          <w:rFonts w:ascii="Calibri" w:hAnsi="Calibri" w:eastAsia="Calibri"/>
          <w:b w:val="0"/>
          <w:i w:val="0"/>
        </w:rPr>
        <w:t>The snapshot PCUG baseline closes every currently online residual and passes a mandatory absence channel but has no future-transition semantics. The blanket-carrier baseline rejects every latent carrier regardless of guards. Primary gates require 30/30 RSE risk detections, 10/10 safe specificity, 10/10 coverage fail-closed decisions, zero post-MSC physical recurrences, zero exact/oracle mismatches, and selected cost at most 7.</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2"/>
      </w:pPr>
      <w:r>
        <w:t>8.5 Sequential-release privacy</w:t>
      </w:r>
    </w:p>
    <w:p>
      <w:pPr>
        <w:widowControl/>
      </w:pPr>
      <w:r>
        <w:rPr>
          <w:rFonts w:ascii="Calibri" w:hAnsi="Calibri" w:eastAsia="Calibri"/>
          <w:b w:val="0"/>
          <w:i w:val="0"/>
        </w:rPr>
        <w:t xml:space="preserve">The first confirmatory run at the preregistration commit passed all six gates. Across 25 transitions, every deleted classifier class was absent. The worst retained-accuracy difference was </w:t>
      </w:r>
      <w:r>
        <w:rPr>
          <w:rFonts w:ascii="Calibri" w:hAnsi="Calibri" w:eastAsia="Calibri"/>
          <w:b/>
          <w:i w:val="0"/>
        </w:rPr>
        <w:t>−0.00952</w:t>
      </w:r>
      <w:r>
        <w:rPr>
          <w:rFonts w:ascii="Calibri" w:hAnsi="Calibri" w:eastAsia="Calibri"/>
          <w:b w:val="0"/>
          <w:i w:val="0"/>
        </w:rPr>
        <w:t xml:space="preserve">, retained embedding MSE to exact was at most </w:t>
      </w:r>
      <w:r>
        <w:rPr>
          <w:rFonts w:ascii="Calibri" w:hAnsi="Calibri" w:eastAsia="Calibri"/>
          <w:b/>
          <w:i w:val="0"/>
        </w:rPr>
        <w:t>0.00000823</w:t>
      </w:r>
      <w:r>
        <w:rPr>
          <w:rFonts w:ascii="Calibri" w:hAnsi="Calibri" w:eastAsia="Calibri"/>
          <w:b w:val="0"/>
          <w:i w:val="0"/>
        </w:rPr>
        <w:t xml:space="preserve">, and the forgotten-verification AUC gap was at most </w:t>
      </w:r>
      <w:r>
        <w:rPr>
          <w:rFonts w:ascii="Calibri" w:hAnsi="Calibri" w:eastAsia="Calibri"/>
          <w:b/>
          <w:i w:val="0"/>
        </w:rPr>
        <w:t>0.00395</w:t>
      </w:r>
      <w:r>
        <w:rPr>
          <w:rFonts w:ascii="Calibri" w:hAnsi="Calibri" w:eastAsia="Calibri"/>
          <w:b w:val="0"/>
          <w:i w:val="0"/>
        </w:rPr>
        <w:t xml:space="preserve">. The 60/100 epoch-budget ratio was </w:t>
      </w:r>
      <w:r>
        <w:rPr>
          <w:rFonts w:ascii="Calibri" w:hAnsi="Calibri" w:eastAsia="Calibri"/>
          <w:b/>
          <w:i w:val="0"/>
        </w:rPr>
        <w:t>1.667×</w:t>
      </w:r>
      <w:r>
        <w:rPr>
          <w:rFonts w:ascii="Calibri" w:hAnsi="Calibri" w:eastAsia="Calibri"/>
          <w:b w:val="0"/>
          <w:i w:val="0"/>
        </w:rPr>
        <w:t>.</w:t>
      </w:r>
    </w:p>
    <w:p>
      <w:pPr>
        <w:widowControl/>
      </w:pPr>
      <w:r>
        <w:rPr>
          <w:rFonts w:ascii="Calibri" w:hAnsi="Calibri" w:eastAsia="Calibri"/>
          <w:b w:val="0"/>
          <w:i w:val="0"/>
        </w:rPr>
        <w:t xml:space="preserve">The largest paired privacy upper 95% confidence bound was </w:t>
      </w:r>
      <w:r>
        <w:rPr>
          <w:rFonts w:ascii="Calibri" w:hAnsi="Calibri" w:eastAsia="Calibri"/>
          <w:b/>
          <w:i w:val="0"/>
        </w:rPr>
        <w:t>0.00624</w:t>
      </w:r>
      <w:r>
        <w:rPr>
          <w:rFonts w:ascii="Calibri" w:hAnsi="Calibri" w:eastAsia="Calibri"/>
          <w:b w:val="0"/>
          <w:i w:val="0"/>
        </w:rPr>
        <w:t>, below the frozen 0.05 limit. Paired candidate-minus-exact mean advantages and intervals were confidence −0.08370 [−0.11263, −0.05977], energy −0.00144 [−0.00781, 0.00624], margin −0.07687 [−0.10252, −0.05515], and negative entropy −0.08512 [−0.11802, −0.05614]. Absolute membership advantages remained substantial for several attacks. Thus the result bounds additional exposure relative to exact retraining under the registered panel; it does not establish that either release is private.</w:t>
      </w:r>
    </w:p>
    <w:p>
      <w:pPr>
        <w:pStyle w:val="Heading2"/>
      </w:pPr>
      <w:r>
        <w:t>8.6 Regeneration-Safe Erasure</w:t>
      </w:r>
    </w:p>
    <w:p>
      <w:pPr>
        <w:widowControl/>
      </w:pPr>
      <w:r>
        <w:rPr>
          <w:rFonts w:ascii="Calibri" w:hAnsi="Calibri" w:eastAsia="Calibri"/>
          <w:b w:val="0"/>
          <w:i w:val="0"/>
        </w:rPr>
        <w:t xml:space="preserve">The first prospective v2 run passed every frozen gate. RSE detected </w:t>
      </w:r>
      <w:r>
        <w:rPr>
          <w:rFonts w:ascii="Calibri" w:hAnsi="Calibri" w:eastAsia="Calibri"/>
          <w:b/>
          <w:i w:val="0"/>
        </w:rPr>
        <w:t>30/30</w:t>
      </w:r>
      <w:r>
        <w:rPr>
          <w:rFonts w:ascii="Calibri" w:hAnsi="Calibri" w:eastAsia="Calibri"/>
          <w:b w:val="0"/>
          <w:i w:val="0"/>
        </w:rPr>
        <w:t xml:space="preserve"> temporal risk cases, verified </w:t>
      </w:r>
      <w:r>
        <w:rPr>
          <w:rFonts w:ascii="Calibri" w:hAnsi="Calibri" w:eastAsia="Calibri"/>
          <w:b/>
          <w:i w:val="0"/>
        </w:rPr>
        <w:t>10/10</w:t>
      </w:r>
      <w:r>
        <w:rPr>
          <w:rFonts w:ascii="Calibri" w:hAnsi="Calibri" w:eastAsia="Calibri"/>
          <w:b w:val="0"/>
          <w:i w:val="0"/>
        </w:rPr>
        <w:t xml:space="preserve"> guarded safe cases, and returned incomplete coverage for </w:t>
      </w:r>
      <w:r>
        <w:rPr>
          <w:rFonts w:ascii="Calibri" w:hAnsi="Calibri" w:eastAsia="Calibri"/>
          <w:b/>
          <w:i w:val="0"/>
        </w:rPr>
        <w:t>10/10</w:t>
      </w:r>
      <w:r>
        <w:rPr>
          <w:rFonts w:ascii="Calibri" w:hAnsi="Calibri" w:eastAsia="Calibri"/>
          <w:b w:val="0"/>
          <w:i w:val="0"/>
        </w:rPr>
        <w:t xml:space="preserve"> attestation faults. Snapshot PCUG returned current-state COMPLETE before all </w:t>
      </w:r>
      <w:r>
        <w:rPr>
          <w:rFonts w:ascii="Calibri" w:hAnsi="Calibri" w:eastAsia="Calibri"/>
          <w:b/>
          <w:i w:val="0"/>
        </w:rPr>
        <w:t>30/30</w:t>
      </w:r>
      <w:r>
        <w:rPr>
          <w:rFonts w:ascii="Calibri" w:hAnsi="Calibri" w:eastAsia="Calibri"/>
          <w:b w:val="0"/>
          <w:i w:val="0"/>
        </w:rPr>
        <w:t xml:space="preserve"> later physical regenerations. The blanket-carrier baseline rejected all </w:t>
      </w:r>
      <w:r>
        <w:rPr>
          <w:rFonts w:ascii="Calibri" w:hAnsi="Calibri" w:eastAsia="Calibri"/>
          <w:b/>
          <w:i w:val="0"/>
        </w:rPr>
        <w:t>10/10</w:t>
      </w:r>
      <w:r>
        <w:rPr>
          <w:rFonts w:ascii="Calibri" w:hAnsi="Calibri" w:eastAsia="Calibri"/>
          <w:b w:val="0"/>
          <w:i w:val="0"/>
        </w:rPr>
        <w:t xml:space="preserve"> safe guarded cases.</w:t>
      </w:r>
    </w:p>
    <w:p>
      <w:pPr>
        <w:widowControl/>
      </w:pPr>
      <w:r>
        <w:rPr>
          <w:rFonts w:ascii="Calibri" w:hAnsi="Calibri" w:eastAsia="Calibri"/>
          <w:b w:val="0"/>
          <w:i w:val="0"/>
        </w:rPr>
        <w:t xml:space="preserve">Single-carrier cases selected path-specific controls costing 2–5. Mixed cases selected the shared persistent tombstone at cost </w:t>
      </w:r>
      <w:r>
        <w:rPr>
          <w:rFonts w:ascii="Calibri" w:hAnsi="Calibri" w:eastAsia="Calibri"/>
          <w:b/>
          <w:i w:val="0"/>
        </w:rPr>
        <w:t>7</w:t>
      </w:r>
      <w:r>
        <w:rPr>
          <w:rFonts w:ascii="Calibri" w:hAnsi="Calibri" w:eastAsia="Calibri"/>
          <w:b w:val="0"/>
          <w:i w:val="0"/>
        </w:rPr>
        <w:t xml:space="preserve">, compared with four separate filters costing 14 or destroy-all costing 60. Physical replay after MSC caused </w:t>
      </w:r>
      <w:r>
        <w:rPr>
          <w:rFonts w:ascii="Calibri" w:hAnsi="Calibri" w:eastAsia="Calibri"/>
          <w:b/>
          <w:i w:val="0"/>
        </w:rPr>
        <w:t>0/30</w:t>
      </w:r>
      <w:r>
        <w:rPr>
          <w:rFonts w:ascii="Calibri" w:hAnsi="Calibri" w:eastAsia="Calibri"/>
          <w:b w:val="0"/>
          <w:i w:val="0"/>
        </w:rPr>
        <w:t xml:space="preserve"> recurrences. Beyond the 30 prospective cases, branch-and-bound MSC matched a separately implemented exhaustive oracle in </w:t>
      </w:r>
      <w:r>
        <w:rPr>
          <w:rFonts w:ascii="Calibri" w:hAnsi="Calibri" w:eastAsia="Calibri"/>
          <w:b/>
          <w:i w:val="0"/>
        </w:rPr>
        <w:t>16,384/16,384</w:t>
      </w:r>
      <w:r>
        <w:rPr>
          <w:rFonts w:ascii="Calibri" w:hAnsi="Calibri" w:eastAsia="Calibri"/>
          <w:b w:val="0"/>
          <w:i w:val="0"/>
        </w:rPr>
        <w:t xml:space="preserve"> deterministic configurations: all 16 carrier subsets, all 64 permission masks, eight adversarial cost catalogues, and both input orders.</w:t>
      </w:r>
    </w:p>
    <w:p>
      <w:pPr>
        <w:pStyle w:val="Heading1"/>
      </w:pPr>
      <w:r>
        <w:t>9. Discussion</w:t>
      </w:r>
    </w:p>
    <w:p>
      <w:pPr>
        <w:keepLines/>
        <w:jc w:val="center"/>
      </w:pPr>
      <w:r>
        <w:drawing>
          <wp:inline xmlns:a="http://schemas.openxmlformats.org/drawingml/2006/main" xmlns:pic="http://schemas.openxmlformats.org/drawingml/2006/picture">
            <wp:extent cx="5577840" cy="3935476"/>
            <wp:docPr id="2" name="Picture 2" descr="Results chart: PCUG has 0 of 75 false COMPLETE verdicts versus 75 of 75 for typed-node; CDC reaches 17.64-fold speedup and 94.62 percent fewer written bytes; RSE detects 30 of 30 risks with no post-MSC recurrenc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3935476"/>
                    </a:xfrm>
                    <a:prstGeom prst="rect"/>
                  </pic:spPr>
                </pic:pic>
              </a:graphicData>
            </a:graphic>
          </wp:inline>
        </w:drawing>
      </w:r>
    </w:p>
    <w:p>
      <w:pPr>
        <w:pStyle w:val="FigureCaption"/>
        <w:keepNext w:val="0"/>
      </w:pPr>
      <w:r>
        <w:t>Figure 2. Mechanism stress, measured multi-service holdout, and preregistered RSE v2. Author-generated from the frozen results.</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RSE adds a time dimension to the same principle. A recoverable carrier is not automatically a current residual, and current absence is not automatically stable. The shortest regeneration witness explains how a normal future operation can reopen the subject; MSC separates safe guarded retention from destructive carrier removal.</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i w:val="0"/>
        </w:rPr>
        <w:t>Model scope.</w:t>
      </w:r>
      <w:r>
        <w:rPr>
          <w:rFonts w:ascii="Calibri" w:hAnsi="Calibri" w:eastAsia="Calibri"/>
          <w:b w:val="0"/>
          <w:i w:val="0"/>
        </w:rPr>
        <w:t xml:space="preserve"> The adaptive MUFAC result follows exposed earlier runs. The sequential Olivetti result was preregistered and first-run, but uses a shallow classifier over frozen embeddings and four no-shadow-model release-difference attacks. Deep end-to-end models, adaptive shadow-model attacks, reconstruction, longer deletion sequences, population shift, and production threat models remain untested.</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Temporal scope.</w:t>
      </w:r>
      <w:r>
        <w:rPr>
          <w:rFonts w:ascii="Calibri" w:hAnsi="Calibri" w:eastAsia="Calibri"/>
          <w:b w:val="0"/>
          <w:i w:val="0"/>
        </w:rPr>
        <w:t xml:space="preserve"> RSE v2 uses four project-authored carrier families, deterministic synthetic vectors, declared costs, and local adapters. It does not prove observation of unknown future operations or organization-wide transition coverage. Snapshot PCUG and RSE answer different claims; the v2 comparison must not be presented as general PCUG failure.</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The evidence evaluated in this paper is preserved in the public v0.5.0 history; protocol and raw-record manifests carry cryptographic hashes.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scripts/verify_rse_conformance.py --expected formal/rse-msc-conformance-v1.json --output /tmp/rse-msc-conformance.json</w:t>
      </w:r>
    </w:p>
    <w:p>
      <w:pPr>
        <w:pStyle w:val="CodeBlock"/>
      </w:pPr>
      <w:r>
        <w:t>python scripts/verify_measured_multiservice_v1.py</w:t>
      </w:r>
    </w:p>
    <w:p>
      <w:pPr>
        <w:pStyle w:val="CodeBlock"/>
      </w:pPr>
      <w:r>
        <w:t>python scripts/verify_sequential_deletion_privacy_v1.py</w:t>
      </w:r>
    </w:p>
    <w:p>
      <w:pPr>
        <w:pStyle w:val="CodeBlock"/>
      </w:pPr>
      <w:r>
        <w:t>python scripts/verify_regeneration_safe_erasure_v2.py</w:t>
      </w:r>
    </w:p>
    <w:p>
      <w:pPr>
        <w:pStyle w:val="CodeBlock"/>
      </w:pPr>
      <w:r>
        <w:t>scripts/reproduce_release.sh core</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 No personal biometric data generated by the multi-service experiment are released because that experiment uses deterministic synthetic identities; the external face inputs remain governed by their original dataset terms.</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and future registered operations. A deletion request becomes a typed residual-path and temporal-reachability problem, completion becomes a conjunction of path closure, positive mandatory evidence, and stable registered transitions, and correction becomes a minimum-cost action problem whose result must survive replay. The abstract guarantees are machine-checked; the optimizers conform to exhaustive oracles;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D. Riepel, V. Chandrasekaran, E. Ghosh, O. Ohrimenko, and N. Papernot, “Verifiable and Provably Secure Machine Unlearning,” IEEE Conference on Secure and Trustworthy Machine Learning (SaTML), 2025; arXiv:2210.09126v3.</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“Tracking Data Lineage and Applying Data Removal to Enforce Data Removal Policies,” 2022.</w:t>
      </w:r>
    </w:p>
    <w:p>
      <w:pPr>
        <w:widowControl/>
      </w:pPr>
      <w:r>
        <w:rPr>
          <w:rFonts w:ascii="Calibri" w:hAnsi="Calibri" w:eastAsia="Calibri"/>
          <w:b w:val="0"/>
          <w:i w:val="0"/>
        </w:rPr>
        <w:t>[11] U.S. Patent US11120156B2, “Privacy Preserving Data Deletion,” 2021.</w:t>
      </w:r>
    </w:p>
    <w:p>
      <w:pPr>
        <w:widowControl/>
      </w:pPr>
      <w:r>
        <w:rPr>
          <w:rFonts w:ascii="Calibri" w:hAnsi="Calibri" w:eastAsia="Calibri"/>
          <w:b w:val="0"/>
          <w:i w:val="0"/>
        </w:rPr>
        <w:t>[12] U.S. Patent US12456052B2, “Systems and Methods for Facilitating Verifiability of Machine Learning Model Unlearning,” 2025.</w:t>
      </w:r>
    </w:p>
    <w:p>
      <w:pPr>
        <w:widowControl/>
      </w:pPr>
      <w:r>
        <w:rPr>
          <w:rFonts w:ascii="Calibri" w:hAnsi="Calibri" w:eastAsia="Calibri"/>
          <w:b w:val="0"/>
          <w:i w:val="0"/>
        </w:rPr>
        <w:t>[13] D. Temoshok et al., “Digital Identity Guidelines: Identity Proofing and Enrollment,” NIST SP 800-63A-4, July 2025. DOI: 10.6028/NIST.SP.800-63a-4.</w:t>
      </w:r>
    </w:p>
    <w:p>
      <w:pPr>
        <w:widowControl/>
      </w:pPr>
      <w:r>
        <w:rPr>
          <w:rFonts w:ascii="Calibri" w:hAnsi="Calibri" w:eastAsia="Calibri"/>
          <w:b w:val="0"/>
          <w:i w:val="0"/>
        </w:rPr>
        <w:t>[14] EraSeMap, public repository and evidence archive, version 0.5.0, 2026: https://github.com/nazkari86-lab/erasemap.</w:t>
      </w:r>
    </w:p>
    <w:p>
      <w:pPr>
        <w:widowControl/>
      </w:pPr>
      <w:r>
        <w:rPr>
          <w:rFonts w:ascii="Calibri" w:hAnsi="Calibri" w:eastAsia="Calibri"/>
          <w:b w:val="0"/>
          <w:i w:val="0"/>
        </w:rPr>
        <w:t>[15] European Data Protection Board, “EDPB identifies challenges hindering the full implementation of the right to erasure,” 18 February 2026.</w:t>
      </w:r>
    </w:p>
    <w:p>
      <w:pPr>
        <w:widowControl/>
      </w:pPr>
      <w:r>
        <w:rPr>
          <w:rFonts w:ascii="Calibri" w:hAnsi="Calibri" w:eastAsia="Calibri"/>
          <w:b w:val="0"/>
          <w:i w:val="0"/>
        </w:rPr>
        <w:t>[16] UK Patent Application GB2562767A, “Right to erasure compliant back-up,” 2018.</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catalog of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Selected action subset, B ⊆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Apply(G,B)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Deterministic post-action graph and evidence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Frozen three-valued evaluator</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Feasible(B)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All selected actions are permitted and replay returns COMPLETE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Reach(q₀,δ)</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States reachable after deletion under registered transitions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MSC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Minimum-cost Stabilization Cut blocking every registered regeneration witness</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MSC is safe and minimum-cost under registered temporal semantics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16,384/16,384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transition coverage and feasibility soundness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Sequential deletion candidate meets six frozen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 transitions; worst retained accuracy −0.00952; privacy upper CI 0.00624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First-run preregistered, but project-authored and no-shadow-model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RSE distinguishes future risk from guarded latent carriers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30/30 risks; 10/10 safe; 10/10 coverage faults; 0/30 post-MSC recurrences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project-authored local multi-path lab</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Regeneration-Safe Erasure Auditing for Biometric Systems</dc:title>
  <dc:subject>Biometric erasure auditing, PCUG, CDC, RSE, and machine unlearning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