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val="0"/>
          <w:i w:val="0"/>
        </w:rPr>
        <w:t>Topology-Robust Erasure (TRE) strengthens MSC from one map to a finite declared uncertainty envelope. Its protocol was also committed before implementation. In the first run, nominal MSC regenerated data in 35/35 topology shifts, whereas one exact TRE plan regenerated data in 0/35, cost 7 versus blanket destruction at 60, and matched an exhaustive oracle. Production TRE additionally matched the oracle in 4,096/4,096 systematic configurations. The guarantee is conditional on the real topology belonging to the declared envelope.</w:t>
      </w:r>
    </w:p>
    <w:p>
      <w:pPr>
        <w:widowControl/>
      </w:pPr>
      <w:r>
        <w:rPr>
          <w:rFonts w:ascii="Calibri" w:hAnsi="Calibri" w:eastAsia="Calibri"/>
          <w:b w:val="0"/>
          <w:i w:val="0"/>
        </w:rPr>
        <w:t xml:space="preserve">Erasure Tomography (ET) adds a bounded topology-acquisition layer. Three coded synthetic-subject workflows distinguish the empty support and four single recurrence mechanisms. The frozen first run recovered 8/8 valid supports, rejected 4/4 assumption violations, and recorded zero false localization, oracle mismatch, post-control recurrence, or retained-subject loss. A separate preregistered digest-pinned Redis run recovered 4/4 mechanisms and the safe case. Lean checks zero-error separation and limits ET-to-TRE safety to listed localized mechanisms. These results require catalogue closure, </w:t>
      </w:r>
      <w:r>
        <w:rPr>
          <w:rFonts w:ascii="Menlo" w:hAnsi="Menlo" w:eastAsia="Menlo"/>
          <w:color w:val="173B57"/>
          <w:sz w:val="19"/>
        </w:rPr>
        <w:t>k=1</w:t>
      </w:r>
      <w:r>
        <w:rPr>
          <w:rFonts w:ascii="Calibri" w:hAnsi="Calibri" w:eastAsia="Calibri"/>
          <w:b w:val="0"/>
          <w:i w:val="0"/>
        </w:rPr>
        <w:t xml:space="preserve">, </w:t>
      </w:r>
      <w:r>
        <w:rPr>
          <w:rFonts w:ascii="Menlo" w:hAnsi="Menlo" w:eastAsia="Menlo"/>
          <w:color w:val="173B57"/>
          <w:sz w:val="19"/>
        </w:rPr>
        <w:t>e=0</w:t>
      </w:r>
      <w:r>
        <w:rPr>
          <w:rFonts w:ascii="Calibri" w:hAnsi="Calibri" w:eastAsia="Calibri"/>
          <w:b w:val="0"/>
          <w:i w:val="0"/>
        </w:rPr>
        <w:t>, complete workflows, isolated synthetic subjects, stable behavior, and observable recurrence.</w:t>
      </w:r>
    </w:p>
    <w:p>
      <w:pPr>
        <w:widowControl/>
      </w:pPr>
      <w:r>
        <w:rPr>
          <w:rFonts w:ascii="Calibri" w:hAnsi="Calibri" w:eastAsia="Calibri"/>
          <w:b w:val="0"/>
          <w:i w:val="0"/>
        </w:rPr>
        <w:t>A further preregistered transfer study executed one frozen contract in 60 cases on digest-pinned stock Keycloak, MLflow, and Qdrant services. EraSeMap produced 0 false-complete decisions, failed closed on 15/15 coverage faults, matched a separate exhaustive control oracle in 60/60 cases, and produced no retained-subject loss or post-control recurrence. Native-success produced 45 false completes and the typed-node snapshot audit produced 5. Qdrant used preregistered public Olivetti face vectors; identities, commitments, mappings, faults, and execution remained project-authored, so this is live stock-service transfer evidence rather than independent or production validation.</w:t>
      </w:r>
    </w:p>
    <w:p>
      <w:pPr>
        <w:widowControl/>
      </w:pPr>
      <w:r>
        <w:rPr>
          <w:rFonts w:ascii="Calibri" w:hAnsi="Calibri" w:eastAsia="Calibri"/>
          <w:b w:val="0"/>
          <w:i w:val="0"/>
        </w:rPr>
        <w:t xml:space="preserve">GhostGraph adds active topology discovery when the registered recurrence map itself is uncertain. It maintains a finite version space of candidate graphs and selects the next synthetic intervention by an exact minimax partition rule. In the frozen v2 comparison, active minimax used 7 probes, returned 3 exact graph and 2 path-class recoveries, detected the outside-catalogue case, failed closed on missing evidence, and produced no false-confident output, oracle mismatch, recurrence after control, or retained-subject loss. Frozen random required 13 probes and exhaustive nonadaptive testing 49; passive declared lineage and flat tomography each produced one false-confident output. A separate run over digest-pinned Redis, Keycloak, MLflow, and Qdrant used 5 probes across 5 cases with the same safety endpoints. These remain project-authored bounded and local results. An independently signable blind challenge v2 is executable but has status </w:t>
      </w:r>
      <w:r>
        <w:rPr>
          <w:rFonts w:ascii="Menlo" w:hAnsi="Menlo" w:eastAsia="Menlo"/>
          <w:color w:val="173B57"/>
          <w:sz w:val="19"/>
        </w:rPr>
        <w:t>NOT_COLLECTED</w:t>
      </w:r>
      <w:r>
        <w:rPr>
          <w:rFonts w:ascii="Calibri" w:hAnsi="Calibri" w:eastAsia="Calibri"/>
          <w:b w:val="0"/>
          <w:i w:val="0"/>
        </w:rPr>
        <w:t xml:space="preserve"> until an outside evaluator authors and runs it.</w:t>
      </w:r>
    </w:p>
    <w:p>
      <w:pPr>
        <w:widowControl/>
      </w:pPr>
      <w:r>
        <w:rPr>
          <w:rFonts w:ascii="Calibri" w:hAnsi="Calibri" w:eastAsia="Calibri"/>
          <w:b w:val="0"/>
          <w:i w:val="0"/>
        </w:rPr>
        <w:t>GhostGraph-T changes the target from exact graph identity to the complete set of minimum erasure-operation cuts. A separately frozen 300-case benchmark achieved 300/300 correct action-or-OOD decisions, 50/50 held-out-family detections, zero false-confident outputs, and 1.28 mean probes versus 8.0 exhaustive. Exact graph recovery left 170 action-safe irrelevant-topology twins unresolved. Lean checks action-homogeneous stopping soundness and the impossibility of identifying different actions for query-indistinguishable graphs. Global optimization matched a separate recursive oracle but tied one-step minimax and greedy, so adaptive-baseline superiority is not claimed.</w:t>
      </w:r>
    </w:p>
    <w:p>
      <w:pPr>
        <w:widowControl/>
      </w:pPr>
      <w:r>
        <w:rPr>
          <w:rFonts w:ascii="Calibri" w:hAnsi="Calibri" w:eastAsia="Calibri"/>
          <w:b w:val="0"/>
          <w:i w:val="0"/>
        </w:rPr>
        <w:t>A preregistered three-seed NF4 QLoRA study on Qwen2.5-1.5B and TOFU produced a retained negative result. Post-audit accounting is six valid passes, two failures, and one semantically unevaluable perturbed-answer gate. The paired-gradient candidate missed the all-seed forgetting minimum, recovered only 33.8–39.1% of exact-reference forgetting, and failed world-fact utility. EraSeMap therefore kept the model channel incomplete. This is real-model project-operated evidence, not successful approximate unlearning or independent validation.</w:t>
      </w:r>
    </w:p>
    <w:p>
      <w:pPr>
        <w:widowControl/>
      </w:pPr>
      <w:r>
        <w:rPr>
          <w:rFonts w:ascii="Calibri" w:hAnsi="Calibri" w:eastAsia="Calibri"/>
          <w:b w:val="0"/>
          <w:i w:val="0"/>
        </w:rPr>
        <w:t>A separately frozen v2 corrected the evaluator and selected UCSGP only on author-disjoint development deletions. The selected configuration passed development but failed all five confirmation seeds by overscrubbing: normalized exact recovery was 4.957–8.632 against the required 0.8–1.25. It passed 8/12 gates, including at least 30.48x speedup and zero reload recurrence, but failed recovery, paraphrase, retain, and membership matching. This strengthens the falsifiable methodology while remaining a negative method result.</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i w:val="0"/>
        </w:rPr>
        <w:t>Hypothesis H4.</w:t>
      </w:r>
      <w:r>
        <w:rPr>
          <w:rFonts w:ascii="Calibri" w:hAnsi="Calibri" w:eastAsia="Calibri"/>
          <w:b w:val="0"/>
          <w:i w:val="0"/>
        </w:rPr>
        <w:t xml:space="preserve"> Across a finite declared topology envelope, one exact TRE plan can prevent every registered regeneration path at lower declared cost than blanket destruction, while a nominal MSC can fail after topology shift. The null hypothesis is that robust replay offers no safety/cost advantage over the fixed baselines.</w:t>
      </w:r>
    </w:p>
    <w:p>
      <w:pPr>
        <w:widowControl/>
      </w:pPr>
      <w:r>
        <w:rPr>
          <w:rFonts w:ascii="Calibri" w:hAnsi="Calibri" w:eastAsia="Calibri"/>
          <w:b/>
          <w:i w:val="0"/>
        </w:rPr>
        <w:t>Hypothesis H6.</w:t>
      </w:r>
      <w:r>
        <w:rPr>
          <w:rFonts w:ascii="Calibri" w:hAnsi="Calibri" w:eastAsia="Calibri"/>
          <w:b w:val="0"/>
          <w:i w:val="0"/>
        </w:rPr>
        <w:t xml:space="preserve"> Within a frozen finite candidate catalogue, adaptive minimax interventions can recover an exact graph or erasure-relevant path class with fewer probes than frozen random or exhaustive testing while failing closed on missing evidence and outside-catalogue behavior. The null hypothesis is that active selection provides no probe or safety advantage under the same catalogue and evidence contract.</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seven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NumberedItem"/>
      </w:pPr>
      <w:r>
        <w:rPr>
          <w:rFonts w:ascii="Calibri" w:hAnsi="Calibri" w:eastAsia="Calibri"/>
        </w:rPr>
        <w:t xml:space="preserve">6. </w:t>
      </w:r>
      <w:r>
        <w:rPr>
          <w:rFonts w:ascii="Calibri" w:hAnsi="Calibri" w:eastAsia="Calibri"/>
          <w:b w:val="0"/>
          <w:i w:val="0"/>
        </w:rPr>
        <w:t>A topology-robust TRE layer that selects one minimum-cost plan across a finite declared uncertainty envelope and reports the shortest adversarial witness and robustness premium over nominal MSC.</w:t>
      </w:r>
    </w:p>
    <w:p>
      <w:pPr>
        <w:pStyle w:val="NumberedItem"/>
      </w:pPr>
      <w:r>
        <w:rPr>
          <w:rFonts w:ascii="Calibri" w:hAnsi="Calibri" w:eastAsia="Calibri"/>
        </w:rPr>
        <w:t xml:space="preserve">7. </w:t>
      </w:r>
      <w:r>
        <w:rPr>
          <w:rFonts w:ascii="Calibri" w:hAnsi="Calibri" w:eastAsia="Calibri"/>
          <w:b w:val="0"/>
          <w:i w:val="0"/>
        </w:rPr>
        <w:t>A GhostGraph layer that actively shrinks a finite topology version space, independently checks each minimax choice against a separate oracle, and exposes a blind signed protocol for future external evaluation.</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Robust and probabilistic set covering already optimize coverage under uncertainty [17]. Synthetic test subjects and unique-token deletion checks also appear in prior patent claims [18]. TRE therefore claims neither robust optimization nor deletion canaries; its working contribution is their exclusion-aware composition with temporal subject erasure, fail-closed scenario evidence, exact all-scenario replay, and an adversarial regeneration witness.</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For TRE, </w:t>
      </w:r>
      <w:r>
        <w:rPr>
          <w:rFonts w:ascii="Menlo" w:hAnsi="Menlo" w:eastAsia="Menlo"/>
          <w:color w:val="173B57"/>
          <w:sz w:val="19"/>
        </w:rPr>
        <w:t>selected_tre_safe_for_every_scenario_and_minimum</w:t>
      </w:r>
      <w:r>
        <w:rPr>
          <w:rFonts w:ascii="Calibri" w:hAnsi="Calibri" w:eastAsia="Calibri"/>
          <w:b w:val="0"/>
          <w:i w:val="0"/>
        </w:rPr>
        <w:t xml:space="preserve"> proves safety for every listed scenario and minimum cost among robust-feasible candidates under the corresponding soundness obligation. These theorems cover the abstract core, not Python semantics, driver correctness, real topology discovery, or membership of the real topology in the uncertainty envelope.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2"/>
      </w:pPr>
      <w:r>
        <w:t>5.4 Erasure-action identifiability</w:t>
      </w:r>
    </w:p>
    <w:p>
      <w:pPr>
        <w:widowControl/>
      </w:pPr>
      <w:r>
        <w:rPr>
          <w:rFonts w:ascii="Calibri" w:hAnsi="Calibri" w:eastAsia="Calibri"/>
          <w:b w:val="0"/>
          <w:i w:val="0"/>
        </w:rPr>
        <w:t xml:space="preserve">Let </w:t>
      </w:r>
      <w:r>
        <w:rPr>
          <w:rFonts w:ascii="Calibri" w:hAnsi="Calibri" w:eastAsia="Calibri"/>
          <w:b/>
          <w:i w:val="0"/>
        </w:rPr>
        <w:t>A(G)</w:t>
      </w:r>
      <w:r>
        <w:rPr>
          <w:rFonts w:ascii="Calibri" w:hAnsi="Calibri" w:eastAsia="Calibri"/>
          <w:b w:val="0"/>
          <w:i w:val="0"/>
        </w:rPr>
        <w:t xml:space="preserve"> be the complete set of minimum-cardinality operation cuts intersecting every represented recovery path in graph </w:t>
      </w:r>
      <w:r>
        <w:rPr>
          <w:rFonts w:ascii="Calibri" w:hAnsi="Calibri" w:eastAsia="Calibri"/>
          <w:b/>
          <w:i w:val="0"/>
        </w:rPr>
        <w:t>G</w:t>
      </w:r>
      <w:r>
        <w:rPr>
          <w:rFonts w:ascii="Calibri" w:hAnsi="Calibri" w:eastAsia="Calibri"/>
          <w:b w:val="0"/>
          <w:i w:val="0"/>
        </w:rPr>
        <w:t xml:space="preserve">. Exact graph identity is unnecessary when all surviving graphs have the same </w:t>
      </w:r>
      <w:r>
        <w:rPr>
          <w:rFonts w:ascii="Calibri" w:hAnsi="Calibri" w:eastAsia="Calibri"/>
          <w:b/>
          <w:i w:val="0"/>
        </w:rPr>
        <w:t>A(G)</w:t>
      </w:r>
      <w:r>
        <w:rPr>
          <w:rFonts w:ascii="Calibri" w:hAnsi="Calibri" w:eastAsia="Calibri"/>
          <w:b w:val="0"/>
          <w:i w:val="0"/>
        </w:rPr>
        <w:t>. Lean proves that, under catalogue closure and sound observations, any member of an action-homogeneous survivor set prescribes the actual listed graph's action. It also proves the finite impossibility boundary: if two listed graphs need different actions but produce the same trace under every allowed query, no policy over those queries can establish action-identifiability.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445 collected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2"/>
      </w:pPr>
      <w:r>
        <w:t>7.8 Layer G: preregistered topology-robust erasure</w:t>
      </w:r>
    </w:p>
    <w:p>
      <w:pPr>
        <w:widowControl/>
      </w:pPr>
      <w:r>
        <w:rPr>
          <w:rFonts w:ascii="Calibri" w:hAnsi="Calibri" w:eastAsia="Calibri"/>
          <w:b w:val="0"/>
          <w:i w:val="0"/>
        </w:rPr>
        <w:t xml:space="preserve">TRE v1 was committed at </w:t>
      </w:r>
      <w:r>
        <w:rPr>
          <w:rFonts w:ascii="Menlo" w:hAnsi="Menlo" w:eastAsia="Menlo"/>
          <w:color w:val="173B57"/>
          <w:sz w:val="19"/>
        </w:rPr>
        <w:t>320e437</w:t>
      </w:r>
      <w:r>
        <w:rPr>
          <w:rFonts w:ascii="Calibri" w:hAnsi="Calibri" w:eastAsia="Calibri"/>
          <w:b w:val="0"/>
          <w:i w:val="0"/>
        </w:rPr>
        <w:t xml:space="preserve"> before solver, runner, verifier, or first result implementation. The nominal scenario contains backup restore. Seven shifted scenarios add every non-empty subset of checkpoint redeployment, legacy import, and retry replay; five frozen seeds produce 35 physical cases. The nominal exact MSC, exact all-scenario TRE, and blanket carrier destruction are compared under the same declared costs. Gates require 35/35 nominal-plan recurrences, zero TRE recurrences, zero oracle mismatches, cost 3 for nominal MSC, cost 7 for TRE, blanket cost 60, and a shift-specific witness in every case.</w:t>
      </w:r>
    </w:p>
    <w:p>
      <w:pPr>
        <w:pStyle w:val="Heading2"/>
      </w:pPr>
      <w:r>
        <w:t>7.9 Layer H: open stock-service transfer</w:t>
      </w:r>
    </w:p>
    <w:p>
      <w:pPr>
        <w:widowControl/>
      </w:pPr>
      <w:r>
        <w:rPr>
          <w:rFonts w:ascii="Calibri" w:hAnsi="Calibri" w:eastAsia="Calibri"/>
          <w:b w:val="0"/>
          <w:i w:val="0"/>
        </w:rPr>
        <w:t>Before implementation and the first complete run, v1 froze three immutable container images, five seeds, four fault states, public-input selection, equal-budget comparator rules, exact-control gates, and the core source hash. The services are Keycloak identity lifecycle, MLflow run/artifact lineage, and Qdrant biometric-vector retrieval. The 60-cell matrix contains safe native deletion, a surviving derivative, recovery regeneration, and missing mandatory coverage in every family.</w:t>
      </w:r>
    </w:p>
    <w:p>
      <w:pPr>
        <w:widowControl/>
      </w:pPr>
      <w:r>
        <w:rPr>
          <w:rFonts w:ascii="Calibri" w:hAnsi="Calibri" w:eastAsia="Calibri"/>
          <w:b w:val="0"/>
          <w:i w:val="0"/>
        </w:rPr>
        <w:t>The Qdrant confirmatory split uses five preregistered subjects from public Olivetti Faces, preserving the normalized 64×64 samples as untrained 4,096-dimensional vectors. Keycloak names and MLflow subject commitments are deterministic synthetic inputs. Every HTTP observation is redacted before append-only persistence; a provenance manifest hashes the public asset, all evidence ledgers, trials, and result. An offline verifier reparses the serialized trials, recomputes every gate, and rejects missing, extra, changed, or core-drifted artifacts.</w:t>
      </w:r>
    </w:p>
    <w:p>
      <w:pPr>
        <w:pStyle w:val="Heading2"/>
      </w:pPr>
      <w:r>
        <w:t>7.10 Layer I: active GhostGraph topology discovery</w:t>
      </w:r>
    </w:p>
    <w:p>
      <w:pPr>
        <w:widowControl/>
      </w:pPr>
      <w:r>
        <w:rPr>
          <w:rFonts w:ascii="Calibri" w:hAnsi="Calibri" w:eastAsia="Calibri"/>
          <w:b w:val="0"/>
          <w:i w:val="0"/>
        </w:rPr>
        <w:t>The v2 protocol freezes five graph hypotheses, six allowed experiments, seven hidden cases, an exact trace model, an evidence contract, and six strategies before reveal. At each step, active minimax partitions the version space by predicted trace and minimizes, in order, the largest remaining bucket, squared bucket sizes, declared cost, and experiment ID. A separately implemented bitmask oracle recomputes each choice. The runner stops with an exact graph, erasure-relevant path class, OUT_OF_HYPOTHESIS, or UNVERIFIED; incomplete evidence never becomes confidence.</w:t>
      </w:r>
    </w:p>
    <w:p>
      <w:pPr>
        <w:widowControl/>
      </w:pPr>
      <w:r>
        <w:rPr>
          <w:rFonts w:ascii="Calibri" w:hAnsi="Calibri" w:eastAsia="Calibri"/>
          <w:b w:val="0"/>
          <w:i w:val="0"/>
        </w:rPr>
        <w:t>The live transfer freezes four digest-pinned stock services—Redis, Keycloak, MLflow, and Qdrant—and executes native API observations using isolated synthetic commitments. Five cases cover direct recurrence, multi-hop recurrence, an outside-catalogue graph, a path-equivalent graph, and a safe graph. The external v2 protocol removes pre-disclosed traces: the project receives case IDs and evidence flags, sends one adaptively selected experiment to an evaluator-controlled adapter, and receives only its trace. After reveal, verification recomputes every trace, version space, planner/oracle choice, source hash, commitment, and Ed25519 signature. No external submission is currently claimed.</w:t>
      </w:r>
    </w:p>
    <w:p>
      <w:pPr>
        <w:pStyle w:val="Heading2"/>
      </w:pPr>
      <w:r>
        <w:t>7.11 Layer J: GhostGraph-T action identification</w:t>
      </w:r>
    </w:p>
    <w:p>
      <w:pPr>
        <w:widowControl/>
      </w:pPr>
      <w:r>
        <w:rPr>
          <w:rFonts w:ascii="Calibri" w:hAnsi="Calibri" w:eastAsia="Calibri"/>
          <w:b w:val="0"/>
          <w:i w:val="0"/>
        </w:rPr>
        <w:t xml:space="preserve">The v1 protocol and core were committed before the first result. It freezes 120 instance-held-out, 80 composition-held-out, 50 family-held-out, and 50 temporal-shift cases; eight strategies; source and case-manifest hashes; Wilson intervals; and seven success gates. A held-out family is evaluated only for </w:t>
      </w:r>
      <w:r>
        <w:rPr>
          <w:rFonts w:ascii="Menlo" w:hAnsi="Menlo" w:eastAsia="Menlo"/>
          <w:color w:val="173B57"/>
          <w:sz w:val="19"/>
        </w:rPr>
        <w:t>OUT_OF_HYPOTHESIS</w:t>
      </w:r>
      <w:r>
        <w:rPr>
          <w:rFonts w:ascii="Calibri" w:hAnsi="Calibri" w:eastAsia="Calibri"/>
          <w:b w:val="0"/>
          <w:i w:val="0"/>
        </w:rPr>
        <w:t>, never for impossible post-hoc localization. The exact global policy minimizes worst-case declared cost over the full finite decision tree and is checked against a separately structured recursive oracle.</w:t>
      </w:r>
    </w:p>
    <w:p>
      <w:pPr>
        <w:pStyle w:val="Heading2"/>
      </w:pPr>
      <w:r>
        <w:t>7.12 Layer K: real Qwen–TOFU model channel</w:t>
      </w:r>
    </w:p>
    <w:p>
      <w:pPr>
        <w:widowControl/>
      </w:pPr>
      <w:r>
        <w:rPr>
          <w:rFonts w:ascii="Calibri" w:hAnsi="Calibri" w:eastAsia="Calibri"/>
          <w:b w:val="0"/>
          <w:i w:val="0"/>
        </w:rPr>
        <w:t xml:space="preserve">Before the first valid GPU run, the protocol froze a pinned Qwen2.5-1.5B base, TOFU revision, three seeds, NF4 QLoRA configuration, target/exact/candidate procedures, six evaluation sets, nine conjunctive gates, and artifact hashes. The exact reference retrains an adapter on </w:t>
      </w:r>
      <w:r>
        <w:rPr>
          <w:rFonts w:ascii="Menlo" w:hAnsi="Menlo" w:eastAsia="Menlo"/>
          <w:color w:val="173B57"/>
          <w:sz w:val="19"/>
        </w:rPr>
        <w:t>retain99</w:t>
      </w:r>
      <w:r>
        <w:rPr>
          <w:rFonts w:ascii="Calibri" w:hAnsi="Calibri" w:eastAsia="Calibri"/>
          <w:b w:val="0"/>
          <w:i w:val="0"/>
        </w:rPr>
        <w:t>; it does not alter Qwen pretraining. Offline verification recomputes per-example losses, membership AUC, reload recurrence, all gates, and the decision from downloaded arrays.</w:t>
      </w:r>
    </w:p>
    <w:p>
      <w:pPr>
        <w:pStyle w:val="Heading2"/>
      </w:pPr>
      <w:r>
        <w:t>7.13 Qwen–TOFU v2 correction and author-disjoint confirmation</w:t>
      </w:r>
    </w:p>
    <w:p>
      <w:pPr>
        <w:widowControl/>
      </w:pPr>
      <w:r>
        <w:rPr>
          <w:rFonts w:ascii="Calibri" w:hAnsi="Calibri" w:eastAsia="Calibri"/>
          <w:b w:val="0"/>
          <w:i w:val="0"/>
        </w:rPr>
        <w:t xml:space="preserve">After the v1 result, a semantic audit found that the perturbed split had been read through its ordinary </w:t>
      </w:r>
      <w:r>
        <w:rPr>
          <w:rFonts w:ascii="Menlo" w:hAnsi="Menlo" w:eastAsia="Menlo"/>
          <w:color w:val="173B57"/>
          <w:sz w:val="19"/>
        </w:rPr>
        <w:t>answer</w:t>
      </w:r>
      <w:r>
        <w:rPr>
          <w:rFonts w:ascii="Calibri" w:hAnsi="Calibri" w:eastAsia="Calibri"/>
          <w:b w:val="0"/>
          <w:i w:val="0"/>
        </w:rPr>
        <w:t xml:space="preserve"> field. The separate v2 protocol correctly evaluates paraphrased and five false answers. Six declared UCSGP configurations were selected using only </w:t>
      </w:r>
      <w:r>
        <w:rPr>
          <w:rFonts w:ascii="Menlo" w:hAnsi="Menlo" w:eastAsia="Menlo"/>
          <w:color w:val="173B57"/>
          <w:sz w:val="19"/>
        </w:rPr>
        <w:t>forget05</w:t>
      </w:r>
      <w:r>
        <w:rPr>
          <w:rFonts w:ascii="Calibri" w:hAnsi="Calibri" w:eastAsia="Calibri"/>
          <w:b w:val="0"/>
          <w:i w:val="0"/>
        </w:rPr>
        <w:t xml:space="preserve"> rows outside </w:t>
      </w:r>
      <w:r>
        <w:rPr>
          <w:rFonts w:ascii="Menlo" w:hAnsi="Menlo" w:eastAsia="Menlo"/>
          <w:color w:val="173B57"/>
          <w:sz w:val="19"/>
        </w:rPr>
        <w:t>forget01</w:t>
      </w:r>
      <w:r>
        <w:rPr>
          <w:rFonts w:ascii="Calibri" w:hAnsi="Calibri" w:eastAsia="Calibri"/>
          <w:b w:val="0"/>
          <w:i w:val="0"/>
        </w:rPr>
        <w:t xml:space="preserve">, </w:t>
      </w:r>
      <w:r>
        <w:rPr>
          <w:rFonts w:ascii="Menlo" w:hAnsi="Menlo" w:eastAsia="Menlo"/>
          <w:color w:val="173B57"/>
          <w:sz w:val="19"/>
        </w:rPr>
        <w:t>retain95</w:t>
      </w:r>
      <w:r>
        <w:rPr>
          <w:rFonts w:ascii="Calibri" w:hAnsi="Calibri" w:eastAsia="Calibri"/>
          <w:b w:val="0"/>
          <w:i w:val="0"/>
        </w:rPr>
        <w:t xml:space="preserve"> utility rows that exclude all reserved authors, and two development seeds. The chosen configuration was then locked for five untouched confirmation seeds. Its primary endpoint is normalized exact-retraining recovery, with a required per-seed interval of 0.8–1.25, plus retained, real-author, world-fact, truth-margin, membership-proxy, speed, and reload gates. Offline verification binds the source commit, protocol digest, raw arrays, adapter hashes, development selection, seed lists, recomputed aggregates, and decision.</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Open stock services, 60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false complete; 15/15 coverage faults fail closed; 0 retained loss/recurrence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Native-success: 45 false complete; typed-node audit: 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frozen contract transfers across three live stock families; mappings and faults remain project-authored</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2"/>
      </w:pPr>
      <w:r>
        <w:t>8.7 Topology-Robust Erasure</w:t>
      </w:r>
    </w:p>
    <w:p>
      <w:pPr>
        <w:widowControl/>
      </w:pPr>
      <w:r>
        <w:rPr>
          <w:rFonts w:ascii="Calibri" w:hAnsi="Calibri" w:eastAsia="Calibri"/>
          <w:b w:val="0"/>
          <w:i w:val="0"/>
        </w:rPr>
        <w:t xml:space="preserve">The first prospective TRE run passed every frozen gate. The backup-only nominal MSC selected a path filter at cost </w:t>
      </w:r>
      <w:r>
        <w:rPr>
          <w:rFonts w:ascii="Calibri" w:hAnsi="Calibri" w:eastAsia="Calibri"/>
          <w:b/>
          <w:i w:val="0"/>
        </w:rPr>
        <w:t>3</w:t>
      </w:r>
      <w:r>
        <w:rPr>
          <w:rFonts w:ascii="Calibri" w:hAnsi="Calibri" w:eastAsia="Calibri"/>
          <w:b w:val="0"/>
          <w:i w:val="0"/>
        </w:rPr>
        <w:t xml:space="preserve">. After each of the 35 frozen topology shifts, at least one added carrier bypassed that filter and physically regenerated subject data: </w:t>
      </w:r>
      <w:r>
        <w:rPr>
          <w:rFonts w:ascii="Calibri" w:hAnsi="Calibri" w:eastAsia="Calibri"/>
          <w:b/>
          <w:i w:val="0"/>
        </w:rPr>
        <w:t>35/35</w:t>
      </w:r>
      <w:r>
        <w:rPr>
          <w:rFonts w:ascii="Calibri" w:hAnsi="Calibri" w:eastAsia="Calibri"/>
          <w:b w:val="0"/>
          <w:i w:val="0"/>
        </w:rPr>
        <w:t xml:space="preserve"> recurrences. TRE selected one persistent subject tombstone at cost </w:t>
      </w:r>
      <w:r>
        <w:rPr>
          <w:rFonts w:ascii="Calibri" w:hAnsi="Calibri" w:eastAsia="Calibri"/>
          <w:b/>
          <w:i w:val="0"/>
        </w:rPr>
        <w:t>7</w:t>
      </w:r>
      <w:r>
        <w:rPr>
          <w:rFonts w:ascii="Calibri" w:hAnsi="Calibri" w:eastAsia="Calibri"/>
          <w:b w:val="0"/>
          <w:i w:val="0"/>
        </w:rPr>
        <w:t xml:space="preserve">, returned a shift-specific adversarial witness in </w:t>
      </w:r>
      <w:r>
        <w:rPr>
          <w:rFonts w:ascii="Calibri" w:hAnsi="Calibri" w:eastAsia="Calibri"/>
          <w:b/>
          <w:i w:val="0"/>
        </w:rPr>
        <w:t>35/35</w:t>
      </w:r>
      <w:r>
        <w:rPr>
          <w:rFonts w:ascii="Calibri" w:hAnsi="Calibri" w:eastAsia="Calibri"/>
          <w:b w:val="0"/>
          <w:i w:val="0"/>
        </w:rPr>
        <w:t xml:space="preserve"> cases, and produced </w:t>
      </w:r>
      <w:r>
        <w:rPr>
          <w:rFonts w:ascii="Calibri" w:hAnsi="Calibri" w:eastAsia="Calibri"/>
          <w:b/>
          <w:i w:val="0"/>
        </w:rPr>
        <w:t>0/35</w:t>
      </w:r>
      <w:r>
        <w:rPr>
          <w:rFonts w:ascii="Calibri" w:hAnsi="Calibri" w:eastAsia="Calibri"/>
          <w:b w:val="0"/>
          <w:i w:val="0"/>
        </w:rPr>
        <w:t xml:space="preserve"> post-control recurrences. Blanket destruction cost 60, so the declared robustness premium over nominal MSC was 4 while the saving relative to blanket action was 53.</w:t>
      </w:r>
    </w:p>
    <w:p>
      <w:pPr>
        <w:widowControl/>
      </w:pPr>
      <w:r>
        <w:rPr>
          <w:rFonts w:ascii="Calibri" w:hAnsi="Calibri" w:eastAsia="Calibri"/>
          <w:b w:val="0"/>
          <w:i w:val="0"/>
        </w:rPr>
        <w:t xml:space="preserve">Production TRE matched the separately implemented exhaustive oracle in the prospective run and in </w:t>
      </w:r>
      <w:r>
        <w:rPr>
          <w:rFonts w:ascii="Calibri" w:hAnsi="Calibri" w:eastAsia="Calibri"/>
          <w:b/>
          <w:i w:val="0"/>
        </w:rPr>
        <w:t>4,096/4,096</w:t>
      </w:r>
      <w:r>
        <w:rPr>
          <w:rFonts w:ascii="Calibri" w:hAnsi="Calibri" w:eastAsia="Calibri"/>
          <w:b w:val="0"/>
          <w:i w:val="0"/>
        </w:rPr>
        <w:t xml:space="preserve"> deterministic configurations spanning eight uncertainty envelopes, all 64 permission masks, four adversarial cost catalogues, and both input orders.</w:t>
      </w:r>
    </w:p>
    <w:p>
      <w:pPr>
        <w:pStyle w:val="Heading2"/>
      </w:pPr>
      <w:r>
        <w:t>8.8 Erasure Tomography</w:t>
      </w:r>
    </w:p>
    <w:p>
      <w:pPr>
        <w:widowControl/>
      </w:pPr>
      <w:r>
        <w:rPr>
          <w:rFonts w:ascii="Calibri" w:hAnsi="Calibri" w:eastAsia="Calibri"/>
          <w:b/>
          <w:i w:val="0"/>
        </w:rPr>
        <w:t>Hypothesis H5.</w:t>
      </w:r>
      <w:r>
        <w:rPr>
          <w:rFonts w:ascii="Calibri" w:hAnsi="Calibri" w:eastAsia="Calibri"/>
          <w:b w:val="0"/>
          <w:i w:val="0"/>
        </w:rPr>
        <w:t xml:space="preserve"> Within a frozen candidate catalogue, coded deletion/recovery workflows can</w:t>
      </w:r>
    </w:p>
    <w:p>
      <w:pPr>
        <w:widowControl/>
      </w:pPr>
      <w:r>
        <w:rPr>
          <w:rFonts w:ascii="Calibri" w:hAnsi="Calibri" w:eastAsia="Calibri"/>
          <w:b w:val="0"/>
          <w:i w:val="0"/>
        </w:rPr>
        <w:t>localize one active recurrence mechanism using fewer rounds than individual testing, while</w:t>
      </w:r>
    </w:p>
    <w:p>
      <w:pPr>
        <w:widowControl/>
      </w:pPr>
      <w:r>
        <w:rPr>
          <w:rFonts w:ascii="Calibri" w:hAnsi="Calibri" w:eastAsia="Calibri"/>
          <w:b w:val="0"/>
          <w:i w:val="0"/>
        </w:rPr>
        <w:t>returning UNVERIFIED when catalogue, sparsity, execution, or isolation assumptions fail.</w:t>
      </w:r>
    </w:p>
    <w:p>
      <w:pPr>
        <w:widowControl/>
      </w:pPr>
      <w:r>
        <w:rPr>
          <w:rFonts w:ascii="Calibri" w:hAnsi="Calibri" w:eastAsia="Calibri"/>
          <w:b w:val="0"/>
          <w:i w:val="0"/>
        </w:rPr>
        <w:t xml:space="preserve">The prospective bounded run recovered </w:t>
      </w:r>
      <w:r>
        <w:rPr>
          <w:rFonts w:ascii="Calibri" w:hAnsi="Calibri" w:eastAsia="Calibri"/>
          <w:b/>
          <w:i w:val="0"/>
        </w:rPr>
        <w:t>8/8</w:t>
      </w:r>
      <w:r>
        <w:rPr>
          <w:rFonts w:ascii="Calibri" w:hAnsi="Calibri" w:eastAsia="Calibri"/>
          <w:b w:val="0"/>
          <w:i w:val="0"/>
        </w:rPr>
        <w:t xml:space="preserve"> valid supports with three coded workflows rather than</w:t>
      </w:r>
    </w:p>
    <w:p>
      <w:pPr>
        <w:widowControl/>
      </w:pPr>
      <w:r>
        <w:rPr>
          <w:rFonts w:ascii="Calibri" w:hAnsi="Calibri" w:eastAsia="Calibri"/>
          <w:b w:val="0"/>
          <w:i w:val="0"/>
        </w:rPr>
        <w:t xml:space="preserve">four individual checks, returned NO_OBSERVED_RECURRENCE in </w:t>
      </w:r>
      <w:r>
        <w:rPr>
          <w:rFonts w:ascii="Calibri" w:hAnsi="Calibri" w:eastAsia="Calibri"/>
          <w:b/>
          <w:i w:val="0"/>
        </w:rPr>
        <w:t>2/2</w:t>
      </w:r>
      <w:r>
        <w:rPr>
          <w:rFonts w:ascii="Calibri" w:hAnsi="Calibri" w:eastAsia="Calibri"/>
          <w:b w:val="0"/>
          <w:i w:val="0"/>
        </w:rPr>
        <w:t xml:space="preserve"> safe cases, and returned</w:t>
      </w:r>
    </w:p>
    <w:p>
      <w:pPr>
        <w:widowControl/>
      </w:pPr>
      <w:r>
        <w:rPr>
          <w:rFonts w:ascii="Calibri" w:hAnsi="Calibri" w:eastAsia="Calibri"/>
          <w:b w:val="0"/>
          <w:i w:val="0"/>
        </w:rPr>
        <w:t xml:space="preserve">UNVERIFIED for </w:t>
      </w:r>
      <w:r>
        <w:rPr>
          <w:rFonts w:ascii="Calibri" w:hAnsi="Calibri" w:eastAsia="Calibri"/>
          <w:b/>
          <w:i w:val="0"/>
        </w:rPr>
        <w:t>4/4</w:t>
      </w:r>
      <w:r>
        <w:rPr>
          <w:rFonts w:ascii="Calibri" w:hAnsi="Calibri" w:eastAsia="Calibri"/>
          <w:b w:val="0"/>
          <w:i w:val="0"/>
        </w:rPr>
        <w:t xml:space="preserve"> assumption violations. False localization, production/oracle mismatch,</w:t>
      </w:r>
    </w:p>
    <w:p>
      <w:pPr>
        <w:widowControl/>
      </w:pPr>
      <w:r>
        <w:rPr>
          <w:rFonts w:ascii="Calibri" w:hAnsi="Calibri" w:eastAsia="Calibri"/>
          <w:b w:val="0"/>
          <w:i w:val="0"/>
        </w:rPr>
        <w:t>post-control recurrence, and retained-subject loss were all zero. Production decoding matched a</w:t>
      </w:r>
    </w:p>
    <w:p>
      <w:pPr>
        <w:widowControl/>
      </w:pPr>
      <w:r>
        <w:rPr>
          <w:rFonts w:ascii="Calibri" w:hAnsi="Calibri" w:eastAsia="Calibri"/>
          <w:b w:val="0"/>
          <w:i w:val="0"/>
        </w:rPr>
        <w:t xml:space="preserve">separately implemented bitmask oracle in </w:t>
      </w:r>
      <w:r>
        <w:rPr>
          <w:rFonts w:ascii="Calibri" w:hAnsi="Calibri" w:eastAsia="Calibri"/>
          <w:b/>
          <w:i w:val="0"/>
        </w:rPr>
        <w:t>3,584/3,584</w:t>
      </w:r>
      <w:r>
        <w:rPr>
          <w:rFonts w:ascii="Calibri" w:hAnsi="Calibri" w:eastAsia="Calibri"/>
          <w:b w:val="0"/>
          <w:i w:val="0"/>
        </w:rPr>
        <w:t xml:space="preserve"> configurations.</w:t>
      </w:r>
    </w:p>
    <w:p>
      <w:pPr>
        <w:widowControl/>
      </w:pPr>
      <w:r>
        <w:rPr>
          <w:rFonts w:ascii="Calibri" w:hAnsi="Calibri" w:eastAsia="Calibri"/>
          <w:b w:val="0"/>
          <w:i w:val="0"/>
        </w:rPr>
        <w:t>A separately preregistered live transfer used the digest-pinned Redis image and four</w:t>
      </w:r>
    </w:p>
    <w:p>
      <w:pPr>
        <w:widowControl/>
      </w:pPr>
      <w:r>
        <w:rPr>
          <w:rFonts w:ascii="Calibri" w:hAnsi="Calibri" w:eastAsia="Calibri"/>
          <w:b w:val="0"/>
          <w:i w:val="0"/>
        </w:rPr>
        <w:t xml:space="preserve">project-authored native recovery workflows. It recovered </w:t>
      </w:r>
      <w:r>
        <w:rPr>
          <w:rFonts w:ascii="Calibri" w:hAnsi="Calibri" w:eastAsia="Calibri"/>
          <w:b/>
          <w:i w:val="0"/>
        </w:rPr>
        <w:t>4/4</w:t>
      </w:r>
      <w:r>
        <w:rPr>
          <w:rFonts w:ascii="Calibri" w:hAnsi="Calibri" w:eastAsia="Calibri"/>
          <w:b w:val="0"/>
          <w:i w:val="0"/>
        </w:rPr>
        <w:t xml:space="preserve"> mechanisms and the safe case with</w:t>
      </w:r>
    </w:p>
    <w:p>
      <w:pPr>
        <w:widowControl/>
      </w:pPr>
      <w:r>
        <w:rPr>
          <w:rFonts w:ascii="Calibri" w:hAnsi="Calibri" w:eastAsia="Calibri"/>
          <w:b w:val="0"/>
          <w:i w:val="0"/>
        </w:rPr>
        <w:t>zero false localization, recurrence, or retained loss. Random and greedy three-row coded baselines</w:t>
      </w:r>
    </w:p>
    <w:p>
      <w:pPr>
        <w:widowControl/>
      </w:pPr>
      <w:r>
        <w:rPr>
          <w:rFonts w:ascii="Calibri" w:hAnsi="Calibri" w:eastAsia="Calibri"/>
          <w:b w:val="0"/>
          <w:i w:val="0"/>
        </w:rPr>
        <w:t>also recovered every singleton in this small domain. Therefore the supported novelty is the</w:t>
      </w:r>
    </w:p>
    <w:p>
      <w:pPr>
        <w:widowControl/>
      </w:pPr>
      <w:r>
        <w:rPr>
          <w:rFonts w:ascii="Calibri" w:hAnsi="Calibri" w:eastAsia="Calibri"/>
          <w:b w:val="0"/>
          <w:i w:val="0"/>
        </w:rPr>
        <w:t>fail-closed erasure-specific acquisition-to-PCUG/TRE-repair composition, not a new or superior</w:t>
      </w:r>
    </w:p>
    <w:p>
      <w:pPr>
        <w:widowControl/>
      </w:pPr>
      <w:r>
        <w:rPr>
          <w:rFonts w:ascii="Calibri" w:hAnsi="Calibri" w:eastAsia="Calibri"/>
          <w:b w:val="0"/>
          <w:i w:val="0"/>
        </w:rPr>
        <w:t>general group-testing code.</w:t>
      </w:r>
    </w:p>
    <w:p>
      <w:pPr>
        <w:widowControl/>
      </w:pPr>
      <w:r>
        <w:rPr>
          <w:rFonts w:ascii="Calibri" w:hAnsi="Calibri" w:eastAsia="Calibri"/>
          <w:b w:val="0"/>
          <w:i w:val="0"/>
        </w:rPr>
        <w:t>Boolean network tomography and nonadaptive group testing already localize defective components</w:t>
      </w:r>
    </w:p>
    <w:p>
      <w:pPr>
        <w:widowControl/>
      </w:pPr>
      <w:r>
        <w:rPr>
          <w:rFonts w:ascii="Calibri" w:hAnsi="Calibri" w:eastAsia="Calibri"/>
          <w:b w:val="0"/>
          <w:i w:val="0"/>
        </w:rPr>
        <w:t>from coded Boolean outcomes [19,20], and dependency-aware P2E2 computes meaningful additional</w:t>
      </w:r>
    </w:p>
    <w:p>
      <w:pPr>
        <w:widowControl/>
      </w:pPr>
      <w:r>
        <w:rPr>
          <w:rFonts w:ascii="Calibri" w:hAnsi="Calibri" w:eastAsia="Calibri"/>
          <w:b w:val="0"/>
          <w:i w:val="0"/>
        </w:rPr>
        <w:t>erasure when semantic rules are supplied [21]. The targeted review found no identical end-to-end ET</w:t>
      </w:r>
    </w:p>
    <w:p>
      <w:pPr>
        <w:widowControl/>
      </w:pPr>
      <w:r>
        <w:rPr>
          <w:rFonts w:ascii="Calibri" w:hAnsi="Calibri" w:eastAsia="Calibri"/>
          <w:b w:val="0"/>
          <w:i w:val="0"/>
        </w:rPr>
        <w:t>contract, but this is not a world-priority or patentability claim.</w:t>
      </w:r>
    </w:p>
    <w:p>
      <w:pPr>
        <w:pStyle w:val="Heading2"/>
      </w:pPr>
      <w:r>
        <w:t>8.9 GhostGraph active discovery</w:t>
      </w:r>
    </w:p>
    <w:p>
      <w:pPr>
        <w:widowControl/>
      </w:pPr>
      <w:r>
        <w:rPr>
          <w:rFonts w:ascii="Calibri" w:hAnsi="Calibri" w:eastAsia="Calibri"/>
          <w:b w:val="0"/>
          <w:i w:val="0"/>
        </w:rPr>
        <w:t xml:space="preserve">The frozen v2 run passed every gate. Active minimax required </w:t>
      </w:r>
      <w:r>
        <w:rPr>
          <w:rFonts w:ascii="Calibri" w:hAnsi="Calibri" w:eastAsia="Calibri"/>
          <w:b/>
          <w:i w:val="0"/>
        </w:rPr>
        <w:t>7</w:t>
      </w:r>
      <w:r>
        <w:rPr>
          <w:rFonts w:ascii="Calibri" w:hAnsi="Calibri" w:eastAsia="Calibri"/>
          <w:b w:val="0"/>
          <w:i w:val="0"/>
        </w:rPr>
        <w:t xml:space="preserve"> probes across seven cases, achieved </w:t>
      </w:r>
      <w:r>
        <w:rPr>
          <w:rFonts w:ascii="Calibri" w:hAnsi="Calibri" w:eastAsia="Calibri"/>
          <w:b/>
          <w:i w:val="0"/>
        </w:rPr>
        <w:t>3</w:t>
      </w:r>
      <w:r>
        <w:rPr>
          <w:rFonts w:ascii="Calibri" w:hAnsi="Calibri" w:eastAsia="Calibri"/>
          <w:b w:val="0"/>
          <w:i w:val="0"/>
        </w:rPr>
        <w:t xml:space="preserve"> exact graph and </w:t>
      </w:r>
      <w:r>
        <w:rPr>
          <w:rFonts w:ascii="Calibri" w:hAnsi="Calibri" w:eastAsia="Calibri"/>
          <w:b/>
          <w:i w:val="0"/>
        </w:rPr>
        <w:t>2</w:t>
      </w:r>
      <w:r>
        <w:rPr>
          <w:rFonts w:ascii="Calibri" w:hAnsi="Calibri" w:eastAsia="Calibri"/>
          <w:b w:val="0"/>
          <w:i w:val="0"/>
        </w:rPr>
        <w:t xml:space="preserve"> path-class recoveries, detected </w:t>
      </w:r>
      <w:r>
        <w:rPr>
          <w:rFonts w:ascii="Calibri" w:hAnsi="Calibri" w:eastAsia="Calibri"/>
          <w:b/>
          <w:i w:val="0"/>
        </w:rPr>
        <w:t>1/1</w:t>
      </w:r>
      <w:r>
        <w:rPr>
          <w:rFonts w:ascii="Calibri" w:hAnsi="Calibri" w:eastAsia="Calibri"/>
          <w:b w:val="0"/>
          <w:i w:val="0"/>
        </w:rPr>
        <w:t xml:space="preserve"> outside-catalogue case, returned UNVERIFIED for missing evidence, and recorded zero false confidence, planner/oracle mismatch, post-control recurrence, or retained-subject loss. Frozen random required </w:t>
      </w:r>
      <w:r>
        <w:rPr>
          <w:rFonts w:ascii="Calibri" w:hAnsi="Calibri" w:eastAsia="Calibri"/>
          <w:b/>
          <w:i w:val="0"/>
        </w:rPr>
        <w:t>13</w:t>
      </w:r>
      <w:r>
        <w:rPr>
          <w:rFonts w:ascii="Calibri" w:hAnsi="Calibri" w:eastAsia="Calibri"/>
          <w:b w:val="0"/>
          <w:i w:val="0"/>
        </w:rPr>
        <w:t xml:space="preserve"> probes for the same endpoints; nonadaptive exhaustive testing required </w:t>
      </w:r>
      <w:r>
        <w:rPr>
          <w:rFonts w:ascii="Calibri" w:hAnsi="Calibri" w:eastAsia="Calibri"/>
          <w:b/>
          <w:i w:val="0"/>
        </w:rPr>
        <w:t>49</w:t>
      </w:r>
      <w:r>
        <w:rPr>
          <w:rFonts w:ascii="Calibri" w:hAnsi="Calibri" w:eastAsia="Calibri"/>
          <w:b w:val="0"/>
          <w:i w:val="0"/>
        </w:rPr>
        <w:t xml:space="preserve">. Greedy separated-pairs tied active minimax at 7 probes in this small catalogue, so global query optimality is not claimed. Passive declared lineage and flat tomography each produced </w:t>
      </w:r>
      <w:r>
        <w:rPr>
          <w:rFonts w:ascii="Calibri" w:hAnsi="Calibri" w:eastAsia="Calibri"/>
          <w:b/>
          <w:i w:val="0"/>
        </w:rPr>
        <w:t>1</w:t>
      </w:r>
      <w:r>
        <w:rPr>
          <w:rFonts w:ascii="Calibri" w:hAnsi="Calibri" w:eastAsia="Calibri"/>
          <w:b w:val="0"/>
          <w:i w:val="0"/>
        </w:rPr>
        <w:t xml:space="preserve"> false-confident output; flat tomography also missed the outside-catalogue case.</w:t>
      </w:r>
    </w:p>
    <w:p>
      <w:pPr>
        <w:widowControl/>
      </w:pPr>
      <w:r>
        <w:rPr>
          <w:rFonts w:ascii="Calibri" w:hAnsi="Calibri" w:eastAsia="Calibri"/>
          <w:b w:val="0"/>
          <w:i w:val="0"/>
        </w:rPr>
        <w:t xml:space="preserve">The digest-pinned four-service run used </w:t>
      </w:r>
      <w:r>
        <w:rPr>
          <w:rFonts w:ascii="Calibri" w:hAnsi="Calibri" w:eastAsia="Calibri"/>
          <w:b/>
          <w:i w:val="0"/>
        </w:rPr>
        <w:t>5</w:t>
      </w:r>
      <w:r>
        <w:rPr>
          <w:rFonts w:ascii="Calibri" w:hAnsi="Calibri" w:eastAsia="Calibri"/>
          <w:b w:val="0"/>
          <w:i w:val="0"/>
        </w:rPr>
        <w:t xml:space="preserve"> probes across five cases, recovered three exact-or-path-class cases, detected the outside-catalogue case, recognized the safe case, and recorded zero false confidence, mismatch, recurrence, retained loss, or cleanup failure. This is stronger transfer evidence than an in-memory simulator but remains a project-operated local test. The external blind protocol is technically complete and adversarially tested, but its evidence status remains </w:t>
      </w:r>
      <w:r>
        <w:rPr>
          <w:rFonts w:ascii="Calibri" w:hAnsi="Calibri" w:eastAsia="Calibri"/>
          <w:b/>
          <w:i w:val="0"/>
        </w:rPr>
        <w:t>NOT_COLLECTED</w:t>
      </w:r>
      <w:r>
        <w:rPr>
          <w:rFonts w:ascii="Calibri" w:hAnsi="Calibri" w:eastAsia="Calibri"/>
          <w:b w:val="0"/>
          <w:i w:val="0"/>
        </w:rPr>
        <w:t>.</w:t>
      </w:r>
    </w:p>
    <w:p>
      <w:pPr>
        <w:pStyle w:val="Heading2"/>
      </w:pPr>
      <w:r>
        <w:t>8.10 GhostGraph-T action identification</w:t>
      </w:r>
    </w:p>
    <w:p>
      <w:pPr>
        <w:widowControl/>
      </w:pPr>
      <w:r>
        <w:rPr>
          <w:rFonts w:ascii="Calibri" w:hAnsi="Calibri" w:eastAsia="Calibri"/>
          <w:b w:val="0"/>
          <w:i w:val="0"/>
        </w:rPr>
        <w:t xml:space="preserve">The first locked run passed all frozen gates: </w:t>
      </w:r>
      <w:r>
        <w:rPr>
          <w:rFonts w:ascii="Calibri" w:hAnsi="Calibri" w:eastAsia="Calibri"/>
          <w:b/>
          <w:i w:val="0"/>
        </w:rPr>
        <w:t>300/300</w:t>
      </w:r>
      <w:r>
        <w:rPr>
          <w:rFonts w:ascii="Calibri" w:hAnsi="Calibri" w:eastAsia="Calibri"/>
          <w:b w:val="0"/>
          <w:i w:val="0"/>
        </w:rPr>
        <w:t xml:space="preserve"> correct action-or-OOD decisions, </w:t>
      </w:r>
      <w:r>
        <w:rPr>
          <w:rFonts w:ascii="Calibri" w:hAnsi="Calibri" w:eastAsia="Calibri"/>
          <w:b/>
          <w:i w:val="0"/>
        </w:rPr>
        <w:t>50/50</w:t>
      </w:r>
      <w:r>
        <w:rPr>
          <w:rFonts w:ascii="Calibri" w:hAnsi="Calibri" w:eastAsia="Calibri"/>
          <w:b w:val="0"/>
          <w:i w:val="0"/>
        </w:rPr>
        <w:t xml:space="preserve"> held-out-family detections, zero false-confident outputs (Wilson 95% upper bound 0.01265), and zero global-policy/oracle mismatches. The global policy used 1.28 mean probes at declared cost 8.84, compared with 8.0 probes and cost 28.0 for exhaustive testing. Exact-graph minimax resolved only 130/300 and returned UNVERIFIED for 170 irrelevant-topology twins; sink-only observation left 41 temporal cases unresolved; passive lineage produced 265 false-confident actions.</w:t>
      </w:r>
    </w:p>
    <w:p>
      <w:pPr>
        <w:widowControl/>
      </w:pPr>
      <w:r>
        <w:rPr>
          <w:rFonts w:ascii="Calibri" w:hAnsi="Calibri" w:eastAsia="Calibri"/>
          <w:b w:val="0"/>
          <w:i w:val="0"/>
        </w:rPr>
        <w:t>Global, one-step minimax, and greedy all achieved the same correctness, probes, and cost. This is a negative result against a superiority claim: the experiment supports action-equivalence stopping and bounded OOD rejection, not empirical dominance over the strongest adaptive baseline.</w:t>
      </w:r>
    </w:p>
    <w:p>
      <w:pPr>
        <w:pStyle w:val="Heading2"/>
      </w:pPr>
      <w:r>
        <w:t>8.11 Qwen–TOFU model-channel result</w:t>
      </w:r>
    </w:p>
    <w:p>
      <w:pPr>
        <w:widowControl/>
      </w:pPr>
      <w:r>
        <w:rPr>
          <w:rFonts w:ascii="Calibri" w:hAnsi="Calibri" w:eastAsia="Calibri"/>
          <w:b w:val="0"/>
          <w:i w:val="0"/>
        </w:rPr>
        <w:t xml:space="preserve">The first valid Tesla P100 run completed all three frozen seeds and returned </w:t>
      </w:r>
      <w:r>
        <w:rPr>
          <w:rFonts w:ascii="Calibri" w:hAnsi="Calibri" w:eastAsia="Calibri"/>
          <w:b/>
          <w:i w:val="0"/>
        </w:rPr>
        <w:t>FAIL</w:t>
      </w:r>
      <w:r>
        <w:rPr>
          <w:rFonts w:ascii="Calibri" w:hAnsi="Calibri" w:eastAsia="Calibri"/>
          <w:b w:val="0"/>
          <w:i w:val="0"/>
        </w:rPr>
        <w:t xml:space="preserve">. The original verifier reported seven of nine gates passed, but a later semantic audit found that the perturbed split was evaluated through its ordinary </w:t>
      </w:r>
      <w:r>
        <w:rPr>
          <w:rFonts w:ascii="Menlo" w:hAnsi="Menlo" w:eastAsia="Menlo"/>
          <w:color w:val="173B57"/>
          <w:sz w:val="19"/>
        </w:rPr>
        <w:t>answer</w:t>
      </w:r>
      <w:r>
        <w:rPr>
          <w:rFonts w:ascii="Calibri" w:hAnsi="Calibri" w:eastAsia="Calibri"/>
          <w:b w:val="0"/>
          <w:i w:val="0"/>
        </w:rPr>
        <w:t xml:space="preserve"> field. The corrected accounting is six valid passes, two failures, and one unevaluable gate. Minimum target memorization gain was 0.59827 and minimum exact forgetting lift was 0.14026. The candidate recovered 33.8–39.1% of exact-reference forgetting, stayed close on retained NLL (0.00920) and membership AUC (0.05750), and had zero save/reload recurrence.</w:t>
      </w:r>
    </w:p>
    <w:p>
      <w:pPr>
        <w:widowControl/>
      </w:pPr>
      <w:r>
        <w:rPr>
          <w:rFonts w:ascii="Calibri" w:hAnsi="Calibri" w:eastAsia="Calibri"/>
          <w:b w:val="0"/>
          <w:i w:val="0"/>
        </w:rPr>
        <w:t xml:space="preserve">However, minimum candidate forgetting lift was </w:t>
      </w:r>
      <w:r>
        <w:rPr>
          <w:rFonts w:ascii="Calibri" w:hAnsi="Calibri" w:eastAsia="Calibri"/>
          <w:b/>
          <w:i w:val="0"/>
        </w:rPr>
        <w:t>0.04837</w:t>
      </w:r>
      <w:r>
        <w:rPr>
          <w:rFonts w:ascii="Calibri" w:hAnsi="Calibri" w:eastAsia="Calibri"/>
          <w:b w:val="0"/>
          <w:i w:val="0"/>
        </w:rPr>
        <w:t xml:space="preserve">, below the frozen 0.05 gate, and maximum world-fact NLL degradation was </w:t>
      </w:r>
      <w:r>
        <w:rPr>
          <w:rFonts w:ascii="Calibri" w:hAnsi="Calibri" w:eastAsia="Calibri"/>
          <w:b/>
          <w:i w:val="0"/>
        </w:rPr>
        <w:t>0.45300</w:t>
      </w:r>
      <w:r>
        <w:rPr>
          <w:rFonts w:ascii="Calibri" w:hAnsi="Calibri" w:eastAsia="Calibri"/>
          <w:b w:val="0"/>
          <w:i w:val="0"/>
        </w:rPr>
        <w:t>, above the 0.20 gate; two of three seeds failed the utility endpoint. The result falsifies the v1 candidate's conjunctive success claim while demonstrating that EraSeMap does not convert partial metric agreement into completion.</w:t>
      </w:r>
    </w:p>
    <w:p>
      <w:pPr>
        <w:widowControl/>
      </w:pPr>
      <w:r>
        <w:rPr>
          <w:rFonts w:ascii="Calibri" w:hAnsi="Calibri" w:eastAsia="Calibri"/>
          <w:b w:val="0"/>
          <w:i w:val="0"/>
        </w:rPr>
        <w:t xml:space="preserve">The first scientifically valid v2 run also returned </w:t>
      </w:r>
      <w:r>
        <w:rPr>
          <w:rFonts w:ascii="Calibri" w:hAnsi="Calibri" w:eastAsia="Calibri"/>
          <w:b/>
          <w:i w:val="0"/>
        </w:rPr>
        <w:t>FAIL</w:t>
      </w:r>
      <w:r>
        <w:rPr>
          <w:rFonts w:ascii="Calibri" w:hAnsi="Calibri" w:eastAsia="Calibri"/>
          <w:b w:val="0"/>
          <w:i w:val="0"/>
        </w:rPr>
        <w:t xml:space="preserve">. Development selected </w:t>
      </w:r>
      <w:r>
        <w:rPr>
          <w:rFonts w:ascii="Menlo" w:hAnsi="Menlo" w:eastAsia="Menlo"/>
          <w:color w:val="173B57"/>
          <w:sz w:val="19"/>
        </w:rPr>
        <w:t>ucsgp-f035-a025</w:t>
      </w:r>
      <w:r>
        <w:rPr>
          <w:rFonts w:ascii="Calibri" w:hAnsi="Calibri" w:eastAsia="Calibri"/>
          <w:b w:val="0"/>
          <w:i w:val="0"/>
        </w:rPr>
        <w:t xml:space="preserve">, which passed all gates on two development seeds with normalized recovery 0.806–1.089. Without further tuning, five author-disjoint confirmation seeds produced recovery </w:t>
      </w:r>
      <w:r>
        <w:rPr>
          <w:rFonts w:ascii="Calibri" w:hAnsi="Calibri" w:eastAsia="Calibri"/>
          <w:b/>
          <w:i w:val="0"/>
        </w:rPr>
        <w:t>4.957–8.632</w:t>
      </w:r>
      <w:r>
        <w:rPr>
          <w:rFonts w:ascii="Calibri" w:hAnsi="Calibri" w:eastAsia="Calibri"/>
          <w:b w:val="0"/>
          <w:i w:val="0"/>
        </w:rPr>
        <w:t>, exceeding the frozen 1.25 upper bound on every seed. Maximum candidate/exact gaps were 0.85111 for paraphrase NLL, 0.18609 for retain NLL, and 0.41250 for membership AUC, against limits 0.20, 0.15, and 0.10. Truth-margin, world-fact, real-author, speed, and reload gates passed; minimum speedup was 30.48x and recurrence was zero. Overall, 8/12 gates passed. The same-environment v1 baseline under-forgot at 28.4–36.9% normalized recovery. Thus v2 identifies a real transfer trade-off—baseline under-forgetting versus UCSGP overscrubbing—rather than a successful approximate-unlearning method.</w:t>
      </w:r>
    </w:p>
    <w:p>
      <w:pPr>
        <w:pStyle w:val="Heading1"/>
      </w:pPr>
      <w:r>
        <w:t>9. Discussion</w:t>
      </w:r>
    </w:p>
    <w:p>
      <w:pPr>
        <w:keepLines/>
        <w:jc w:val="center"/>
      </w:pPr>
      <w:r>
        <w:drawing>
          <wp:inline xmlns:a="http://schemas.openxmlformats.org/drawingml/2006/main" xmlns:pic="http://schemas.openxmlformats.org/drawingml/2006/picture">
            <wp:extent cx="5577840" cy="4679188"/>
            <wp:docPr id="2" name="Picture 2" descr="Results chart: PCUG has 0 of 75 false COMPLETE verdicts versus 75 of 75 for typed-node; CDC reaches 17.64-fold speedup and 94.62 percent fewer written bytes; RSE detects 30 of 30 risks with no post-MSC recurrence; GhostGraph uses 7 probes versus 13 for frozen random and 49 for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679188"/>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TRE addresses a different boundary: a plan optimized for one correct nominal map can be brittle when the map evolves. Optimizing one plan over an explicit scenario envelope makes that uncertainty auditable and quantifies its cost, but does not turn bounded scenarios into knowledge of arbitrary unknown infrastructure.</w:t>
      </w:r>
    </w:p>
    <w:p>
      <w:pPr>
        <w:widowControl/>
      </w:pPr>
      <w:r>
        <w:rPr>
          <w:rFonts w:ascii="Calibri" w:hAnsi="Calibri" w:eastAsia="Calibri"/>
          <w:b w:val="0"/>
          <w:i w:val="0"/>
        </w:rPr>
        <w:t>GhostGraph addresses how to reduce a declared topology uncertainty envelope before repair. Its value is not a promise to discover arbitrary hidden infrastructure; it makes every intervention, version-space reduction, stopping decision, and outside-catalogue failure inspectable. The greedy tie shows that the present catalogue is too small to establish a universal adaptive advantage, while the false-confidence failures show why passive declarations and closed-catalogue localization require explicit fail-closed checks.</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val="0"/>
          <w:i w:val="0"/>
        </w:rPr>
        <w:t>The open-transfer study uses real stock Keycloak, MLflow, and Qdrant processes and public Olivetti</w:t>
      </w:r>
    </w:p>
    <w:p>
      <w:pPr>
        <w:widowControl/>
      </w:pPr>
      <w:r>
        <w:rPr>
          <w:rFonts w:ascii="Calibri" w:hAnsi="Calibri" w:eastAsia="Calibri"/>
          <w:b w:val="0"/>
          <w:i w:val="0"/>
        </w:rPr>
        <w:t>vectors, but not production records or independently authored faults. It therefore strengthens</w:t>
      </w:r>
    </w:p>
    <w:p>
      <w:pPr>
        <w:widowControl/>
      </w:pPr>
      <w:r>
        <w:rPr>
          <w:rFonts w:ascii="Calibri" w:hAnsi="Calibri" w:eastAsia="Calibri"/>
          <w:b w:val="0"/>
          <w:i w:val="0"/>
        </w:rPr>
        <w:t>service-family portability without establishing operational deployment or external independence.</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Topology-uncertainty scope.</w:t>
      </w:r>
      <w:r>
        <w:rPr>
          <w:rFonts w:ascii="Calibri" w:hAnsi="Calibri" w:eastAsia="Calibri"/>
          <w:b w:val="0"/>
          <w:i w:val="0"/>
        </w:rPr>
        <w:t xml:space="preserve"> TRE uses eight project-authored scenarios, a three-transition mutation catalogue, and declared costs. The solver sees the complete finite envelope before selection. Zero recurrence inside this envelope is not evidence of safety outside it or of the probability that a real organization satisfies the envelope.</w:t>
      </w:r>
    </w:p>
    <w:p>
      <w:pPr>
        <w:widowControl/>
      </w:pPr>
      <w:r>
        <w:rPr>
          <w:rFonts w:ascii="Calibri" w:hAnsi="Calibri" w:eastAsia="Calibri"/>
          <w:b/>
          <w:i w:val="0"/>
        </w:rPr>
        <w:t>Active-discovery scope.</w:t>
      </w:r>
      <w:r>
        <w:rPr>
          <w:rFonts w:ascii="Calibri" w:hAnsi="Calibri" w:eastAsia="Calibri"/>
          <w:b w:val="0"/>
          <w:i w:val="0"/>
        </w:rPr>
        <w:t xml:space="preserve"> GhostGraph uses finite project-authored catalogues, deterministic traces, and declared experiment costs. GhostGraph-T adds an exact global finite policy and an action-identifiability theorem, but the first 300 cases still tied one-step minimax and greedy. The live services are real processes, while hidden graphs and orchestration remain internal. The external blind challenge is protocol-ready but not independently authored or executed.</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scripts/verify_topology_robust_erasure_v1.py</w:t>
      </w:r>
    </w:p>
    <w:p>
      <w:pPr>
        <w:pStyle w:val="CodeBlock"/>
      </w:pPr>
      <w:r>
        <w:t>python scripts/verify_tre_conformance.py --expected formal/tre-conformance-v1.json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python scripts/verify_ghostgraph_v2.py</w:t>
      </w:r>
    </w:p>
    <w:p>
      <w:pPr>
        <w:pStyle w:val="CodeBlock"/>
      </w:pPr>
      <w:r>
        <w:t>python scripts/verify_ghostgraph_live_v2.py</w:t>
      </w:r>
    </w:p>
    <w:p>
      <w:pPr>
        <w:pStyle w:val="CodeBlock"/>
      </w:pPr>
      <w:r>
        <w:t>python scripts/verify_ghostgraph_t_v1.py</w:t>
      </w:r>
    </w:p>
    <w:p>
      <w:pPr>
        <w:pStyle w:val="CodeBlock"/>
      </w:pPr>
      <w:r>
        <w:t>python -m external_ghostgraph_challenge.verify_v2</w:t>
      </w:r>
    </w:p>
    <w:p>
      <w:pPr>
        <w:pStyle w:val="CodeBlock"/>
      </w:pPr>
      <w:r>
        <w:t>PYTHONPATH=src:. python scripts/verify_qwen_tofu_kaggle_v2.py</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future registered operations, and a bounded set of plausible topology shifts.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TRE further requires one action set to survive every declared topology scenario.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widowControl/>
      </w:pPr>
      <w:r>
        <w:rPr>
          <w:rFonts w:ascii="Calibri" w:hAnsi="Calibri" w:eastAsia="Calibri"/>
          <w:b w:val="0"/>
          <w:i w:val="0"/>
        </w:rPr>
        <w:t>[17] D. Degel and P. Lutter, “A Robust Formulation of the Uncertain Set Covering Problem,” Optimization Online, 2013.</w:t>
      </w:r>
    </w:p>
    <w:p>
      <w:pPr>
        <w:widowControl/>
      </w:pPr>
      <w:r>
        <w:rPr>
          <w:rFonts w:ascii="Calibri" w:hAnsi="Calibri" w:eastAsia="Calibri"/>
          <w:b w:val="0"/>
          <w:i w:val="0"/>
        </w:rPr>
        <w:t>[18] U.S. Patent Application US20210406398A1, “Data Processing Systems for Data Testing to Confirm Data Deletion and Related Methods,” 2021.</w:t>
      </w:r>
    </w:p>
    <w:p>
      <w:pPr>
        <w:widowControl/>
      </w:pPr>
      <w:r>
        <w:rPr>
          <w:rFonts w:ascii="Calibri" w:hAnsi="Calibri" w:eastAsia="Calibri"/>
          <w:b w:val="0"/>
          <w:i w:val="0"/>
        </w:rPr>
        <w:t>[19] N. Galesi and F. Ranjbar, “Counting and Localizing Defective Nodes by Boolean Network Tomography,” arXiv:2101.04403, 2021.</w:t>
      </w:r>
    </w:p>
    <w:p>
      <w:pPr>
        <w:widowControl/>
      </w:pPr>
      <w:r>
        <w:rPr>
          <w:rFonts w:ascii="Calibri" w:hAnsi="Calibri" w:eastAsia="Calibri"/>
          <w:b w:val="0"/>
          <w:i w:val="0"/>
        </w:rPr>
        <w:t>[20] A. D'yachkov, A. Macula, and V. Rykov, “Error-Correcting Nonadaptive Group Testing with Disjunct Matrices,” Discrete Applied Mathematics 80:217–222, 1997. DOI: 10.1016/S0166-218X(97)80002-9.</w:t>
      </w:r>
    </w:p>
    <w:p>
      <w:pPr>
        <w:widowControl/>
      </w:pPr>
      <w:r>
        <w:rPr>
          <w:rFonts w:ascii="Calibri" w:hAnsi="Calibri" w:eastAsia="Calibri"/>
          <w:b w:val="0"/>
          <w:i w:val="0"/>
        </w:rPr>
        <w:t>[21] V. Chakraborty et al., “Meaningful Data Erasure in the Presence of Dependencies,” Proceedings of the VLDB Endowment 18(10):3435–3448, 2025. DOI: 10.14778/3748191.3748206.</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Topology-Robust Erasure: one exact plan for every topology in a declared uncertainty envelope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Erasure Tomography: bounded coded deletion probes for recurrence-mechanism localization</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finite version-space discovery of deletion-regeneration topology</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identification of an erasure-action equivalence class with bounded OOD rejection</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TRE is safe and minimum-cost across a declared envelope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4,096/4,096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all-scenario feasibility soundness and envelope membership</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 survives the frozen topology shifts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Nominal 35/35 recurrences; TRE 0/35; cost 7 versus blanket 60</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finite, visible, project-authored envelope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 localizes bounded recurrence mechanisms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8/8 supports; 4/4 negative fail-closed; 3,584/3,584 oracle; Redis 4/4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k=1</w:t>
            </w:r>
            <w:r>
              <w:rPr>
                <w:rFonts w:ascii="Calibri" w:hAnsi="Calibri" w:eastAsia="Calibri"/>
                <w:b w:val="0"/>
                <w:i w:val="0"/>
                <w:sz w:val="18"/>
              </w:rPr>
              <w:t xml:space="preserve">, </w:t>
            </w:r>
            <w:r>
              <w:rPr>
                <w:rFonts w:ascii="Calibri" w:hAnsi="Calibri" w:eastAsia="Calibri"/>
                <w:color w:val="173B57"/>
                <w:sz w:val="18"/>
              </w:rPr>
              <w:t>e=0</w:t>
            </w:r>
            <w:r>
              <w:rPr>
                <w:rFonts w:ascii="Calibri" w:hAnsi="Calibri" w:eastAsia="Calibri"/>
                <w:b w:val="0"/>
                <w:i w:val="0"/>
                <w:sz w:val="18"/>
              </w:rPr>
              <w:t>, project-authored catalogue/workflows; no arbitrary discovery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 actively reduces topology uncertainty</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7 probes; 3 exact + 2 path-class; OUT and UNVERIFIED detected; live 5/5 cases with zero false confidence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 xml:space="preserve">Finite project-authored catalogue; greedy tied; external blind run is </w:t>
            </w:r>
            <w:r>
              <w:rPr>
                <w:rFonts w:ascii="Calibri" w:hAnsi="Calibri" w:eastAsia="Calibri"/>
                <w:color w:val="173B57"/>
                <w:sz w:val="18"/>
              </w:rPr>
              <w:t>NOT_COLLECTED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GhostGraph-T identifies sufficient erasure actions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300/300 action-or-OOD; 50/50 family OOD; 0 false confidence; exact policy matches oracle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deterministic grammar; adaptive baselines tied; no open-world or independent claim</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