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Lean checks conditional MSC safety and minimum cost, while production branch-and-bound matched a separate exhaustive oracle in 16,384/16,384 finite-domain configurations. These are project-authored prospective and verification results, not independent or production evidence.</w:t>
      </w:r>
    </w:p>
    <w:p>
      <w:pPr>
        <w:widowControl/>
      </w:pPr>
      <w:r>
        <w:rPr>
          <w:rFonts w:ascii="Calibri" w:hAnsi="Calibri" w:eastAsia="Calibri"/>
          <w:b w:val="0"/>
          <w:i w:val="0"/>
        </w:rPr>
        <w:t>Topology-Robust Erasure (TRE) strengthens MSC from one map to a finite declared uncertainty envelope. Its protocol was also committed before implementation. In the first run, nominal MSC regenerated data in 35/35 topology shifts, whereas one exact TRE plan regenerated data in 0/35, cost 7 versus blanket destruction at 60, and matched an exhaustive oracle. Production TRE additionally matched the oracle in 4,096/4,096 systematic configurations. The guarantee is conditional on the real topology belonging to the declared envelope.</w:t>
      </w:r>
    </w:p>
    <w:p>
      <w:pPr>
        <w:widowControl/>
      </w:pPr>
      <w:r>
        <w:rPr>
          <w:rFonts w:ascii="Calibri" w:hAnsi="Calibri" w:eastAsia="Calibri"/>
          <w:b w:val="0"/>
          <w:i w:val="0"/>
        </w:rPr>
        <w:t xml:space="preserve">Erasure Tomography (ET) adds a bounded topology-acquisition layer. Three coded synthetic-subject workflows distinguish the empty support and four single recurrence mechanisms. The frozen first run recovered 8/8 valid supports, rejected 4/4 assumption violations, and recorded zero false localization, oracle mismatch, post-control recurrence, or retained-subject loss. A separate preregistered digest-pinned Redis run recovered 4/4 mechanisms and the safe case. Lean checks zero-error separation and limits ET-to-TRE safety to listed localized mechanisms. These results require catalogue closure, </w:t>
      </w:r>
      <w:r>
        <w:rPr>
          <w:rFonts w:ascii="Menlo" w:hAnsi="Menlo" w:eastAsia="Menlo"/>
          <w:color w:val="173B57"/>
          <w:sz w:val="19"/>
        </w:rPr>
        <w:t>k=1</w:t>
      </w:r>
      <w:r>
        <w:rPr>
          <w:rFonts w:ascii="Calibri" w:hAnsi="Calibri" w:eastAsia="Calibri"/>
          <w:b w:val="0"/>
          <w:i w:val="0"/>
        </w:rPr>
        <w:t xml:space="preserve">, </w:t>
      </w:r>
      <w:r>
        <w:rPr>
          <w:rFonts w:ascii="Menlo" w:hAnsi="Menlo" w:eastAsia="Menlo"/>
          <w:color w:val="173B57"/>
          <w:sz w:val="19"/>
        </w:rPr>
        <w:t>e=0</w:t>
      </w:r>
      <w:r>
        <w:rPr>
          <w:rFonts w:ascii="Calibri" w:hAnsi="Calibri" w:eastAsia="Calibri"/>
          <w:b w:val="0"/>
          <w:i w:val="0"/>
        </w:rPr>
        <w:t>, complete workflows, isolated synthetic subjects, stable behavior, and observable recurrence.</w:t>
      </w:r>
    </w:p>
    <w:p>
      <w:pPr>
        <w:widowControl/>
      </w:pPr>
      <w:r>
        <w:rPr>
          <w:rFonts w:ascii="Calibri" w:hAnsi="Calibri" w:eastAsia="Calibri"/>
          <w:b w:val="0"/>
          <w:i w:val="0"/>
        </w:rPr>
        <w:t>A further preregistered transfer study executed one frozen contract in 60 cases on digest-pinned stock Keycloak, MLflow, and Qdrant services. EraSeMap produced 0 false-complete decisions, failed closed on 15/15 coverage faults, matched a separate exhaustive control oracle in 60/60 cases, and produced no retained-subject loss or post-control recurrence. Native-success produced 45 false completes and the typed-node snapshot audit produced 5. Qdrant used preregistered public Olivetti face vectors; identities, commitments, mappings, faults, and execution remained project-authored, so this is live stock-service transfer evidence rather than independent or production validation.</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i w:val="0"/>
        </w:rPr>
        <w:t>Hypothesis H4.</w:t>
      </w:r>
      <w:r>
        <w:rPr>
          <w:rFonts w:ascii="Calibri" w:hAnsi="Calibri" w:eastAsia="Calibri"/>
          <w:b w:val="0"/>
          <w:i w:val="0"/>
        </w:rPr>
        <w:t xml:space="preserve"> Across a finite declared topology envelope, one exact TRE plan can prevent every registered regeneration path at lower declared cost than blanket destruction, while a nominal MSC can fail after topology shift. The null hypothesis is that robust replay offers no safety/cost advantage over the fixed baselines.</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six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NumberedItem"/>
      </w:pPr>
      <w:r>
        <w:rPr>
          <w:rFonts w:ascii="Calibri" w:hAnsi="Calibri" w:eastAsia="Calibri"/>
        </w:rPr>
        <w:t xml:space="preserve">6. </w:t>
      </w:r>
      <w:r>
        <w:rPr>
          <w:rFonts w:ascii="Calibri" w:hAnsi="Calibri" w:eastAsia="Calibri"/>
          <w:b w:val="0"/>
          <w:i w:val="0"/>
        </w:rPr>
        <w:t>A topology-robust TRE layer that selects one minimum-cost plan across a finite declared uncertainty envelope and reports the shortest adversarial witness and robustness premium over nominal MSC.</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Robust and probabilistic set covering already optimize coverage under uncertainty [17]. Synthetic test subjects and unique-token deletion checks also appear in prior patent claims [18]. TRE therefore claims neither robust optimization nor deletion canaries; its working contribution is their exclusion-aware composition with temporal subject erasure, fail-closed scenario evidence, exact all-scenario replay, and an adversarial regeneration witness.</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these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xml:space="preserve">. For MSC, </w:t>
      </w:r>
      <w:r>
        <w:rPr>
          <w:rFonts w:ascii="Menlo" w:hAnsi="Menlo" w:eastAsia="Menlo"/>
          <w:color w:val="173B57"/>
          <w:sz w:val="19"/>
        </w:rPr>
        <w:t>selected_msc_safe_and_minimum</w:t>
      </w:r>
      <w:r>
        <w:rPr>
          <w:rFonts w:ascii="Calibri" w:hAnsi="Calibri" w:eastAsia="Calibri"/>
          <w:b w:val="0"/>
          <w:i w:val="0"/>
        </w:rPr>
        <w:t xml:space="preserve"> proves that when replay feasibility soundly implies temporal safety, the selected listed control set is temporally safe and no more expensive than another listed feasible set; the no-plan theorem preserves fail-closed behavior. For TRE, </w:t>
      </w:r>
      <w:r>
        <w:rPr>
          <w:rFonts w:ascii="Menlo" w:hAnsi="Menlo" w:eastAsia="Menlo"/>
          <w:color w:val="173B57"/>
          <w:sz w:val="19"/>
        </w:rPr>
        <w:t>selected_tre_safe_for_every_scenario_and_minimum</w:t>
      </w:r>
      <w:r>
        <w:rPr>
          <w:rFonts w:ascii="Calibri" w:hAnsi="Calibri" w:eastAsia="Calibri"/>
          <w:b w:val="0"/>
          <w:i w:val="0"/>
        </w:rPr>
        <w:t xml:space="preserve"> proves safety for every listed scenario and minimum cost among robust-feasible candidates under the corresponding soundness obligation. These theorems cover the abstract core, not Python semantics, driver correctness, real topology discovery, or membership of the real topology in the uncertainty envelope. The production Python selectors are therefore tested separately against exhaustive oracles.</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265 tests with at least 90% measured coverage in the full CI-equivalent test command, a pinned build backend, exact runtime/test constraints, SHA-pinned workflow actions,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2"/>
      </w:pPr>
      <w:r>
        <w:t>7.8 Layer G: preregistered topology-robust erasure</w:t>
      </w:r>
    </w:p>
    <w:p>
      <w:pPr>
        <w:widowControl/>
      </w:pPr>
      <w:r>
        <w:rPr>
          <w:rFonts w:ascii="Calibri" w:hAnsi="Calibri" w:eastAsia="Calibri"/>
          <w:b w:val="0"/>
          <w:i w:val="0"/>
        </w:rPr>
        <w:t xml:space="preserve">TRE v1 was committed at </w:t>
      </w:r>
      <w:r>
        <w:rPr>
          <w:rFonts w:ascii="Menlo" w:hAnsi="Menlo" w:eastAsia="Menlo"/>
          <w:color w:val="173B57"/>
          <w:sz w:val="19"/>
        </w:rPr>
        <w:t>320e437</w:t>
      </w:r>
      <w:r>
        <w:rPr>
          <w:rFonts w:ascii="Calibri" w:hAnsi="Calibri" w:eastAsia="Calibri"/>
          <w:b w:val="0"/>
          <w:i w:val="0"/>
        </w:rPr>
        <w:t xml:space="preserve"> before solver, runner, verifier, or first result implementation. The nominal scenario contains backup restore. Seven shifted scenarios add every non-empty subset of checkpoint redeployment, legacy import, and retry replay; five frozen seeds produce 35 physical cases. The nominal exact MSC, exact all-scenario TRE, and blanket carrier destruction are compared under the same declared costs. Gates require 35/35 nominal-plan recurrences, zero TRE recurrences, zero oracle mismatches, cost 3 for nominal MSC, cost 7 for TRE, blanket cost 60, and a shift-specific witness in every case.</w:t>
      </w:r>
    </w:p>
    <w:p>
      <w:pPr>
        <w:pStyle w:val="Heading2"/>
      </w:pPr>
      <w:r>
        <w:t>7.9 Layer H: open stock-service transfer</w:t>
      </w:r>
    </w:p>
    <w:p>
      <w:pPr>
        <w:widowControl/>
      </w:pPr>
      <w:r>
        <w:rPr>
          <w:rFonts w:ascii="Calibri" w:hAnsi="Calibri" w:eastAsia="Calibri"/>
          <w:b w:val="0"/>
          <w:i w:val="0"/>
        </w:rPr>
        <w:t>Before implementation and the first complete run, v1 froze three immutable container images, five seeds, four fault states, public-input selection, equal-budget comparator rules, exact-control gates, and the core source hash. The services are Keycloak identity lifecycle, MLflow run/artifact lineage, and Qdrant biometric-vector retrieval. The 60-cell matrix contains safe native deletion, a surviving derivative, recovery regeneration, and missing mandatory coverage in every family.</w:t>
      </w:r>
    </w:p>
    <w:p>
      <w:pPr>
        <w:widowControl/>
      </w:pPr>
      <w:r>
        <w:rPr>
          <w:rFonts w:ascii="Calibri" w:hAnsi="Calibri" w:eastAsia="Calibri"/>
          <w:b w:val="0"/>
          <w:i w:val="0"/>
        </w:rPr>
        <w:t>The Qdrant confirmatory split uses five preregistered subjects from public Olivetti Faces, preserving the normalized 64×64 samples as untrained 4,096-dimensional vectors. Keycloak names and MLflow subject commitments are deterministic synthetic inputs. Every HTTP observation is redacted before append-only persistence; a provenance manifest hashes the public asset, all evidence ledgers, trials, and result. An offline verifier reparses the serialized trials, recomputes every gate, and rejects missing, extra, changed, or core-drifted artifacts.</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Open stock services, 60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 false complete; 15/15 coverage faults fail closed; 0 retained loss/recurrence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Native-success: 45 false complete; typed-node audit: 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frozen contract transfers across three live stock families; mappings and faults remain project-authored</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Beyond the 30 prospective cases, branch-and-bound MSC matched a separately implemented exhaustive oracle in </w:t>
      </w:r>
      <w:r>
        <w:rPr>
          <w:rFonts w:ascii="Calibri" w:hAnsi="Calibri" w:eastAsia="Calibri"/>
          <w:b/>
          <w:i w:val="0"/>
        </w:rPr>
        <w:t>16,384/16,384</w:t>
      </w:r>
      <w:r>
        <w:rPr>
          <w:rFonts w:ascii="Calibri" w:hAnsi="Calibri" w:eastAsia="Calibri"/>
          <w:b w:val="0"/>
          <w:i w:val="0"/>
        </w:rPr>
        <w:t xml:space="preserve"> deterministic configurations: all 16 carrier subsets, all 64 permission masks, eight adversarial cost catalogues, and both input orders.</w:t>
      </w:r>
    </w:p>
    <w:p>
      <w:pPr>
        <w:pStyle w:val="Heading2"/>
      </w:pPr>
      <w:r>
        <w:t>8.7 Topology-Robust Erasure</w:t>
      </w:r>
    </w:p>
    <w:p>
      <w:pPr>
        <w:widowControl/>
      </w:pPr>
      <w:r>
        <w:rPr>
          <w:rFonts w:ascii="Calibri" w:hAnsi="Calibri" w:eastAsia="Calibri"/>
          <w:b w:val="0"/>
          <w:i w:val="0"/>
        </w:rPr>
        <w:t xml:space="preserve">The first prospective TRE run passed every frozen gate. The backup-only nominal MSC selected a path filter at cost </w:t>
      </w:r>
      <w:r>
        <w:rPr>
          <w:rFonts w:ascii="Calibri" w:hAnsi="Calibri" w:eastAsia="Calibri"/>
          <w:b/>
          <w:i w:val="0"/>
        </w:rPr>
        <w:t>3</w:t>
      </w:r>
      <w:r>
        <w:rPr>
          <w:rFonts w:ascii="Calibri" w:hAnsi="Calibri" w:eastAsia="Calibri"/>
          <w:b w:val="0"/>
          <w:i w:val="0"/>
        </w:rPr>
        <w:t xml:space="preserve">. After each of the 35 frozen topology shifts, at least one added carrier bypassed that filter and physically regenerated subject data: </w:t>
      </w:r>
      <w:r>
        <w:rPr>
          <w:rFonts w:ascii="Calibri" w:hAnsi="Calibri" w:eastAsia="Calibri"/>
          <w:b/>
          <w:i w:val="0"/>
        </w:rPr>
        <w:t>35/35</w:t>
      </w:r>
      <w:r>
        <w:rPr>
          <w:rFonts w:ascii="Calibri" w:hAnsi="Calibri" w:eastAsia="Calibri"/>
          <w:b w:val="0"/>
          <w:i w:val="0"/>
        </w:rPr>
        <w:t xml:space="preserve"> recurrences. TRE selected one persistent subject tombstone at cost </w:t>
      </w:r>
      <w:r>
        <w:rPr>
          <w:rFonts w:ascii="Calibri" w:hAnsi="Calibri" w:eastAsia="Calibri"/>
          <w:b/>
          <w:i w:val="0"/>
        </w:rPr>
        <w:t>7</w:t>
      </w:r>
      <w:r>
        <w:rPr>
          <w:rFonts w:ascii="Calibri" w:hAnsi="Calibri" w:eastAsia="Calibri"/>
          <w:b w:val="0"/>
          <w:i w:val="0"/>
        </w:rPr>
        <w:t xml:space="preserve">, returned a shift-specific adversarial witness in </w:t>
      </w:r>
      <w:r>
        <w:rPr>
          <w:rFonts w:ascii="Calibri" w:hAnsi="Calibri" w:eastAsia="Calibri"/>
          <w:b/>
          <w:i w:val="0"/>
        </w:rPr>
        <w:t>35/35</w:t>
      </w:r>
      <w:r>
        <w:rPr>
          <w:rFonts w:ascii="Calibri" w:hAnsi="Calibri" w:eastAsia="Calibri"/>
          <w:b w:val="0"/>
          <w:i w:val="0"/>
        </w:rPr>
        <w:t xml:space="preserve"> cases, and produced </w:t>
      </w:r>
      <w:r>
        <w:rPr>
          <w:rFonts w:ascii="Calibri" w:hAnsi="Calibri" w:eastAsia="Calibri"/>
          <w:b/>
          <w:i w:val="0"/>
        </w:rPr>
        <w:t>0/35</w:t>
      </w:r>
      <w:r>
        <w:rPr>
          <w:rFonts w:ascii="Calibri" w:hAnsi="Calibri" w:eastAsia="Calibri"/>
          <w:b w:val="0"/>
          <w:i w:val="0"/>
        </w:rPr>
        <w:t xml:space="preserve"> post-control recurrences. Blanket destruction cost 60, so the declared robustness premium over nominal MSC was 4 while the saving relative to blanket action was 53.</w:t>
      </w:r>
    </w:p>
    <w:p>
      <w:pPr>
        <w:widowControl/>
      </w:pPr>
      <w:r>
        <w:rPr>
          <w:rFonts w:ascii="Calibri" w:hAnsi="Calibri" w:eastAsia="Calibri"/>
          <w:b w:val="0"/>
          <w:i w:val="0"/>
        </w:rPr>
        <w:t xml:space="preserve">Production TRE matched the separately implemented exhaustive oracle in the prospective run and in </w:t>
      </w:r>
      <w:r>
        <w:rPr>
          <w:rFonts w:ascii="Calibri" w:hAnsi="Calibri" w:eastAsia="Calibri"/>
          <w:b/>
          <w:i w:val="0"/>
        </w:rPr>
        <w:t>4,096/4,096</w:t>
      </w:r>
      <w:r>
        <w:rPr>
          <w:rFonts w:ascii="Calibri" w:hAnsi="Calibri" w:eastAsia="Calibri"/>
          <w:b w:val="0"/>
          <w:i w:val="0"/>
        </w:rPr>
        <w:t xml:space="preserve"> deterministic configurations spanning eight uncertainty envelopes, all 64 permission masks, four adversarial cost catalogues, and both input orders.</w:t>
      </w:r>
    </w:p>
    <w:p>
      <w:pPr>
        <w:pStyle w:val="Heading2"/>
      </w:pPr>
      <w:r>
        <w:t>8.8 Erasure Tomography</w:t>
      </w:r>
    </w:p>
    <w:p>
      <w:pPr>
        <w:widowControl/>
      </w:pPr>
      <w:r>
        <w:rPr>
          <w:rFonts w:ascii="Calibri" w:hAnsi="Calibri" w:eastAsia="Calibri"/>
          <w:b/>
          <w:i w:val="0"/>
        </w:rPr>
        <w:t>Hypothesis H5.</w:t>
      </w:r>
      <w:r>
        <w:rPr>
          <w:rFonts w:ascii="Calibri" w:hAnsi="Calibri" w:eastAsia="Calibri"/>
          <w:b w:val="0"/>
          <w:i w:val="0"/>
        </w:rPr>
        <w:t xml:space="preserve"> Within a frozen candidate catalogue, coded deletion/recovery workflows can</w:t>
      </w:r>
    </w:p>
    <w:p>
      <w:pPr>
        <w:widowControl/>
      </w:pPr>
      <w:r>
        <w:rPr>
          <w:rFonts w:ascii="Calibri" w:hAnsi="Calibri" w:eastAsia="Calibri"/>
          <w:b w:val="0"/>
          <w:i w:val="0"/>
        </w:rPr>
        <w:t>localize one active recurrence mechanism using fewer rounds than individual testing, while</w:t>
      </w:r>
    </w:p>
    <w:p>
      <w:pPr>
        <w:widowControl/>
      </w:pPr>
      <w:r>
        <w:rPr>
          <w:rFonts w:ascii="Calibri" w:hAnsi="Calibri" w:eastAsia="Calibri"/>
          <w:b w:val="0"/>
          <w:i w:val="0"/>
        </w:rPr>
        <w:t>returning UNVERIFIED when catalogue, sparsity, execution, or isolation assumptions fail.</w:t>
      </w:r>
    </w:p>
    <w:p>
      <w:pPr>
        <w:widowControl/>
      </w:pPr>
      <w:r>
        <w:rPr>
          <w:rFonts w:ascii="Calibri" w:hAnsi="Calibri" w:eastAsia="Calibri"/>
          <w:b w:val="0"/>
          <w:i w:val="0"/>
        </w:rPr>
        <w:t xml:space="preserve">The prospective bounded run recovered </w:t>
      </w:r>
      <w:r>
        <w:rPr>
          <w:rFonts w:ascii="Calibri" w:hAnsi="Calibri" w:eastAsia="Calibri"/>
          <w:b/>
          <w:i w:val="0"/>
        </w:rPr>
        <w:t>8/8</w:t>
      </w:r>
      <w:r>
        <w:rPr>
          <w:rFonts w:ascii="Calibri" w:hAnsi="Calibri" w:eastAsia="Calibri"/>
          <w:b w:val="0"/>
          <w:i w:val="0"/>
        </w:rPr>
        <w:t xml:space="preserve"> valid supports with three coded workflows rather than</w:t>
      </w:r>
    </w:p>
    <w:p>
      <w:pPr>
        <w:widowControl/>
      </w:pPr>
      <w:r>
        <w:rPr>
          <w:rFonts w:ascii="Calibri" w:hAnsi="Calibri" w:eastAsia="Calibri"/>
          <w:b w:val="0"/>
          <w:i w:val="0"/>
        </w:rPr>
        <w:t xml:space="preserve">four individual checks, returned NO_OBSERVED_RECURRENCE in </w:t>
      </w:r>
      <w:r>
        <w:rPr>
          <w:rFonts w:ascii="Calibri" w:hAnsi="Calibri" w:eastAsia="Calibri"/>
          <w:b/>
          <w:i w:val="0"/>
        </w:rPr>
        <w:t>2/2</w:t>
      </w:r>
      <w:r>
        <w:rPr>
          <w:rFonts w:ascii="Calibri" w:hAnsi="Calibri" w:eastAsia="Calibri"/>
          <w:b w:val="0"/>
          <w:i w:val="0"/>
        </w:rPr>
        <w:t xml:space="preserve"> safe cases, and returned</w:t>
      </w:r>
    </w:p>
    <w:p>
      <w:pPr>
        <w:widowControl/>
      </w:pPr>
      <w:r>
        <w:rPr>
          <w:rFonts w:ascii="Calibri" w:hAnsi="Calibri" w:eastAsia="Calibri"/>
          <w:b w:val="0"/>
          <w:i w:val="0"/>
        </w:rPr>
        <w:t xml:space="preserve">UNVERIFIED for </w:t>
      </w:r>
      <w:r>
        <w:rPr>
          <w:rFonts w:ascii="Calibri" w:hAnsi="Calibri" w:eastAsia="Calibri"/>
          <w:b/>
          <w:i w:val="0"/>
        </w:rPr>
        <w:t>4/4</w:t>
      </w:r>
      <w:r>
        <w:rPr>
          <w:rFonts w:ascii="Calibri" w:hAnsi="Calibri" w:eastAsia="Calibri"/>
          <w:b w:val="0"/>
          <w:i w:val="0"/>
        </w:rPr>
        <w:t xml:space="preserve"> assumption violations. False localization, production/oracle mismatch,</w:t>
      </w:r>
    </w:p>
    <w:p>
      <w:pPr>
        <w:widowControl/>
      </w:pPr>
      <w:r>
        <w:rPr>
          <w:rFonts w:ascii="Calibri" w:hAnsi="Calibri" w:eastAsia="Calibri"/>
          <w:b w:val="0"/>
          <w:i w:val="0"/>
        </w:rPr>
        <w:t>post-control recurrence, and retained-subject loss were all zero. Production decoding matched a</w:t>
      </w:r>
    </w:p>
    <w:p>
      <w:pPr>
        <w:widowControl/>
      </w:pPr>
      <w:r>
        <w:rPr>
          <w:rFonts w:ascii="Calibri" w:hAnsi="Calibri" w:eastAsia="Calibri"/>
          <w:b w:val="0"/>
          <w:i w:val="0"/>
        </w:rPr>
        <w:t xml:space="preserve">separately implemented bitmask oracle in </w:t>
      </w:r>
      <w:r>
        <w:rPr>
          <w:rFonts w:ascii="Calibri" w:hAnsi="Calibri" w:eastAsia="Calibri"/>
          <w:b/>
          <w:i w:val="0"/>
        </w:rPr>
        <w:t>3,584/3,584</w:t>
      </w:r>
      <w:r>
        <w:rPr>
          <w:rFonts w:ascii="Calibri" w:hAnsi="Calibri" w:eastAsia="Calibri"/>
          <w:b w:val="0"/>
          <w:i w:val="0"/>
        </w:rPr>
        <w:t xml:space="preserve"> configurations.</w:t>
      </w:r>
    </w:p>
    <w:p>
      <w:pPr>
        <w:widowControl/>
      </w:pPr>
      <w:r>
        <w:rPr>
          <w:rFonts w:ascii="Calibri" w:hAnsi="Calibri" w:eastAsia="Calibri"/>
          <w:b w:val="0"/>
          <w:i w:val="0"/>
        </w:rPr>
        <w:t>A separately preregistered live transfer used the digest-pinned Redis image and four</w:t>
      </w:r>
    </w:p>
    <w:p>
      <w:pPr>
        <w:widowControl/>
      </w:pPr>
      <w:r>
        <w:rPr>
          <w:rFonts w:ascii="Calibri" w:hAnsi="Calibri" w:eastAsia="Calibri"/>
          <w:b w:val="0"/>
          <w:i w:val="0"/>
        </w:rPr>
        <w:t xml:space="preserve">project-authored native recovery workflows. It recovered </w:t>
      </w:r>
      <w:r>
        <w:rPr>
          <w:rFonts w:ascii="Calibri" w:hAnsi="Calibri" w:eastAsia="Calibri"/>
          <w:b/>
          <w:i w:val="0"/>
        </w:rPr>
        <w:t>4/4</w:t>
      </w:r>
      <w:r>
        <w:rPr>
          <w:rFonts w:ascii="Calibri" w:hAnsi="Calibri" w:eastAsia="Calibri"/>
          <w:b w:val="0"/>
          <w:i w:val="0"/>
        </w:rPr>
        <w:t xml:space="preserve"> mechanisms and the safe case with</w:t>
      </w:r>
    </w:p>
    <w:p>
      <w:pPr>
        <w:widowControl/>
      </w:pPr>
      <w:r>
        <w:rPr>
          <w:rFonts w:ascii="Calibri" w:hAnsi="Calibri" w:eastAsia="Calibri"/>
          <w:b w:val="0"/>
          <w:i w:val="0"/>
        </w:rPr>
        <w:t>zero false localization, recurrence, or retained loss. Random and greedy three-row coded baselines</w:t>
      </w:r>
    </w:p>
    <w:p>
      <w:pPr>
        <w:widowControl/>
      </w:pPr>
      <w:r>
        <w:rPr>
          <w:rFonts w:ascii="Calibri" w:hAnsi="Calibri" w:eastAsia="Calibri"/>
          <w:b w:val="0"/>
          <w:i w:val="0"/>
        </w:rPr>
        <w:t>also recovered every singleton in this small domain. Therefore the supported novelty is the</w:t>
      </w:r>
    </w:p>
    <w:p>
      <w:pPr>
        <w:widowControl/>
      </w:pPr>
      <w:r>
        <w:rPr>
          <w:rFonts w:ascii="Calibri" w:hAnsi="Calibri" w:eastAsia="Calibri"/>
          <w:b w:val="0"/>
          <w:i w:val="0"/>
        </w:rPr>
        <w:t>fail-closed erasure-specific acquisition-to-PCUG/TRE-repair composition, not a new or superior</w:t>
      </w:r>
    </w:p>
    <w:p>
      <w:pPr>
        <w:widowControl/>
      </w:pPr>
      <w:r>
        <w:rPr>
          <w:rFonts w:ascii="Calibri" w:hAnsi="Calibri" w:eastAsia="Calibri"/>
          <w:b w:val="0"/>
          <w:i w:val="0"/>
        </w:rPr>
        <w:t>general group-testing code.</w:t>
      </w:r>
    </w:p>
    <w:p>
      <w:pPr>
        <w:widowControl/>
      </w:pPr>
      <w:r>
        <w:rPr>
          <w:rFonts w:ascii="Calibri" w:hAnsi="Calibri" w:eastAsia="Calibri"/>
          <w:b w:val="0"/>
          <w:i w:val="0"/>
        </w:rPr>
        <w:t>Boolean network tomography and nonadaptive group testing already localize defective components</w:t>
      </w:r>
    </w:p>
    <w:p>
      <w:pPr>
        <w:widowControl/>
      </w:pPr>
      <w:r>
        <w:rPr>
          <w:rFonts w:ascii="Calibri" w:hAnsi="Calibri" w:eastAsia="Calibri"/>
          <w:b w:val="0"/>
          <w:i w:val="0"/>
        </w:rPr>
        <w:t>from coded Boolean outcomes [19,20], and dependency-aware P2E2 computes meaningful additional</w:t>
      </w:r>
    </w:p>
    <w:p>
      <w:pPr>
        <w:widowControl/>
      </w:pPr>
      <w:r>
        <w:rPr>
          <w:rFonts w:ascii="Calibri" w:hAnsi="Calibri" w:eastAsia="Calibri"/>
          <w:b w:val="0"/>
          <w:i w:val="0"/>
        </w:rPr>
        <w:t>erasure when semantic rules are supplied [21]. The targeted review found no identical end-to-end ET</w:t>
      </w:r>
    </w:p>
    <w:p>
      <w:pPr>
        <w:widowControl/>
      </w:pPr>
      <w:r>
        <w:rPr>
          <w:rFonts w:ascii="Calibri" w:hAnsi="Calibri" w:eastAsia="Calibri"/>
          <w:b w:val="0"/>
          <w:i w:val="0"/>
        </w:rPr>
        <w:t>contract, but this is not a world-priority or patentability claim.</w:t>
      </w:r>
    </w:p>
    <w:p>
      <w:pPr>
        <w:pStyle w:val="Heading1"/>
      </w:pPr>
      <w:r>
        <w:t>9. Discussion</w:t>
      </w:r>
    </w:p>
    <w:p>
      <w:pPr>
        <w:keepLines/>
        <w:jc w:val="center"/>
      </w:pPr>
      <w:r>
        <w:drawing>
          <wp:inline xmlns:a="http://schemas.openxmlformats.org/drawingml/2006/main" xmlns:pic="http://schemas.openxmlformats.org/drawingml/2006/picture">
            <wp:extent cx="5577840" cy="3935476"/>
            <wp:docPr id="2" name="Picture 2" descr="Results chart: PCUG has 0 of 75 false COMPLETE verdicts versus 75 of 75 for typed-node; CDC reaches 17.64-fold speedup and 94.62 percent fewer written bytes; RSE detects 30 of 30 risks with no post-MSC recurrenc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3935476"/>
                    </a:xfrm>
                    <a:prstGeom prst="rect"/>
                  </pic:spPr>
                </pic:pic>
              </a:graphicData>
            </a:graphic>
          </wp:inline>
        </w:drawing>
      </w:r>
    </w:p>
    <w:p>
      <w:pPr>
        <w:pStyle w:val="FigureCaption"/>
        <w:keepNext w:val="0"/>
      </w:pPr>
      <w:r>
        <w:t>Figure 2. Mechanism stress, measured multi-service holdout, and preregistered RSE v2.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TRE addresses a different boundary: a plan optimized for one correct nominal map can be brittle when the map evolves. Optimizing one plan over an explicit scenario envelope makes that uncertainty auditable and quantifies its cost, but does not turn bounded scenarios into knowledge of arbitrary unknown infrastructure.</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val="0"/>
          <w:i w:val="0"/>
        </w:rPr>
        <w:t>The open-transfer study uses real stock Keycloak, MLflow, and Qdrant processes and public Olivetti</w:t>
      </w:r>
    </w:p>
    <w:p>
      <w:pPr>
        <w:widowControl/>
      </w:pPr>
      <w:r>
        <w:rPr>
          <w:rFonts w:ascii="Calibri" w:hAnsi="Calibri" w:eastAsia="Calibri"/>
          <w:b w:val="0"/>
          <w:i w:val="0"/>
        </w:rPr>
        <w:t>vectors, but not production records or independently authored faults. It therefore strengthens</w:t>
      </w:r>
    </w:p>
    <w:p>
      <w:pPr>
        <w:widowControl/>
      </w:pPr>
      <w:r>
        <w:rPr>
          <w:rFonts w:ascii="Calibri" w:hAnsi="Calibri" w:eastAsia="Calibri"/>
          <w:b w:val="0"/>
          <w:i w:val="0"/>
        </w:rPr>
        <w:t>service-family portability without establishing operational deployment or external independence.</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Topology-uncertainty scope.</w:t>
      </w:r>
      <w:r>
        <w:rPr>
          <w:rFonts w:ascii="Calibri" w:hAnsi="Calibri" w:eastAsia="Calibri"/>
          <w:b w:val="0"/>
          <w:i w:val="0"/>
        </w:rPr>
        <w:t xml:space="preserve"> TRE uses eight project-authored scenarios, a three-transition mutation catalogue, and declared costs. The solver sees the complete finite envelope before selection. Zero recurrence inside this envelope is not evidence of safety outside it or of the probability that a real organization satisfies the envelope.</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scripts/verify_rse_conformance.py --expected formal/rse-msc-conformance-v1.json --output /tmp/rse-msc-conformance.json</w:t>
      </w:r>
    </w:p>
    <w:p>
      <w:pPr>
        <w:pStyle w:val="CodeBlock"/>
      </w:pPr>
      <w:r>
        <w:t>python scripts/verify_topology_robust_erasure_v1.py</w:t>
      </w:r>
    </w:p>
    <w:p>
      <w:pPr>
        <w:pStyle w:val="CodeBlock"/>
      </w:pPr>
      <w:r>
        <w:t>python scripts/verify_tre_conformance.py --expected formal/tre-conformance-v1.json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pStyle w:val="CodeBlock"/>
      </w:pPr>
      <w:r>
        <w:t>scripts/reproduce_release.sh core</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future registered operations, and a bounded set of plausible topology shifts.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TRE further requires one action set to survive every declared topology scenario.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widowControl/>
      </w:pPr>
      <w:r>
        <w:rPr>
          <w:rFonts w:ascii="Calibri" w:hAnsi="Calibri" w:eastAsia="Calibri"/>
          <w:b w:val="0"/>
          <w:i w:val="0"/>
        </w:rPr>
        <w:t>[17] D. Degel and P. Lutter, “A Robust Formulation of the Uncertain Set Covering Problem,” Optimization Online, 2013.</w:t>
      </w:r>
    </w:p>
    <w:p>
      <w:pPr>
        <w:widowControl/>
      </w:pPr>
      <w:r>
        <w:rPr>
          <w:rFonts w:ascii="Calibri" w:hAnsi="Calibri" w:eastAsia="Calibri"/>
          <w:b w:val="0"/>
          <w:i w:val="0"/>
        </w:rPr>
        <w:t>[18] U.S. Patent Application US20210406398A1, “Data Processing Systems for Data Testing to Confirm Data Deletion and Related Methods,” 2021.</w:t>
      </w:r>
    </w:p>
    <w:p>
      <w:pPr>
        <w:widowControl/>
      </w:pPr>
      <w:r>
        <w:rPr>
          <w:rFonts w:ascii="Calibri" w:hAnsi="Calibri" w:eastAsia="Calibri"/>
          <w:b w:val="0"/>
          <w:i w:val="0"/>
        </w:rPr>
        <w:t>[19] N. Galesi and F. Ranjbar, “Counting and Localizing Defective Nodes by Boolean Network Tomography,” arXiv:2101.04403, 2021.</w:t>
      </w:r>
    </w:p>
    <w:p>
      <w:pPr>
        <w:widowControl/>
      </w:pPr>
      <w:r>
        <w:rPr>
          <w:rFonts w:ascii="Calibri" w:hAnsi="Calibri" w:eastAsia="Calibri"/>
          <w:b w:val="0"/>
          <w:i w:val="0"/>
        </w:rPr>
        <w:t>[20] A. D'yachkov, A. Macula, and V. Rykov, “Error-Correcting Nonadaptive Group Testing with Disjunct Matrices,” Discrete Applied Mathematics 80:217–222, 1997. DOI: 10.1016/S0166-218X(97)80002-9.</w:t>
      </w:r>
    </w:p>
    <w:p>
      <w:pPr>
        <w:widowControl/>
      </w:pPr>
      <w:r>
        <w:rPr>
          <w:rFonts w:ascii="Calibri" w:hAnsi="Calibri" w:eastAsia="Calibri"/>
          <w:b w:val="0"/>
          <w:i w:val="0"/>
        </w:rPr>
        <w:t>[21] V. Chakraborty et al., “Meaningful Data Erasure in the Presence of Dependencies,” Proceedings of the VLDB Endowment 18(10):3435–3448, 2025. DOI: 10.14778/3748191.3748206.</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Topology-Robust Erasure: one exact plan for every topology in a declared uncertainty envelope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Erasure Tomography: bounded coded deletion probes for recurrence-mechanism localization</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MSC is safe and minimum-cost under registered temporal semantics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16,384/16,384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transition coverage and feasibility soundness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TRE is safe and minimum-cost across a declared envelope</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4,096/4,096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all-scenario feasibility soundness and envelope membership</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 survives the frozen topology shifts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Nominal 35/35 recurrences; TRE 0/35; cost 7 versus blanket 60</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finite, visible, project-authored envelope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 localizes bounded recurrence mechanisms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8/8 supports; 4/4 negative fail-closed; 3,584/3,584 oracle; Redis 4/4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k=1</w:t>
            </w:r>
            <w:r>
              <w:rPr>
                <w:rFonts w:ascii="Calibri" w:hAnsi="Calibri" w:eastAsia="Calibri"/>
                <w:b w:val="0"/>
                <w:i w:val="0"/>
                <w:sz w:val="18"/>
              </w:rPr>
              <w:t xml:space="preserve">, </w:t>
            </w:r>
            <w:r>
              <w:rPr>
                <w:rFonts w:ascii="Calibri" w:hAnsi="Calibri" w:eastAsia="Calibri"/>
                <w:color w:val="173B57"/>
                <w:sz w:val="18"/>
              </w:rPr>
              <w:t>e=0</w:t>
            </w:r>
            <w:r>
              <w:rPr>
                <w:rFonts w:ascii="Calibri" w:hAnsi="Calibri" w:eastAsia="Calibri"/>
                <w:b w:val="0"/>
                <w:i w:val="0"/>
                <w:sz w:val="18"/>
              </w:rPr>
              <w:t>, project-authored catalogue/workflows; no arbitrary discovery</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Biometric erasure auditing, PCUG, CDC, RSE, and machine unlearning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